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B3E9" w14:textId="77777777" w:rsidR="004B1D33" w:rsidRDefault="004B1D33" w:rsidP="002E445A">
      <w:pPr>
        <w:spacing w:after="0" w:line="240" w:lineRule="auto"/>
        <w:jc w:val="center"/>
        <w:rPr>
          <w:rFonts w:ascii="Arial" w:hAnsi="Arial" w:cs="Arial"/>
          <w:b/>
          <w:bCs/>
          <w:sz w:val="23"/>
          <w:szCs w:val="23"/>
          <w:u w:val="single"/>
        </w:rPr>
      </w:pPr>
    </w:p>
    <w:p w14:paraId="6F8AD5D3" w14:textId="77777777" w:rsidR="004B1D33" w:rsidRDefault="004B1D33" w:rsidP="002E445A">
      <w:pPr>
        <w:spacing w:after="0" w:line="240" w:lineRule="auto"/>
        <w:jc w:val="center"/>
        <w:rPr>
          <w:rFonts w:ascii="Arial" w:hAnsi="Arial" w:cs="Arial"/>
          <w:b/>
          <w:bCs/>
          <w:sz w:val="23"/>
          <w:szCs w:val="23"/>
          <w:u w:val="single"/>
        </w:rPr>
      </w:pPr>
    </w:p>
    <w:p w14:paraId="589FE525" w14:textId="0611AF9D" w:rsidR="00505E0A" w:rsidRPr="00A456AF" w:rsidRDefault="00D52088" w:rsidP="002E445A">
      <w:pPr>
        <w:spacing w:after="0" w:line="240" w:lineRule="auto"/>
        <w:jc w:val="center"/>
        <w:rPr>
          <w:rFonts w:ascii="Arial" w:hAnsi="Arial" w:cs="Arial"/>
          <w:b/>
          <w:bCs/>
          <w:sz w:val="23"/>
          <w:szCs w:val="23"/>
          <w:u w:val="single"/>
        </w:rPr>
      </w:pPr>
      <w:r w:rsidRPr="00A456AF">
        <w:rPr>
          <w:rFonts w:ascii="Arial" w:hAnsi="Arial" w:cs="Arial"/>
          <w:b/>
          <w:bCs/>
          <w:sz w:val="23"/>
          <w:szCs w:val="23"/>
          <w:u w:val="single"/>
        </w:rPr>
        <w:t>Comunicato stampa</w:t>
      </w:r>
    </w:p>
    <w:p w14:paraId="1D0DD095" w14:textId="77777777" w:rsidR="00BF7B31" w:rsidRPr="00A456AF" w:rsidRDefault="00BF7B31" w:rsidP="002E445A">
      <w:pPr>
        <w:spacing w:after="0" w:line="240" w:lineRule="auto"/>
        <w:jc w:val="center"/>
        <w:rPr>
          <w:rFonts w:ascii="Arial" w:hAnsi="Arial" w:cs="Arial"/>
          <w:b/>
          <w:bCs/>
          <w:sz w:val="23"/>
          <w:szCs w:val="23"/>
          <w:u w:val="single"/>
        </w:rPr>
      </w:pPr>
    </w:p>
    <w:p w14:paraId="3C558939" w14:textId="77777777" w:rsidR="008A3007" w:rsidRDefault="008A3007" w:rsidP="008A3007">
      <w:pPr>
        <w:shd w:val="clear" w:color="auto" w:fill="FFFFFF"/>
        <w:spacing w:after="0" w:line="240" w:lineRule="auto"/>
        <w:jc w:val="cente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COMMERCIALISTI, UTILIZZARE GLI INCASSI DEL CONCORDATO PER IL CETO MEDIO</w:t>
      </w:r>
    </w:p>
    <w:p w14:paraId="0CD372CB" w14:textId="77777777" w:rsidR="008A3007" w:rsidRPr="008A3007" w:rsidRDefault="008A3007" w:rsidP="008A3007">
      <w:pPr>
        <w:shd w:val="clear" w:color="auto" w:fill="FFFFFF"/>
        <w:spacing w:after="0" w:line="240" w:lineRule="auto"/>
        <w:jc w:val="center"/>
        <w:rPr>
          <w:rFonts w:ascii="Arial" w:eastAsia="Times New Roman" w:hAnsi="Arial" w:cs="Arial"/>
          <w:b/>
          <w:bCs/>
          <w:color w:val="000000" w:themeColor="text1"/>
          <w:sz w:val="23"/>
          <w:szCs w:val="23"/>
          <w:lang w:eastAsia="it-IT"/>
        </w:rPr>
      </w:pPr>
    </w:p>
    <w:p w14:paraId="387E18D6" w14:textId="77777777" w:rsidR="008A3007" w:rsidRDefault="008A3007" w:rsidP="008A3007">
      <w:pPr>
        <w:shd w:val="clear" w:color="auto" w:fill="FFFFFF"/>
        <w:spacing w:after="0" w:line="240" w:lineRule="auto"/>
        <w:jc w:val="cente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 xml:space="preserve"> La proposta del Consiglio nazionale della categoria: portare il limite del secondo scaglione IRPEF a 56mila euro con guadagni fino a 480 euro</w:t>
      </w:r>
    </w:p>
    <w:p w14:paraId="7B68EBDF" w14:textId="77777777" w:rsidR="008A3007" w:rsidRPr="008A3007" w:rsidRDefault="008A3007" w:rsidP="008A3007">
      <w:pPr>
        <w:shd w:val="clear" w:color="auto" w:fill="FFFFFF"/>
        <w:spacing w:after="0" w:line="240" w:lineRule="auto"/>
        <w:jc w:val="center"/>
        <w:rPr>
          <w:rFonts w:ascii="Arial" w:eastAsia="Times New Roman" w:hAnsi="Arial" w:cs="Arial"/>
          <w:b/>
          <w:bCs/>
          <w:color w:val="000000" w:themeColor="text1"/>
          <w:sz w:val="23"/>
          <w:szCs w:val="23"/>
          <w:lang w:eastAsia="it-IT"/>
        </w:rPr>
      </w:pPr>
    </w:p>
    <w:p w14:paraId="588BAE5F" w14:textId="77777777" w:rsidR="008A3007" w:rsidRDefault="008A3007" w:rsidP="008A3007">
      <w:pPr>
        <w:shd w:val="clear" w:color="auto" w:fill="FFFFFF"/>
        <w:spacing w:after="0" w:line="240" w:lineRule="auto"/>
        <w:jc w:val="both"/>
        <w:rPr>
          <w:rFonts w:ascii="Arial" w:eastAsia="Times New Roman" w:hAnsi="Arial" w:cs="Arial"/>
          <w:color w:val="000000" w:themeColor="text1"/>
          <w:sz w:val="23"/>
          <w:szCs w:val="23"/>
          <w:lang w:eastAsia="it-IT"/>
        </w:rPr>
      </w:pPr>
      <w:r w:rsidRPr="008A3007">
        <w:rPr>
          <w:rFonts w:ascii="Arial" w:eastAsia="Times New Roman" w:hAnsi="Arial" w:cs="Arial"/>
          <w:i/>
          <w:iCs/>
          <w:color w:val="000000" w:themeColor="text1"/>
          <w:sz w:val="23"/>
          <w:szCs w:val="23"/>
          <w:lang w:eastAsia="it-IT"/>
        </w:rPr>
        <w:t>Roma, 5 novembre 2024</w:t>
      </w:r>
      <w:r w:rsidRPr="008A3007">
        <w:rPr>
          <w:rFonts w:ascii="Arial" w:eastAsia="Times New Roman" w:hAnsi="Arial" w:cs="Arial"/>
          <w:color w:val="000000" w:themeColor="text1"/>
          <w:sz w:val="23"/>
          <w:szCs w:val="23"/>
          <w:lang w:eastAsia="it-IT"/>
        </w:rPr>
        <w:t xml:space="preserve"> – Utilizzare gli incassi derivanti dal concordato preventivo biennale per portare il limite del secondo scaglione IRPEF fino a 56 mila euro di reddito, con benefici massimi pari a 480 euro ed un costo complessivo stimato pari a 1,2 miliardi di euro. È la proposta avanzata dal Consiglio nazionale dei commercialisti.</w:t>
      </w:r>
    </w:p>
    <w:p w14:paraId="1AF59EF8" w14:textId="77777777" w:rsidR="008A3007" w:rsidRPr="008A3007" w:rsidRDefault="008A3007" w:rsidP="008A3007">
      <w:pPr>
        <w:shd w:val="clear" w:color="auto" w:fill="FFFFFF"/>
        <w:spacing w:after="0" w:line="240" w:lineRule="auto"/>
        <w:jc w:val="both"/>
        <w:rPr>
          <w:rFonts w:ascii="Arial" w:eastAsia="Times New Roman" w:hAnsi="Arial" w:cs="Arial"/>
          <w:color w:val="000000" w:themeColor="text1"/>
          <w:sz w:val="23"/>
          <w:szCs w:val="23"/>
          <w:lang w:eastAsia="it-IT"/>
        </w:rPr>
      </w:pPr>
    </w:p>
    <w:p w14:paraId="01AD4A2F" w14:textId="5846AD60" w:rsidR="008A3007" w:rsidRDefault="008A3007" w:rsidP="008A3007">
      <w:pPr>
        <w:shd w:val="clear" w:color="auto" w:fill="FFFFFF"/>
        <w:spacing w:after="0" w:line="240" w:lineRule="auto"/>
        <w:jc w:val="both"/>
        <w:rPr>
          <w:rFonts w:ascii="Arial" w:eastAsia="Times New Roman" w:hAnsi="Arial" w:cs="Arial"/>
          <w:color w:val="000000" w:themeColor="text1"/>
          <w:sz w:val="23"/>
          <w:szCs w:val="23"/>
          <w:lang w:eastAsia="it-IT"/>
        </w:rPr>
      </w:pPr>
      <w:r w:rsidRPr="008A3007">
        <w:rPr>
          <w:rFonts w:ascii="Arial" w:eastAsia="Times New Roman" w:hAnsi="Arial" w:cs="Arial"/>
          <w:color w:val="000000" w:themeColor="text1"/>
          <w:sz w:val="23"/>
          <w:szCs w:val="23"/>
          <w:lang w:eastAsia="it-IT"/>
        </w:rPr>
        <w:t xml:space="preserve">“La previsione di incasso di 1,3 miliardi dal concordato preventivo biennale formulata dal Viceministro dell’economia Maurizio Leo può aprire diversi scenari di rimodulazione dell’Irpef per ridurre la pressione fiscale. Come Consiglio Nazionale, abbiamo più volte ipotizzato l’estensione del secondo scaglione di reddito per venire incontro al ceto medio, cioè ai contribuenti che dichiarano oltre 50 mila euro di reddito imponibile, che sono sempre stati esclusi fino ad ora da ogni intervento”, afferma il presidente nazionale della categoria Elbano de Nuccio. “In questo caso – spiega </w:t>
      </w:r>
      <w:r>
        <w:rPr>
          <w:rFonts w:ascii="Arial" w:eastAsia="Times New Roman" w:hAnsi="Arial" w:cs="Arial"/>
          <w:color w:val="000000" w:themeColor="text1"/>
          <w:sz w:val="23"/>
          <w:szCs w:val="23"/>
          <w:lang w:eastAsia="it-IT"/>
        </w:rPr>
        <w:t xml:space="preserve">–, </w:t>
      </w:r>
      <w:r w:rsidRPr="008A3007">
        <w:rPr>
          <w:rFonts w:ascii="Arial" w:eastAsia="Times New Roman" w:hAnsi="Arial" w:cs="Arial"/>
          <w:color w:val="000000" w:themeColor="text1"/>
          <w:sz w:val="23"/>
          <w:szCs w:val="23"/>
          <w:lang w:eastAsia="it-IT"/>
        </w:rPr>
        <w:t>i contribuenti sopra 50mila euro di reddito imponibile vedrebbero ridursi l’aliquota di 8 punti percentuali dal momento che, spostando in avanti lo scaglione, chi prima si trovava nell’ultimo scaglione, quello con aliquota al 43%, si ritroverebbe, invece, nel secondo con aliquota 35%”.</w:t>
      </w:r>
    </w:p>
    <w:p w14:paraId="4A57028E" w14:textId="77777777" w:rsidR="008A3007" w:rsidRPr="008A3007" w:rsidRDefault="008A3007" w:rsidP="008A3007">
      <w:pPr>
        <w:shd w:val="clear" w:color="auto" w:fill="FFFFFF"/>
        <w:spacing w:after="0" w:line="240" w:lineRule="auto"/>
        <w:jc w:val="both"/>
        <w:rPr>
          <w:rFonts w:ascii="Arial" w:eastAsia="Times New Roman" w:hAnsi="Arial" w:cs="Arial"/>
          <w:color w:val="000000" w:themeColor="text1"/>
          <w:sz w:val="23"/>
          <w:szCs w:val="23"/>
          <w:lang w:eastAsia="it-IT"/>
        </w:rPr>
      </w:pPr>
    </w:p>
    <w:p w14:paraId="70038E1D" w14:textId="5E4481F2" w:rsidR="008A3007" w:rsidRPr="008A3007" w:rsidRDefault="008A3007" w:rsidP="008A3007">
      <w:pPr>
        <w:shd w:val="clear" w:color="auto" w:fill="FFFFFF"/>
        <w:spacing w:after="0" w:line="240" w:lineRule="auto"/>
        <w:jc w:val="both"/>
        <w:rPr>
          <w:rFonts w:ascii="Arial" w:eastAsia="Times New Roman" w:hAnsi="Arial" w:cs="Arial"/>
          <w:color w:val="000000" w:themeColor="text1"/>
          <w:sz w:val="23"/>
          <w:szCs w:val="23"/>
          <w:lang w:eastAsia="it-IT"/>
        </w:rPr>
      </w:pPr>
      <w:r w:rsidRPr="008A3007">
        <w:rPr>
          <w:rFonts w:ascii="Arial" w:eastAsia="Times New Roman" w:hAnsi="Arial" w:cs="Arial"/>
          <w:color w:val="000000" w:themeColor="text1"/>
          <w:sz w:val="23"/>
          <w:szCs w:val="23"/>
          <w:lang w:eastAsia="it-IT"/>
        </w:rPr>
        <w:t xml:space="preserve">De Nuccio ricorda come nei mesi scorsi i commercialisti avessero ipotizzato uno spostamento del limite del secondo scaglione a 70 mila euro. “Questa modifica </w:t>
      </w:r>
      <w:r w:rsidR="00396974">
        <w:rPr>
          <w:rFonts w:ascii="Arial" w:eastAsia="Times New Roman" w:hAnsi="Arial" w:cs="Arial"/>
          <w:color w:val="000000" w:themeColor="text1"/>
          <w:sz w:val="23"/>
          <w:szCs w:val="23"/>
          <w:lang w:eastAsia="it-IT"/>
        </w:rPr>
        <w:t>–</w:t>
      </w:r>
      <w:r w:rsidRPr="008A3007">
        <w:rPr>
          <w:rFonts w:ascii="Arial" w:eastAsia="Times New Roman" w:hAnsi="Arial" w:cs="Arial"/>
          <w:color w:val="000000" w:themeColor="text1"/>
          <w:sz w:val="23"/>
          <w:szCs w:val="23"/>
          <w:lang w:eastAsia="it-IT"/>
        </w:rPr>
        <w:t xml:space="preserve"> sottolinea </w:t>
      </w:r>
      <w:r w:rsidR="00396974">
        <w:rPr>
          <w:rFonts w:ascii="Arial" w:eastAsia="Times New Roman" w:hAnsi="Arial" w:cs="Arial"/>
          <w:color w:val="000000" w:themeColor="text1"/>
          <w:sz w:val="23"/>
          <w:szCs w:val="23"/>
          <w:lang w:eastAsia="it-IT"/>
        </w:rPr>
        <w:t>–</w:t>
      </w:r>
      <w:r w:rsidRPr="008A3007">
        <w:rPr>
          <w:rFonts w:ascii="Arial" w:eastAsia="Times New Roman" w:hAnsi="Arial" w:cs="Arial"/>
          <w:color w:val="000000" w:themeColor="text1"/>
          <w:sz w:val="23"/>
          <w:szCs w:val="23"/>
          <w:lang w:eastAsia="it-IT"/>
        </w:rPr>
        <w:t xml:space="preserve"> produrrebbe un beneficio massimo pari a 1.600 euro per chi dichiara 70 mila o più euro di reddito e benefici via via minori per chi si trova sotto 70 mila euro fino ad azzerarsi in corrispondenza di 50 mila euro di reddito. Il costo complessivo di una tale operazione è stimabile in circa 3,3 miliardi di euro e coinvolgerebbe circa 2,8 milioni di contribuenti”.</w:t>
      </w:r>
    </w:p>
    <w:p w14:paraId="536FF2B6" w14:textId="77777777" w:rsidR="008A3007" w:rsidRPr="008A3007" w:rsidRDefault="008A3007" w:rsidP="008A3007">
      <w:pPr>
        <w:shd w:val="clear" w:color="auto" w:fill="FFFFFF"/>
        <w:spacing w:after="0" w:line="240" w:lineRule="auto"/>
        <w:jc w:val="both"/>
        <w:rPr>
          <w:rFonts w:ascii="Arial" w:eastAsia="Times New Roman" w:hAnsi="Arial" w:cs="Arial"/>
          <w:color w:val="000000" w:themeColor="text1"/>
          <w:sz w:val="23"/>
          <w:szCs w:val="23"/>
          <w:lang w:eastAsia="it-IT"/>
        </w:rPr>
      </w:pPr>
    </w:p>
    <w:p w14:paraId="08BF0A8F" w14:textId="356D9278" w:rsidR="008A3007" w:rsidRDefault="008A3007" w:rsidP="008A3007">
      <w:pPr>
        <w:shd w:val="clear" w:color="auto" w:fill="FFFFFF"/>
        <w:spacing w:after="0" w:line="240" w:lineRule="auto"/>
        <w:jc w:val="both"/>
        <w:rPr>
          <w:rFonts w:ascii="Arial" w:eastAsia="Times New Roman" w:hAnsi="Arial" w:cs="Arial"/>
          <w:color w:val="000000" w:themeColor="text1"/>
          <w:sz w:val="23"/>
          <w:szCs w:val="23"/>
          <w:lang w:eastAsia="it-IT"/>
        </w:rPr>
      </w:pPr>
      <w:r w:rsidRPr="008A3007">
        <w:rPr>
          <w:rFonts w:ascii="Arial" w:eastAsia="Times New Roman" w:hAnsi="Arial" w:cs="Arial"/>
          <w:color w:val="000000" w:themeColor="text1"/>
          <w:sz w:val="23"/>
          <w:szCs w:val="23"/>
          <w:lang w:eastAsia="it-IT"/>
        </w:rPr>
        <w:t xml:space="preserve">“Nel formulare la proposta – aggiunge </w:t>
      </w:r>
      <w:r w:rsidR="00396974">
        <w:rPr>
          <w:rFonts w:ascii="Arial" w:eastAsia="Times New Roman" w:hAnsi="Arial" w:cs="Arial"/>
          <w:color w:val="000000" w:themeColor="text1"/>
          <w:sz w:val="23"/>
          <w:szCs w:val="23"/>
          <w:lang w:eastAsia="it-IT"/>
        </w:rPr>
        <w:t xml:space="preserve">–, </w:t>
      </w:r>
      <w:r w:rsidRPr="008A3007">
        <w:rPr>
          <w:rFonts w:ascii="Arial" w:eastAsia="Times New Roman" w:hAnsi="Arial" w:cs="Arial"/>
          <w:color w:val="000000" w:themeColor="text1"/>
          <w:sz w:val="23"/>
          <w:szCs w:val="23"/>
          <w:lang w:eastAsia="it-IT"/>
        </w:rPr>
        <w:t>avevamo anche detto che, sulla base delle risorse disponibili, il limite del nuovo scaglione avrebbe potuto essere fissato ad un livello intermedio in modo da avviare la modifica e via via che si liberavano nuove risorse il limite avrebbe potuto raggiungere i 70 mila euro di reddito imponibile. Alla luce delle stime attuali, pari a 1,3 miliardi di euro, secondo le simulazioni della Fondazione Nazionale di Ricerca dei Commercialisti, il limite può essere portato fino a 56 mila euro di reddito con benefici massimi pari a 480 euro ed un costo complessivo stimato pari a 1,2 miliardi di euro”.</w:t>
      </w:r>
    </w:p>
    <w:p w14:paraId="0464D609" w14:textId="77777777" w:rsidR="004B1D33" w:rsidRPr="008A3007" w:rsidRDefault="004B1D33" w:rsidP="008A3007">
      <w:pPr>
        <w:shd w:val="clear" w:color="auto" w:fill="FFFFFF"/>
        <w:spacing w:after="0" w:line="240" w:lineRule="auto"/>
        <w:jc w:val="both"/>
        <w:rPr>
          <w:rFonts w:ascii="Arial" w:eastAsia="Times New Roman" w:hAnsi="Arial" w:cs="Arial"/>
          <w:color w:val="000000" w:themeColor="text1"/>
          <w:sz w:val="23"/>
          <w:szCs w:val="23"/>
          <w:lang w:eastAsia="it-IT"/>
        </w:rPr>
      </w:pPr>
    </w:p>
    <w:p w14:paraId="2404CCA5" w14:textId="77777777" w:rsidR="008A3007" w:rsidRPr="008A3007" w:rsidRDefault="008A3007" w:rsidP="008A3007">
      <w:pPr>
        <w:shd w:val="clear" w:color="auto" w:fill="FFFFFF"/>
        <w:spacing w:after="0" w:line="240" w:lineRule="auto"/>
        <w:jc w:val="center"/>
        <w:rPr>
          <w:rFonts w:ascii="Arial" w:eastAsia="Times New Roman" w:hAnsi="Arial" w:cs="Arial"/>
          <w:color w:val="000000" w:themeColor="text1"/>
          <w:sz w:val="23"/>
          <w:szCs w:val="23"/>
          <w:lang w:eastAsia="it-IT"/>
        </w:rPr>
      </w:pPr>
      <w:r w:rsidRPr="008A3007">
        <w:rPr>
          <w:rFonts w:ascii="Arial" w:eastAsia="Times New Roman" w:hAnsi="Arial" w:cs="Arial"/>
          <w:color w:val="000000" w:themeColor="text1"/>
          <w:sz w:val="23"/>
          <w:szCs w:val="23"/>
          <w:lang w:eastAsia="it-IT"/>
        </w:rPr>
        <w:t xml:space="preserve"> </w:t>
      </w:r>
    </w:p>
    <w:tbl>
      <w:tblPr>
        <w:tblStyle w:val="Grigliatabella"/>
        <w:tblW w:w="0" w:type="auto"/>
        <w:tblLook w:val="04A0" w:firstRow="1" w:lastRow="0" w:firstColumn="1" w:lastColumn="0" w:noHBand="0" w:noVBand="1"/>
      </w:tblPr>
      <w:tblGrid>
        <w:gridCol w:w="4814"/>
        <w:gridCol w:w="4814"/>
      </w:tblGrid>
      <w:tr w:rsidR="008A3007" w:rsidRPr="008A3007" w14:paraId="63693B30" w14:textId="77777777" w:rsidTr="008A3007">
        <w:tc>
          <w:tcPr>
            <w:tcW w:w="4814" w:type="dxa"/>
          </w:tcPr>
          <w:p w14:paraId="3A32CBDA"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IMPONIBILE</w:t>
            </w:r>
          </w:p>
        </w:tc>
        <w:tc>
          <w:tcPr>
            <w:tcW w:w="4814" w:type="dxa"/>
          </w:tcPr>
          <w:p w14:paraId="49C34635"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BENEFICIO</w:t>
            </w:r>
          </w:p>
        </w:tc>
      </w:tr>
      <w:tr w:rsidR="008A3007" w:rsidRPr="008A3007" w14:paraId="06F6DEC0" w14:textId="77777777" w:rsidTr="008A3007">
        <w:tc>
          <w:tcPr>
            <w:tcW w:w="4814" w:type="dxa"/>
          </w:tcPr>
          <w:p w14:paraId="57109BC5"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50.000,00</w:t>
            </w:r>
          </w:p>
        </w:tc>
        <w:tc>
          <w:tcPr>
            <w:tcW w:w="4814" w:type="dxa"/>
          </w:tcPr>
          <w:p w14:paraId="3334ADA8"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 xml:space="preserve">            -  </w:t>
            </w:r>
          </w:p>
        </w:tc>
      </w:tr>
      <w:tr w:rsidR="008A3007" w:rsidRPr="008A3007" w14:paraId="1F3A1FEB" w14:textId="77777777" w:rsidTr="008A3007">
        <w:tc>
          <w:tcPr>
            <w:tcW w:w="4814" w:type="dxa"/>
          </w:tcPr>
          <w:p w14:paraId="47CC21A0"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51.000,00</w:t>
            </w:r>
          </w:p>
        </w:tc>
        <w:tc>
          <w:tcPr>
            <w:tcW w:w="4814" w:type="dxa"/>
          </w:tcPr>
          <w:p w14:paraId="7D32C19A"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     80,00</w:t>
            </w:r>
          </w:p>
        </w:tc>
      </w:tr>
      <w:tr w:rsidR="008A3007" w:rsidRPr="008A3007" w14:paraId="2ABE3C99" w14:textId="77777777" w:rsidTr="008A3007">
        <w:tc>
          <w:tcPr>
            <w:tcW w:w="4814" w:type="dxa"/>
          </w:tcPr>
          <w:p w14:paraId="13E72E4D"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52.000,00</w:t>
            </w:r>
          </w:p>
        </w:tc>
        <w:tc>
          <w:tcPr>
            <w:tcW w:w="4814" w:type="dxa"/>
          </w:tcPr>
          <w:p w14:paraId="26E7EEBB"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   160,00</w:t>
            </w:r>
          </w:p>
        </w:tc>
      </w:tr>
      <w:tr w:rsidR="008A3007" w:rsidRPr="008A3007" w14:paraId="04F05457" w14:textId="77777777" w:rsidTr="008A3007">
        <w:tc>
          <w:tcPr>
            <w:tcW w:w="4814" w:type="dxa"/>
          </w:tcPr>
          <w:p w14:paraId="5F278A0E"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53.000,00</w:t>
            </w:r>
          </w:p>
        </w:tc>
        <w:tc>
          <w:tcPr>
            <w:tcW w:w="4814" w:type="dxa"/>
          </w:tcPr>
          <w:p w14:paraId="0AE81813"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   240,00</w:t>
            </w:r>
          </w:p>
        </w:tc>
      </w:tr>
      <w:tr w:rsidR="008A3007" w:rsidRPr="008A3007" w14:paraId="4ABC14AF" w14:textId="77777777" w:rsidTr="008A3007">
        <w:tc>
          <w:tcPr>
            <w:tcW w:w="4814" w:type="dxa"/>
          </w:tcPr>
          <w:p w14:paraId="12E0535E"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54.000,00</w:t>
            </w:r>
          </w:p>
        </w:tc>
        <w:tc>
          <w:tcPr>
            <w:tcW w:w="4814" w:type="dxa"/>
          </w:tcPr>
          <w:p w14:paraId="42EAF4BF"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   320,00</w:t>
            </w:r>
          </w:p>
        </w:tc>
      </w:tr>
      <w:tr w:rsidR="008A3007" w:rsidRPr="008A3007" w14:paraId="1981669F" w14:textId="77777777" w:rsidTr="008A3007">
        <w:tc>
          <w:tcPr>
            <w:tcW w:w="4814" w:type="dxa"/>
          </w:tcPr>
          <w:p w14:paraId="2C725A7D"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55.000,00</w:t>
            </w:r>
          </w:p>
        </w:tc>
        <w:tc>
          <w:tcPr>
            <w:tcW w:w="4814" w:type="dxa"/>
          </w:tcPr>
          <w:p w14:paraId="3A0629E1"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   400,00</w:t>
            </w:r>
          </w:p>
        </w:tc>
      </w:tr>
      <w:tr w:rsidR="008A3007" w14:paraId="67D5714D" w14:textId="77777777" w:rsidTr="008A3007">
        <w:tc>
          <w:tcPr>
            <w:tcW w:w="4814" w:type="dxa"/>
          </w:tcPr>
          <w:p w14:paraId="144A98FD" w14:textId="77777777" w:rsidR="008A3007" w:rsidRPr="008A3007" w:rsidRDefault="008A3007" w:rsidP="00707261">
            <w:pPr>
              <w:rPr>
                <w:rFonts w:ascii="Arial" w:eastAsia="Times New Roman" w:hAnsi="Arial" w:cs="Arial"/>
                <w:b/>
                <w:bCs/>
                <w:color w:val="000000" w:themeColor="text1"/>
                <w:sz w:val="23"/>
                <w:szCs w:val="23"/>
                <w:lang w:eastAsia="it-IT"/>
              </w:rPr>
            </w:pPr>
            <w:r w:rsidRPr="008A3007">
              <w:rPr>
                <w:rFonts w:ascii="Arial" w:eastAsia="Times New Roman" w:hAnsi="Arial" w:cs="Arial"/>
                <w:b/>
                <w:bCs/>
                <w:color w:val="000000" w:themeColor="text1"/>
                <w:sz w:val="23"/>
                <w:szCs w:val="23"/>
                <w:lang w:eastAsia="it-IT"/>
              </w:rPr>
              <w:t>56.000,00</w:t>
            </w:r>
          </w:p>
        </w:tc>
        <w:tc>
          <w:tcPr>
            <w:tcW w:w="4814" w:type="dxa"/>
          </w:tcPr>
          <w:p w14:paraId="0CDBD05F" w14:textId="77777777" w:rsidR="008A3007" w:rsidRDefault="008A3007" w:rsidP="00707261">
            <w:pPr>
              <w:rPr>
                <w:rFonts w:eastAsia="Times New Roman"/>
                <w:color w:val="000000" w:themeColor="text1"/>
                <w:lang w:eastAsia="it-IT"/>
              </w:rPr>
            </w:pPr>
            <w:r w:rsidRPr="008A3007">
              <w:rPr>
                <w:rFonts w:ascii="Arial" w:eastAsia="Times New Roman" w:hAnsi="Arial" w:cs="Arial"/>
                <w:b/>
                <w:bCs/>
                <w:color w:val="000000" w:themeColor="text1"/>
                <w:sz w:val="23"/>
                <w:szCs w:val="23"/>
                <w:lang w:eastAsia="it-IT"/>
              </w:rPr>
              <w:t>-   480,00</w:t>
            </w:r>
          </w:p>
        </w:tc>
      </w:tr>
    </w:tbl>
    <w:p w14:paraId="509149B0" w14:textId="337C14B2" w:rsidR="0018228F" w:rsidRDefault="0018228F" w:rsidP="008A3007">
      <w:pPr>
        <w:shd w:val="clear" w:color="auto" w:fill="FFFFFF"/>
        <w:spacing w:after="0" w:line="240" w:lineRule="auto"/>
        <w:rPr>
          <w:rFonts w:eastAsia="Times New Roman"/>
          <w:color w:val="000000" w:themeColor="text1"/>
          <w:lang w:eastAsia="it-IT"/>
        </w:rPr>
      </w:pPr>
    </w:p>
    <w:sectPr w:rsidR="0018228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0947" w14:textId="77777777" w:rsidR="00C72751" w:rsidRDefault="00C72751" w:rsidP="008A20F9">
      <w:pPr>
        <w:spacing w:after="0" w:line="240" w:lineRule="auto"/>
      </w:pPr>
      <w:r>
        <w:separator/>
      </w:r>
    </w:p>
  </w:endnote>
  <w:endnote w:type="continuationSeparator" w:id="0">
    <w:p w14:paraId="2B7AE68E" w14:textId="77777777" w:rsidR="00C72751" w:rsidRDefault="00C72751" w:rsidP="008A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F3E6" w14:textId="77777777" w:rsidR="00C72751" w:rsidRDefault="00C72751" w:rsidP="008A20F9">
      <w:pPr>
        <w:spacing w:after="0" w:line="240" w:lineRule="auto"/>
      </w:pPr>
      <w:r>
        <w:separator/>
      </w:r>
    </w:p>
  </w:footnote>
  <w:footnote w:type="continuationSeparator" w:id="0">
    <w:p w14:paraId="02F0A384" w14:textId="77777777" w:rsidR="00C72751" w:rsidRDefault="00C72751" w:rsidP="008A2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C168" w14:textId="7377384B" w:rsidR="008A20F9" w:rsidRDefault="008A20F9" w:rsidP="008A20F9">
    <w:pPr>
      <w:pStyle w:val="Intestazione"/>
      <w:jc w:val="center"/>
    </w:pPr>
    <w:r>
      <w:rPr>
        <w:noProof/>
      </w:rPr>
      <w:drawing>
        <wp:inline distT="0" distB="0" distL="0" distR="0" wp14:anchorId="3FB781BE" wp14:editId="7DF93075">
          <wp:extent cx="2314575" cy="786130"/>
          <wp:effectExtent l="0" t="0" r="0" b="0"/>
          <wp:docPr id="155496730" name="Immagine 155496730"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21D51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F36B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9799A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E647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3B57D5"/>
    <w:multiLevelType w:val="hybridMultilevel"/>
    <w:tmpl w:val="5C92A8B4"/>
    <w:lvl w:ilvl="0" w:tplc="A68CE26E">
      <w:numFmt w:val="bullet"/>
      <w:lvlText w:val="-"/>
      <w:lvlJc w:val="left"/>
      <w:pPr>
        <w:ind w:left="450" w:hanging="360"/>
      </w:pPr>
      <w:rPr>
        <w:rFonts w:ascii="inherit" w:eastAsia="Times New Roman" w:hAnsi="inherit" w:cs="Courier New"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5" w15:restartNumberingAfterBreak="0">
    <w:nsid w:val="37DE18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1981567">
    <w:abstractNumId w:val="4"/>
  </w:num>
  <w:num w:numId="2" w16cid:durableId="602764990">
    <w:abstractNumId w:val="0"/>
  </w:num>
  <w:num w:numId="3" w16cid:durableId="1000501617">
    <w:abstractNumId w:val="1"/>
  </w:num>
  <w:num w:numId="4" w16cid:durableId="1178426182">
    <w:abstractNumId w:val="2"/>
  </w:num>
  <w:num w:numId="5" w16cid:durableId="23793651">
    <w:abstractNumId w:val="5"/>
  </w:num>
  <w:num w:numId="6" w16cid:durableId="114446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94814"/>
    <w:rsid w:val="000C77CE"/>
    <w:rsid w:val="0018228F"/>
    <w:rsid w:val="001A5B2B"/>
    <w:rsid w:val="001D4C69"/>
    <w:rsid w:val="002330A2"/>
    <w:rsid w:val="0024263F"/>
    <w:rsid w:val="00246292"/>
    <w:rsid w:val="00263457"/>
    <w:rsid w:val="00275AC0"/>
    <w:rsid w:val="002957A8"/>
    <w:rsid w:val="002D153D"/>
    <w:rsid w:val="002E445A"/>
    <w:rsid w:val="002F28B2"/>
    <w:rsid w:val="00301A37"/>
    <w:rsid w:val="00312B18"/>
    <w:rsid w:val="00336F75"/>
    <w:rsid w:val="00346C92"/>
    <w:rsid w:val="003507E0"/>
    <w:rsid w:val="00396974"/>
    <w:rsid w:val="003B7FE9"/>
    <w:rsid w:val="003C4E2B"/>
    <w:rsid w:val="003D52A1"/>
    <w:rsid w:val="004211FD"/>
    <w:rsid w:val="00423A7B"/>
    <w:rsid w:val="004547E1"/>
    <w:rsid w:val="004629E1"/>
    <w:rsid w:val="004A52D9"/>
    <w:rsid w:val="004B1D33"/>
    <w:rsid w:val="004D7A70"/>
    <w:rsid w:val="004F5A82"/>
    <w:rsid w:val="005012D7"/>
    <w:rsid w:val="005043FB"/>
    <w:rsid w:val="00505E0A"/>
    <w:rsid w:val="00524B93"/>
    <w:rsid w:val="00543953"/>
    <w:rsid w:val="00582A23"/>
    <w:rsid w:val="0062115D"/>
    <w:rsid w:val="006359F9"/>
    <w:rsid w:val="00642003"/>
    <w:rsid w:val="006A2684"/>
    <w:rsid w:val="006D222D"/>
    <w:rsid w:val="00732B28"/>
    <w:rsid w:val="00754333"/>
    <w:rsid w:val="00764982"/>
    <w:rsid w:val="008511D0"/>
    <w:rsid w:val="00895C49"/>
    <w:rsid w:val="008A20F9"/>
    <w:rsid w:val="008A3007"/>
    <w:rsid w:val="008B4082"/>
    <w:rsid w:val="008D15CD"/>
    <w:rsid w:val="0090611A"/>
    <w:rsid w:val="009079FD"/>
    <w:rsid w:val="00911316"/>
    <w:rsid w:val="00935A37"/>
    <w:rsid w:val="009D397A"/>
    <w:rsid w:val="009E7612"/>
    <w:rsid w:val="009F1BED"/>
    <w:rsid w:val="009F4D5C"/>
    <w:rsid w:val="00A12D0E"/>
    <w:rsid w:val="00A25E53"/>
    <w:rsid w:val="00A26B9D"/>
    <w:rsid w:val="00A456AF"/>
    <w:rsid w:val="00A52B3D"/>
    <w:rsid w:val="00AD683B"/>
    <w:rsid w:val="00B1708E"/>
    <w:rsid w:val="00B71001"/>
    <w:rsid w:val="00BD45E2"/>
    <w:rsid w:val="00BF0F6C"/>
    <w:rsid w:val="00BF7B31"/>
    <w:rsid w:val="00C13394"/>
    <w:rsid w:val="00C51CDA"/>
    <w:rsid w:val="00C56162"/>
    <w:rsid w:val="00C72751"/>
    <w:rsid w:val="00D40E0C"/>
    <w:rsid w:val="00D41394"/>
    <w:rsid w:val="00D52088"/>
    <w:rsid w:val="00E26BE2"/>
    <w:rsid w:val="00E34BB0"/>
    <w:rsid w:val="00E646A4"/>
    <w:rsid w:val="00E8677B"/>
    <w:rsid w:val="00EC353A"/>
    <w:rsid w:val="00ED27C6"/>
    <w:rsid w:val="00F010A2"/>
    <w:rsid w:val="00F01297"/>
    <w:rsid w:val="00F17684"/>
    <w:rsid w:val="00F4277A"/>
    <w:rsid w:val="00F72001"/>
    <w:rsid w:val="00F94166"/>
    <w:rsid w:val="00FD6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35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35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359F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359F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359F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359F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59F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59F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59F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ind w:left="720"/>
      <w:contextualSpacing/>
    </w:p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8A20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0F9"/>
  </w:style>
  <w:style w:type="paragraph" w:styleId="PreformattatoHTML">
    <w:name w:val="HTML Preformatted"/>
    <w:basedOn w:val="Normale"/>
    <w:link w:val="PreformattatoHTMLCarattere"/>
    <w:uiPriority w:val="99"/>
    <w:semiHidden/>
    <w:unhideWhenUsed/>
    <w:rsid w:val="008B4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8B4082"/>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8B4082"/>
  </w:style>
  <w:style w:type="paragraph" w:customStyle="1" w:styleId="Default">
    <w:name w:val="Default"/>
    <w:rsid w:val="003D52A1"/>
    <w:pPr>
      <w:autoSpaceDE w:val="0"/>
      <w:autoSpaceDN w:val="0"/>
      <w:adjustRightInd w:val="0"/>
      <w:spacing w:after="0" w:line="240" w:lineRule="auto"/>
    </w:pPr>
    <w:rPr>
      <w:rFonts w:ascii="Arial" w:hAnsi="Arial" w:cs="Arial"/>
      <w:color w:val="000000"/>
      <w:kern w:val="0"/>
    </w:rPr>
  </w:style>
  <w:style w:type="table" w:styleId="Grigliatabella">
    <w:name w:val="Table Grid"/>
    <w:basedOn w:val="Tabellanormale"/>
    <w:uiPriority w:val="39"/>
    <w:rsid w:val="008A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8814">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E958-2D24-41A9-9F94-FAEC29EB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420</Words>
  <Characters>2397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23</cp:revision>
  <dcterms:created xsi:type="dcterms:W3CDTF">2024-10-01T10:02:00Z</dcterms:created>
  <dcterms:modified xsi:type="dcterms:W3CDTF">2024-11-05T20:02:00Z</dcterms:modified>
</cp:coreProperties>
</file>