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171D5" w14:textId="77777777" w:rsidR="00F64F00" w:rsidRDefault="00F64F00" w:rsidP="003A75A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05506039"/>
    </w:p>
    <w:p w14:paraId="440AD82E" w14:textId="77777777" w:rsidR="00F64F00" w:rsidRDefault="00F64F00" w:rsidP="003A75A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bookmarkEnd w:id="0"/>
    <w:p w14:paraId="0D932DB5" w14:textId="77777777" w:rsidR="005524E5" w:rsidRDefault="005524E5" w:rsidP="00EA200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Comunicato stampa</w:t>
      </w:r>
    </w:p>
    <w:p w14:paraId="0947BE20" w14:textId="77777777" w:rsidR="00EA200D" w:rsidRDefault="00EA200D" w:rsidP="00EA200D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624D3B4A" w14:textId="77777777" w:rsidR="005524E5" w:rsidRDefault="005524E5" w:rsidP="00EA200D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CONCORDATO PREVENTIVO: DAI COMMERCIALISTI NUOVA RICHIESTA DI PROROGA</w:t>
      </w:r>
    </w:p>
    <w:p w14:paraId="09A9C199" w14:textId="77777777" w:rsidR="00EA200D" w:rsidRDefault="00EA200D" w:rsidP="00EA200D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47E8821D" w14:textId="77777777" w:rsidR="005524E5" w:rsidRDefault="005524E5" w:rsidP="00EA200D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Lettera del presidente del Consiglio nazionale della categoria de Nuccio a Leo e Ruffini: “Quadro normativo ancora non definitivo e malfunzionamenti tecnici, notevoli difficoltà per professionisti e contribuenti”</w:t>
      </w:r>
    </w:p>
    <w:p w14:paraId="2A896D2A" w14:textId="77777777" w:rsidR="00EA200D" w:rsidRDefault="00EA200D" w:rsidP="00EA200D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3DD47285" w14:textId="7587433E" w:rsidR="005524E5" w:rsidRDefault="005524E5" w:rsidP="00EA200D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Roma, 30 ottobre 2024 –</w:t>
      </w:r>
      <w:r>
        <w:rPr>
          <w:rFonts w:ascii="Arial" w:hAnsi="Arial" w:cs="Arial"/>
          <w:color w:val="000000"/>
        </w:rPr>
        <w:t xml:space="preserve"> Il Consiglio nazionale dei commercialisti torna a chiedere con forza una </w:t>
      </w:r>
      <w:r>
        <w:rPr>
          <w:rFonts w:ascii="Arial" w:hAnsi="Arial" w:cs="Arial"/>
          <w:b/>
          <w:bCs/>
          <w:color w:val="000000"/>
        </w:rPr>
        <w:t>proroga dei termini per l’adesione al concordato preventivo biennale</w:t>
      </w:r>
      <w:r>
        <w:rPr>
          <w:rFonts w:ascii="Arial" w:hAnsi="Arial" w:cs="Arial"/>
          <w:color w:val="000000"/>
        </w:rPr>
        <w:t xml:space="preserve"> in scadenza domani 31 ottobre. In una lettera inviata al Viceministro dell’Economia </w:t>
      </w:r>
      <w:r>
        <w:rPr>
          <w:rFonts w:ascii="Arial" w:hAnsi="Arial" w:cs="Arial"/>
          <w:b/>
          <w:bCs/>
          <w:color w:val="000000"/>
        </w:rPr>
        <w:t xml:space="preserve">Maurizio Leo </w:t>
      </w:r>
      <w:r>
        <w:rPr>
          <w:rFonts w:ascii="Arial" w:hAnsi="Arial" w:cs="Arial"/>
          <w:color w:val="000000"/>
        </w:rPr>
        <w:t xml:space="preserve">e al Direttore dell’Agenzia delle Entrate </w:t>
      </w:r>
      <w:r>
        <w:rPr>
          <w:rFonts w:ascii="Arial" w:hAnsi="Arial" w:cs="Arial"/>
          <w:b/>
          <w:bCs/>
          <w:color w:val="000000"/>
        </w:rPr>
        <w:t>Ernesto Maria Ruffini</w:t>
      </w:r>
      <w:r>
        <w:rPr>
          <w:rFonts w:ascii="Arial" w:hAnsi="Arial" w:cs="Arial"/>
          <w:color w:val="000000"/>
        </w:rPr>
        <w:t>, il numero uno della categoria professionale scrive</w:t>
      </w:r>
      <w:r w:rsidR="0005425B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“facendo seguito a quanto già rappresentato nelle missive del 10 e del 16 ottobre u.s., mi vedo costretto a richiamare all’attenzione delle SS.LL. Ill.me, ancora una volta, le </w:t>
      </w:r>
      <w:r>
        <w:rPr>
          <w:rFonts w:ascii="Arial" w:hAnsi="Arial" w:cs="Arial"/>
          <w:b/>
          <w:bCs/>
          <w:color w:val="000000"/>
        </w:rPr>
        <w:t>notevoli difficoltà</w:t>
      </w:r>
      <w:r>
        <w:rPr>
          <w:rFonts w:ascii="Arial" w:hAnsi="Arial" w:cs="Arial"/>
          <w:color w:val="000000"/>
        </w:rPr>
        <w:t xml:space="preserve"> che i </w:t>
      </w:r>
      <w:r>
        <w:rPr>
          <w:rFonts w:ascii="Arial" w:hAnsi="Arial" w:cs="Arial"/>
          <w:b/>
          <w:bCs/>
          <w:color w:val="000000"/>
        </w:rPr>
        <w:t xml:space="preserve">contribuenti e i professionisti </w:t>
      </w:r>
      <w:r>
        <w:rPr>
          <w:rFonts w:ascii="Arial" w:hAnsi="Arial" w:cs="Arial"/>
          <w:color w:val="000000"/>
        </w:rPr>
        <w:t xml:space="preserve">che li assistono stanno incontrando, in questi giorni, per il rispetto del termine di domani 31 ottobre per la </w:t>
      </w:r>
      <w:r>
        <w:rPr>
          <w:rFonts w:ascii="Arial" w:hAnsi="Arial" w:cs="Arial"/>
          <w:b/>
          <w:bCs/>
          <w:color w:val="000000"/>
        </w:rPr>
        <w:t>trasmissione delle dichiarazioni</w:t>
      </w:r>
      <w:r>
        <w:rPr>
          <w:rFonts w:ascii="Arial" w:hAnsi="Arial" w:cs="Arial"/>
          <w:color w:val="000000"/>
        </w:rPr>
        <w:t xml:space="preserve"> e per </w:t>
      </w:r>
      <w:r>
        <w:rPr>
          <w:rFonts w:ascii="Arial" w:hAnsi="Arial" w:cs="Arial"/>
          <w:b/>
          <w:bCs/>
          <w:color w:val="000000"/>
        </w:rPr>
        <w:t>l’eventuale adesione al concordato preventivo biennale</w:t>
      </w:r>
      <w:r>
        <w:rPr>
          <w:rFonts w:ascii="Arial" w:hAnsi="Arial" w:cs="Arial"/>
          <w:color w:val="000000"/>
        </w:rPr>
        <w:t>”.</w:t>
      </w:r>
    </w:p>
    <w:p w14:paraId="7541C981" w14:textId="77777777" w:rsidR="00EA200D" w:rsidRDefault="00EA200D" w:rsidP="00EA200D">
      <w:pPr>
        <w:spacing w:after="0" w:line="240" w:lineRule="auto"/>
        <w:jc w:val="both"/>
        <w:rPr>
          <w:rFonts w:ascii="Arial" w:hAnsi="Arial" w:cs="Arial"/>
        </w:rPr>
      </w:pPr>
    </w:p>
    <w:p w14:paraId="43CE6F49" w14:textId="4FE7C1E3" w:rsidR="005524E5" w:rsidRDefault="005524E5" w:rsidP="00EA200D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“Alle già segnalate difficoltà derivanti da un </w:t>
      </w:r>
      <w:r>
        <w:rPr>
          <w:rFonts w:ascii="Arial" w:hAnsi="Arial" w:cs="Arial"/>
          <w:b/>
          <w:bCs/>
          <w:color w:val="000000"/>
        </w:rPr>
        <w:t>quadro normativo di riferimento ancora non definitivo</w:t>
      </w:r>
      <w:r>
        <w:rPr>
          <w:rFonts w:ascii="Arial" w:hAnsi="Arial" w:cs="Arial"/>
          <w:color w:val="000000"/>
        </w:rPr>
        <w:t xml:space="preserve"> per quanto concerne – scrive de Nuccio </w:t>
      </w:r>
      <w:r w:rsidR="0005425B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>, in particolare, il regime di “</w:t>
      </w:r>
      <w:r>
        <w:rPr>
          <w:rFonts w:ascii="Arial" w:hAnsi="Arial" w:cs="Arial"/>
          <w:b/>
          <w:bCs/>
          <w:color w:val="000000"/>
        </w:rPr>
        <w:t>ravvedimento speciale</w:t>
      </w:r>
      <w:r>
        <w:rPr>
          <w:rFonts w:ascii="Arial" w:hAnsi="Arial" w:cs="Arial"/>
          <w:color w:val="000000"/>
        </w:rPr>
        <w:t xml:space="preserve">” per le </w:t>
      </w:r>
      <w:r>
        <w:rPr>
          <w:rFonts w:ascii="Arial" w:hAnsi="Arial" w:cs="Arial"/>
          <w:b/>
          <w:bCs/>
          <w:color w:val="000000"/>
        </w:rPr>
        <w:t>annualità pregresse</w:t>
      </w:r>
      <w:r>
        <w:rPr>
          <w:rFonts w:ascii="Arial" w:hAnsi="Arial" w:cs="Arial"/>
          <w:color w:val="000000"/>
        </w:rPr>
        <w:t xml:space="preserve"> connesso al concordato preventivo biennale (v., da ultimo, l’articolo 7 del decreto-legge 19 ottobre 2024, n.155, ancora in corso di conversione in legge, che ha ampliato la platea dei soggetti che possono avvalersi del predetto regime) nonché da </w:t>
      </w:r>
      <w:r>
        <w:rPr>
          <w:rFonts w:ascii="Arial" w:hAnsi="Arial" w:cs="Arial"/>
          <w:b/>
          <w:bCs/>
          <w:color w:val="000000"/>
        </w:rPr>
        <w:t>chiarimenti di prassi in costante aggiornamento</w:t>
      </w:r>
      <w:r>
        <w:rPr>
          <w:rFonts w:ascii="Arial" w:hAnsi="Arial" w:cs="Arial"/>
          <w:color w:val="000000"/>
        </w:rPr>
        <w:t xml:space="preserve"> (i più recenti si devono alle risposte alle </w:t>
      </w:r>
      <w:proofErr w:type="spellStart"/>
      <w:r>
        <w:rPr>
          <w:rFonts w:ascii="Arial" w:hAnsi="Arial" w:cs="Arial"/>
          <w:color w:val="000000"/>
        </w:rPr>
        <w:t>Faq</w:t>
      </w:r>
      <w:proofErr w:type="spellEnd"/>
      <w:r>
        <w:rPr>
          <w:rFonts w:ascii="Arial" w:hAnsi="Arial" w:cs="Arial"/>
          <w:color w:val="000000"/>
        </w:rPr>
        <w:t xml:space="preserve"> pubblicate, nella giornata del </w:t>
      </w:r>
      <w:r>
        <w:rPr>
          <w:rFonts w:ascii="Arial" w:hAnsi="Arial" w:cs="Arial"/>
          <w:b/>
          <w:bCs/>
          <w:color w:val="000000"/>
        </w:rPr>
        <w:t>28 ottobre</w:t>
      </w:r>
      <w:r>
        <w:rPr>
          <w:rFonts w:ascii="Arial" w:hAnsi="Arial" w:cs="Arial"/>
          <w:color w:val="000000"/>
        </w:rPr>
        <w:t xml:space="preserve">, sul sito istituzionale dell’Agenzia delle </w:t>
      </w:r>
      <w:r w:rsidR="0005425B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ntrate), si è aggiunto dapprima, lo stesso 28 ottobre, un </w:t>
      </w:r>
      <w:r>
        <w:rPr>
          <w:rFonts w:ascii="Arial" w:hAnsi="Arial" w:cs="Arial"/>
          <w:b/>
          <w:bCs/>
          <w:color w:val="000000"/>
        </w:rPr>
        <w:t>generale malfunzionamento dei servizi telematici</w:t>
      </w:r>
      <w:r>
        <w:rPr>
          <w:rFonts w:ascii="Arial" w:hAnsi="Arial" w:cs="Arial"/>
          <w:color w:val="000000"/>
        </w:rPr>
        <w:t xml:space="preserve"> messi a disposizione dall’Agenzia delle </w:t>
      </w:r>
      <w:r w:rsidR="0005425B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ntrate culminato con un </w:t>
      </w:r>
      <w:r>
        <w:rPr>
          <w:rFonts w:ascii="Arial" w:hAnsi="Arial" w:cs="Arial"/>
          <w:b/>
          <w:bCs/>
          <w:color w:val="000000"/>
        </w:rPr>
        <w:t>blocco totale</w:t>
      </w:r>
      <w:r>
        <w:rPr>
          <w:rFonts w:ascii="Arial" w:hAnsi="Arial" w:cs="Arial"/>
          <w:color w:val="000000"/>
        </w:rPr>
        <w:t xml:space="preserve"> nel pomeriggio e poi, in data odierna, lo </w:t>
      </w:r>
      <w:r>
        <w:rPr>
          <w:rFonts w:ascii="Arial" w:hAnsi="Arial" w:cs="Arial"/>
          <w:b/>
          <w:bCs/>
          <w:color w:val="000000"/>
        </w:rPr>
        <w:t xml:space="preserve">scarto di numerosi modelli F24 </w:t>
      </w:r>
      <w:r>
        <w:rPr>
          <w:rFonts w:ascii="Arial" w:hAnsi="Arial" w:cs="Arial"/>
          <w:color w:val="000000"/>
        </w:rPr>
        <w:t>di versamento, con motivazione “Squadratura contabile sezione erario”, con cui i contribuenti stanno provvedendo a versare, tra le altre, le imposte sostitutive dovute per il “ravvedimento” per gli anni pregressi”.</w:t>
      </w:r>
    </w:p>
    <w:p w14:paraId="58F9ECA2" w14:textId="77777777" w:rsidR="00EA200D" w:rsidRDefault="00EA200D" w:rsidP="00EA200D">
      <w:pPr>
        <w:spacing w:after="0" w:line="240" w:lineRule="auto"/>
        <w:jc w:val="both"/>
        <w:rPr>
          <w:rFonts w:ascii="Arial" w:hAnsi="Arial" w:cs="Arial"/>
        </w:rPr>
      </w:pPr>
    </w:p>
    <w:p w14:paraId="549C3835" w14:textId="42B2189F" w:rsidR="005524E5" w:rsidRDefault="005524E5" w:rsidP="00EA200D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Per tali motivi – aggiunge </w:t>
      </w:r>
      <w:r w:rsidR="0005425B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mi permetto di rinnovare la richiesta di concedere </w:t>
      </w:r>
      <w:r>
        <w:rPr>
          <w:rFonts w:ascii="Arial" w:hAnsi="Arial" w:cs="Arial"/>
          <w:b/>
          <w:bCs/>
          <w:color w:val="000000"/>
        </w:rPr>
        <w:t>un maggior termine per la trasmissione delle dichiarazioni e per l’adesione al concordato preventivo biennale</w:t>
      </w:r>
      <w:r>
        <w:rPr>
          <w:rFonts w:ascii="Arial" w:hAnsi="Arial" w:cs="Arial"/>
          <w:color w:val="000000"/>
        </w:rPr>
        <w:t xml:space="preserve">, anche alla luce di quanto disposto </w:t>
      </w:r>
      <w:r>
        <w:rPr>
          <w:rFonts w:ascii="Arial" w:hAnsi="Arial" w:cs="Arial"/>
          <w:b/>
          <w:bCs/>
          <w:color w:val="000000"/>
        </w:rPr>
        <w:t>dall’articolo 1 del decreto-legge 21 giugno 1961, n. 498, convertito, con modificazioni, dalla legge 28 luglio 1961, n. 770</w:t>
      </w:r>
      <w:r>
        <w:rPr>
          <w:rFonts w:ascii="Arial" w:hAnsi="Arial" w:cs="Arial"/>
          <w:color w:val="000000"/>
        </w:rPr>
        <w:t>, recante “Norme per la sistemazione di talune situazioni dipendenti da mancato o irregolare funzionamento degli Uffici finanziari, secondo cui “Qualora gli uffici finanziari non siano in grado di funzionare regolarmente a causa di eventi di carattere eccezionale, non riconducibili a disfunzioni organizzative dell’amministrazione finanziaria, i termini di prescrizione e di decadenza nonché quelli di adempimento di obbligazioni e di formalità previsti dalle norme riguardanti le imposte e le tasse a favore dell’erario, scadenti durante il periodo di mancato o irregolare funzionamento, sono prorogati fino al decimo giorno successivo alla data in cui viene pubblicato …” il relativo provvedimento del direttore dell’Agenzia delle Entrate”.</w:t>
      </w:r>
    </w:p>
    <w:p w14:paraId="6DF702AD" w14:textId="77777777" w:rsidR="00EA200D" w:rsidRDefault="00EA200D" w:rsidP="00EA200D">
      <w:pPr>
        <w:spacing w:after="0" w:line="240" w:lineRule="auto"/>
        <w:jc w:val="both"/>
        <w:rPr>
          <w:rFonts w:ascii="Arial" w:hAnsi="Arial" w:cs="Arial"/>
        </w:rPr>
      </w:pPr>
    </w:p>
    <w:p w14:paraId="69BA88E0" w14:textId="09A75BD6" w:rsidR="00103673" w:rsidRPr="00DB7788" w:rsidRDefault="005524E5" w:rsidP="00EA2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“In considerazione dei predetti malfunzionamenti tecnici – conclude de Nuccio </w:t>
      </w:r>
      <w:r w:rsidR="0005425B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sono aumentate infatti le </w:t>
      </w:r>
      <w:r>
        <w:rPr>
          <w:rFonts w:ascii="Arial" w:hAnsi="Arial" w:cs="Arial"/>
          <w:b/>
          <w:bCs/>
          <w:color w:val="000000"/>
        </w:rPr>
        <w:t>criticità</w:t>
      </w:r>
      <w:r>
        <w:rPr>
          <w:rFonts w:ascii="Arial" w:hAnsi="Arial" w:cs="Arial"/>
          <w:color w:val="000000"/>
        </w:rPr>
        <w:t xml:space="preserve"> che stanno rendendo </w:t>
      </w:r>
      <w:r>
        <w:rPr>
          <w:rFonts w:ascii="Arial" w:hAnsi="Arial" w:cs="Arial"/>
          <w:b/>
          <w:bCs/>
          <w:color w:val="000000"/>
        </w:rPr>
        <w:t>oltremodo gravoso</w:t>
      </w:r>
      <w:r>
        <w:rPr>
          <w:rFonts w:ascii="Arial" w:hAnsi="Arial" w:cs="Arial"/>
          <w:color w:val="000000"/>
        </w:rPr>
        <w:t xml:space="preserve"> per i contribuenti e per i professionisti che li assistono il </w:t>
      </w:r>
      <w:r>
        <w:rPr>
          <w:rFonts w:ascii="Arial" w:hAnsi="Arial" w:cs="Arial"/>
          <w:b/>
          <w:bCs/>
          <w:color w:val="000000"/>
        </w:rPr>
        <w:t>rispetto degli adempimenti e delle formalità</w:t>
      </w:r>
      <w:r>
        <w:rPr>
          <w:rFonts w:ascii="Arial" w:hAnsi="Arial" w:cs="Arial"/>
          <w:color w:val="000000"/>
        </w:rPr>
        <w:t> in scadenza domani 31 ottobre 2024”.</w:t>
      </w:r>
    </w:p>
    <w:sectPr w:rsidR="00103673" w:rsidRPr="00DB778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446E3" w14:textId="77777777" w:rsidR="00F17F64" w:rsidRDefault="00F17F64" w:rsidP="009F0724">
      <w:pPr>
        <w:spacing w:after="0" w:line="240" w:lineRule="auto"/>
      </w:pPr>
      <w:r>
        <w:separator/>
      </w:r>
    </w:p>
  </w:endnote>
  <w:endnote w:type="continuationSeparator" w:id="0">
    <w:p w14:paraId="3457DDCF" w14:textId="77777777" w:rsidR="00F17F64" w:rsidRDefault="00F17F64" w:rsidP="009F0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E6F68" w14:textId="77777777" w:rsidR="001D6DA1" w:rsidRDefault="001D6DA1" w:rsidP="001D6DA1">
    <w:pPr>
      <w:spacing w:after="0" w:line="240" w:lineRule="auto"/>
      <w:rPr>
        <w:rFonts w:ascii="Arial" w:hAnsi="Arial" w:cs="Arial"/>
        <w:b/>
        <w:sz w:val="20"/>
        <w:szCs w:val="20"/>
      </w:rPr>
    </w:pPr>
  </w:p>
  <w:p w14:paraId="52969F0A" w14:textId="6F928F58" w:rsidR="009F0724" w:rsidRDefault="009F0724" w:rsidP="005B1BD5">
    <w:pPr>
      <w:pStyle w:val="Pidipagina"/>
      <w:tabs>
        <w:tab w:val="clear" w:pos="4819"/>
        <w:tab w:val="clear" w:pos="9638"/>
        <w:tab w:val="left" w:pos="36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79013" w14:textId="77777777" w:rsidR="00F17F64" w:rsidRDefault="00F17F64" w:rsidP="009F0724">
      <w:pPr>
        <w:spacing w:after="0" w:line="240" w:lineRule="auto"/>
      </w:pPr>
      <w:r>
        <w:separator/>
      </w:r>
    </w:p>
  </w:footnote>
  <w:footnote w:type="continuationSeparator" w:id="0">
    <w:p w14:paraId="47E2EE02" w14:textId="77777777" w:rsidR="00F17F64" w:rsidRDefault="00F17F64" w:rsidP="009F0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9A24C" w14:textId="772A13C7" w:rsidR="009F0724" w:rsidRDefault="00261B96" w:rsidP="004D2D37">
    <w:pPr>
      <w:pStyle w:val="Intestazione"/>
      <w:jc w:val="center"/>
    </w:pPr>
    <w:r w:rsidRPr="00261B96">
      <w:rPr>
        <w:noProof/>
        <w:lang w:eastAsia="it-IT"/>
      </w:rPr>
      <w:drawing>
        <wp:inline distT="0" distB="0" distL="0" distR="0" wp14:anchorId="06D3ED0D" wp14:editId="7C0D6F88">
          <wp:extent cx="2554007" cy="866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5314" cy="887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84D03"/>
    <w:multiLevelType w:val="hybridMultilevel"/>
    <w:tmpl w:val="57362A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F624D"/>
    <w:multiLevelType w:val="hybridMultilevel"/>
    <w:tmpl w:val="C6AA0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74255"/>
    <w:multiLevelType w:val="hybridMultilevel"/>
    <w:tmpl w:val="858E19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0050D"/>
    <w:multiLevelType w:val="hybridMultilevel"/>
    <w:tmpl w:val="DEEEF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8854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2421540">
    <w:abstractNumId w:val="1"/>
  </w:num>
  <w:num w:numId="3" w16cid:durableId="551311590">
    <w:abstractNumId w:val="2"/>
  </w:num>
  <w:num w:numId="4" w16cid:durableId="411632144">
    <w:abstractNumId w:val="0"/>
  </w:num>
  <w:num w:numId="5" w16cid:durableId="312413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0NjIxNTMxMDcxsjRR0lEKTi0uzszPAykwrgUA0iTPvCwAAAA="/>
  </w:docVars>
  <w:rsids>
    <w:rsidRoot w:val="0044735E"/>
    <w:rsid w:val="00002244"/>
    <w:rsid w:val="000231C6"/>
    <w:rsid w:val="00023E17"/>
    <w:rsid w:val="0005425B"/>
    <w:rsid w:val="00075279"/>
    <w:rsid w:val="00080B93"/>
    <w:rsid w:val="00083F31"/>
    <w:rsid w:val="00092819"/>
    <w:rsid w:val="000B0EB6"/>
    <w:rsid w:val="000B4CE8"/>
    <w:rsid w:val="000C47ED"/>
    <w:rsid w:val="000C5C54"/>
    <w:rsid w:val="000D1E07"/>
    <w:rsid w:val="000E0DCD"/>
    <w:rsid w:val="000E67E2"/>
    <w:rsid w:val="000F4FAB"/>
    <w:rsid w:val="00103673"/>
    <w:rsid w:val="001063C9"/>
    <w:rsid w:val="00142566"/>
    <w:rsid w:val="00170E23"/>
    <w:rsid w:val="00177BF9"/>
    <w:rsid w:val="00192F66"/>
    <w:rsid w:val="001B323E"/>
    <w:rsid w:val="001C2E24"/>
    <w:rsid w:val="001C2F93"/>
    <w:rsid w:val="001C7D54"/>
    <w:rsid w:val="001D2949"/>
    <w:rsid w:val="001D6DA1"/>
    <w:rsid w:val="001F0F55"/>
    <w:rsid w:val="00207787"/>
    <w:rsid w:val="002110FF"/>
    <w:rsid w:val="00225F40"/>
    <w:rsid w:val="00227744"/>
    <w:rsid w:val="002513B8"/>
    <w:rsid w:val="00255E01"/>
    <w:rsid w:val="00261B96"/>
    <w:rsid w:val="002D07B3"/>
    <w:rsid w:val="002D7B38"/>
    <w:rsid w:val="00310032"/>
    <w:rsid w:val="0031137E"/>
    <w:rsid w:val="00345FE7"/>
    <w:rsid w:val="003A4E16"/>
    <w:rsid w:val="003A75A2"/>
    <w:rsid w:val="003D2CAD"/>
    <w:rsid w:val="003F04BD"/>
    <w:rsid w:val="00405E47"/>
    <w:rsid w:val="00413F8F"/>
    <w:rsid w:val="00415C20"/>
    <w:rsid w:val="0044735E"/>
    <w:rsid w:val="00492873"/>
    <w:rsid w:val="004C5894"/>
    <w:rsid w:val="004D2D37"/>
    <w:rsid w:val="004E009A"/>
    <w:rsid w:val="004E1318"/>
    <w:rsid w:val="004E3322"/>
    <w:rsid w:val="00514FA1"/>
    <w:rsid w:val="0051703D"/>
    <w:rsid w:val="0053261B"/>
    <w:rsid w:val="00533163"/>
    <w:rsid w:val="00541FFC"/>
    <w:rsid w:val="005524E5"/>
    <w:rsid w:val="00557525"/>
    <w:rsid w:val="00582366"/>
    <w:rsid w:val="005922B1"/>
    <w:rsid w:val="005B1BD5"/>
    <w:rsid w:val="005B46A7"/>
    <w:rsid w:val="005C438D"/>
    <w:rsid w:val="005E4AA3"/>
    <w:rsid w:val="005E5E91"/>
    <w:rsid w:val="005F39F5"/>
    <w:rsid w:val="006252E9"/>
    <w:rsid w:val="00626716"/>
    <w:rsid w:val="00634EEF"/>
    <w:rsid w:val="006751D0"/>
    <w:rsid w:val="00676AEA"/>
    <w:rsid w:val="00684968"/>
    <w:rsid w:val="006D5D47"/>
    <w:rsid w:val="006E01CB"/>
    <w:rsid w:val="006E24E9"/>
    <w:rsid w:val="006F0438"/>
    <w:rsid w:val="00706E22"/>
    <w:rsid w:val="0076006A"/>
    <w:rsid w:val="00767C9D"/>
    <w:rsid w:val="007737B3"/>
    <w:rsid w:val="007873BC"/>
    <w:rsid w:val="007920CB"/>
    <w:rsid w:val="007C4773"/>
    <w:rsid w:val="007E3295"/>
    <w:rsid w:val="00851630"/>
    <w:rsid w:val="008516F3"/>
    <w:rsid w:val="00861013"/>
    <w:rsid w:val="00870079"/>
    <w:rsid w:val="00893D97"/>
    <w:rsid w:val="0089708D"/>
    <w:rsid w:val="008A3146"/>
    <w:rsid w:val="008B6D1D"/>
    <w:rsid w:val="008F3BFD"/>
    <w:rsid w:val="009763DB"/>
    <w:rsid w:val="00990A2F"/>
    <w:rsid w:val="009D2930"/>
    <w:rsid w:val="009F0724"/>
    <w:rsid w:val="00A15DBE"/>
    <w:rsid w:val="00A26D28"/>
    <w:rsid w:val="00A34162"/>
    <w:rsid w:val="00A3693E"/>
    <w:rsid w:val="00A50E30"/>
    <w:rsid w:val="00A6536D"/>
    <w:rsid w:val="00AD1E23"/>
    <w:rsid w:val="00AE78BA"/>
    <w:rsid w:val="00AF2A4D"/>
    <w:rsid w:val="00B17E53"/>
    <w:rsid w:val="00B333FF"/>
    <w:rsid w:val="00B3717E"/>
    <w:rsid w:val="00B37465"/>
    <w:rsid w:val="00B404D2"/>
    <w:rsid w:val="00B44692"/>
    <w:rsid w:val="00B544AD"/>
    <w:rsid w:val="00B81021"/>
    <w:rsid w:val="00BA25C8"/>
    <w:rsid w:val="00BA70FF"/>
    <w:rsid w:val="00BB6755"/>
    <w:rsid w:val="00BE3E71"/>
    <w:rsid w:val="00BE7ABD"/>
    <w:rsid w:val="00C31DCF"/>
    <w:rsid w:val="00C50A8F"/>
    <w:rsid w:val="00CD23F8"/>
    <w:rsid w:val="00CD2F2B"/>
    <w:rsid w:val="00CE1625"/>
    <w:rsid w:val="00D07820"/>
    <w:rsid w:val="00D112DF"/>
    <w:rsid w:val="00D477D2"/>
    <w:rsid w:val="00D558A3"/>
    <w:rsid w:val="00D715A9"/>
    <w:rsid w:val="00D9186D"/>
    <w:rsid w:val="00DB621A"/>
    <w:rsid w:val="00DB6CA8"/>
    <w:rsid w:val="00DB7788"/>
    <w:rsid w:val="00DF0B94"/>
    <w:rsid w:val="00E16B18"/>
    <w:rsid w:val="00E41782"/>
    <w:rsid w:val="00E66E60"/>
    <w:rsid w:val="00E92890"/>
    <w:rsid w:val="00E928A8"/>
    <w:rsid w:val="00EA200D"/>
    <w:rsid w:val="00EA466A"/>
    <w:rsid w:val="00EC0189"/>
    <w:rsid w:val="00EE2B2D"/>
    <w:rsid w:val="00EF171E"/>
    <w:rsid w:val="00F1128F"/>
    <w:rsid w:val="00F17F64"/>
    <w:rsid w:val="00F24B81"/>
    <w:rsid w:val="00F46B69"/>
    <w:rsid w:val="00F61254"/>
    <w:rsid w:val="00F64F00"/>
    <w:rsid w:val="00F7390C"/>
    <w:rsid w:val="00F7723B"/>
    <w:rsid w:val="00F81573"/>
    <w:rsid w:val="00F92529"/>
    <w:rsid w:val="00FA45A3"/>
    <w:rsid w:val="00FA5511"/>
    <w:rsid w:val="00FB2D3B"/>
    <w:rsid w:val="00FB6561"/>
    <w:rsid w:val="00FD0FA2"/>
    <w:rsid w:val="00FE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40AA21"/>
  <w15:chartTrackingRefBased/>
  <w15:docId w15:val="{803A81A6-46B4-4D6F-97D4-676EAF89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2D7B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44735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4735E"/>
    <w:rPr>
      <w:rFonts w:ascii="Consolas" w:hAnsi="Consola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4735E"/>
    <w:pPr>
      <w:spacing w:after="0" w:line="240" w:lineRule="auto"/>
      <w:ind w:left="720"/>
    </w:pPr>
    <w:rPr>
      <w:rFonts w:ascii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9F07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0724"/>
  </w:style>
  <w:style w:type="paragraph" w:styleId="Pidipagina">
    <w:name w:val="footer"/>
    <w:basedOn w:val="Normale"/>
    <w:link w:val="PidipaginaCarattere"/>
    <w:uiPriority w:val="99"/>
    <w:unhideWhenUsed/>
    <w:rsid w:val="009F07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0724"/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B1BD5"/>
    <w:pPr>
      <w:spacing w:after="0" w:line="240" w:lineRule="auto"/>
    </w:pPr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B1BD5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76AEA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7723B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3A75A2"/>
    <w:rPr>
      <w:b/>
      <w:bCs/>
    </w:rPr>
  </w:style>
  <w:style w:type="character" w:styleId="Enfasicorsivo">
    <w:name w:val="Emphasis"/>
    <w:basedOn w:val="Carpredefinitoparagrafo"/>
    <w:uiPriority w:val="20"/>
    <w:qFormat/>
    <w:rsid w:val="003A75A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2D7B3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0367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0367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0367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0367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0367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3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367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D2930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12</cp:revision>
  <cp:lastPrinted>2024-09-18T12:37:00Z</cp:lastPrinted>
  <dcterms:created xsi:type="dcterms:W3CDTF">2024-10-17T10:08:00Z</dcterms:created>
  <dcterms:modified xsi:type="dcterms:W3CDTF">2024-10-31T10:58:00Z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1b64f0f0d8e8e778aef473d878f0edfdb438ecfce4bae6daa8642d55c3f7d214</vt:lpwstr>
  </property>
</Properties>
</file>