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0980" w14:textId="77777777" w:rsidR="00AF721C" w:rsidRPr="00226CEC" w:rsidRDefault="00AF721C" w:rsidP="00226CEC">
      <w:pPr>
        <w:spacing w:after="0" w:line="240" w:lineRule="auto"/>
        <w:rPr>
          <w:rFonts w:ascii="Arial" w:hAnsi="Arial" w:cs="Arial"/>
          <w:b/>
          <w:bCs/>
          <w:sz w:val="24"/>
          <w:szCs w:val="24"/>
        </w:rPr>
      </w:pPr>
    </w:p>
    <w:p w14:paraId="0DBEC241" w14:textId="77777777" w:rsidR="00226CEC" w:rsidRPr="008C007F" w:rsidRDefault="00226CEC" w:rsidP="008C007F">
      <w:pPr>
        <w:spacing w:after="0" w:line="240" w:lineRule="auto"/>
        <w:rPr>
          <w:rFonts w:ascii="Arial" w:eastAsia="Times New Roman" w:hAnsi="Arial" w:cs="Arial"/>
          <w:b/>
          <w:color w:val="000000"/>
          <w:kern w:val="0"/>
          <w:sz w:val="23"/>
          <w:szCs w:val="23"/>
          <w14:ligatures w14:val="none"/>
        </w:rPr>
      </w:pPr>
    </w:p>
    <w:p w14:paraId="3CE9D56A" w14:textId="77777777" w:rsidR="00C377D8" w:rsidRDefault="00C377D8" w:rsidP="008C007F">
      <w:pPr>
        <w:spacing w:after="0" w:line="240" w:lineRule="auto"/>
        <w:jc w:val="center"/>
        <w:rPr>
          <w:rFonts w:ascii="Arial" w:eastAsia="Times New Roman" w:hAnsi="Arial" w:cs="Arial"/>
          <w:b/>
          <w:bCs/>
          <w:color w:val="000000"/>
          <w:sz w:val="24"/>
          <w:szCs w:val="24"/>
          <w:u w:val="single"/>
        </w:rPr>
      </w:pPr>
      <w:r w:rsidRPr="008C007F">
        <w:rPr>
          <w:rFonts w:ascii="Arial" w:eastAsia="Times New Roman" w:hAnsi="Arial" w:cs="Arial"/>
          <w:b/>
          <w:bCs/>
          <w:color w:val="000000"/>
          <w:sz w:val="24"/>
          <w:szCs w:val="24"/>
          <w:u w:val="single"/>
        </w:rPr>
        <w:t>Comunicato stampa</w:t>
      </w:r>
    </w:p>
    <w:p w14:paraId="332F4620" w14:textId="77777777" w:rsidR="008C007F" w:rsidRPr="008C007F" w:rsidRDefault="008C007F" w:rsidP="008C007F">
      <w:pPr>
        <w:spacing w:after="0" w:line="240" w:lineRule="auto"/>
        <w:jc w:val="center"/>
        <w:rPr>
          <w:rFonts w:ascii="Arial" w:eastAsia="Times New Roman" w:hAnsi="Arial" w:cs="Arial"/>
          <w:color w:val="000000"/>
          <w:sz w:val="24"/>
          <w:szCs w:val="24"/>
        </w:rPr>
      </w:pPr>
    </w:p>
    <w:p w14:paraId="71AD1E8B" w14:textId="77777777" w:rsidR="00C377D8" w:rsidRDefault="00C377D8" w:rsidP="008C007F">
      <w:pPr>
        <w:spacing w:after="0" w:line="240" w:lineRule="auto"/>
        <w:jc w:val="center"/>
        <w:rPr>
          <w:rFonts w:ascii="Arial" w:eastAsia="Times New Roman" w:hAnsi="Arial" w:cs="Arial"/>
          <w:b/>
          <w:bCs/>
          <w:color w:val="000000"/>
          <w:sz w:val="24"/>
          <w:szCs w:val="24"/>
        </w:rPr>
      </w:pPr>
      <w:r w:rsidRPr="008C007F">
        <w:rPr>
          <w:rFonts w:ascii="Arial" w:eastAsia="Times New Roman" w:hAnsi="Arial" w:cs="Arial"/>
          <w:color w:val="000000"/>
          <w:sz w:val="24"/>
          <w:szCs w:val="24"/>
        </w:rPr>
        <w:t> </w:t>
      </w:r>
      <w:r w:rsidRPr="008C007F">
        <w:rPr>
          <w:rFonts w:ascii="Arial" w:eastAsia="Times New Roman" w:hAnsi="Arial" w:cs="Arial"/>
          <w:b/>
          <w:bCs/>
          <w:color w:val="000000"/>
          <w:sz w:val="24"/>
          <w:szCs w:val="24"/>
        </w:rPr>
        <w:t>PRIVATE EQUITY, FOCUS SU QUALITÀ DEL BILANCIO E INFORMAZIONI RILEVANTI</w:t>
      </w:r>
    </w:p>
    <w:p w14:paraId="5B9D0E55" w14:textId="77777777" w:rsidR="008C007F" w:rsidRPr="008C007F" w:rsidRDefault="008C007F" w:rsidP="008C007F">
      <w:pPr>
        <w:spacing w:after="0" w:line="240" w:lineRule="auto"/>
        <w:jc w:val="center"/>
        <w:rPr>
          <w:rFonts w:ascii="Arial" w:eastAsia="Times New Roman" w:hAnsi="Arial" w:cs="Arial"/>
          <w:color w:val="000000"/>
          <w:sz w:val="24"/>
          <w:szCs w:val="24"/>
        </w:rPr>
      </w:pPr>
    </w:p>
    <w:p w14:paraId="1979AEF0" w14:textId="77777777" w:rsidR="00C377D8" w:rsidRDefault="00C377D8" w:rsidP="008C007F">
      <w:pPr>
        <w:spacing w:after="0" w:line="240" w:lineRule="auto"/>
        <w:jc w:val="center"/>
        <w:rPr>
          <w:rFonts w:ascii="Arial" w:eastAsia="Times New Roman" w:hAnsi="Arial" w:cs="Arial"/>
          <w:b/>
          <w:bCs/>
          <w:color w:val="000000"/>
          <w:sz w:val="24"/>
          <w:szCs w:val="24"/>
        </w:rPr>
      </w:pPr>
      <w:r w:rsidRPr="008C007F">
        <w:rPr>
          <w:rFonts w:ascii="Arial" w:eastAsia="Times New Roman" w:hAnsi="Arial" w:cs="Arial"/>
          <w:b/>
          <w:bCs/>
          <w:color w:val="000000"/>
          <w:sz w:val="24"/>
          <w:szCs w:val="24"/>
        </w:rPr>
        <w:t>Un documento del Consiglio e della Fondazione nazionali dei commercialisti fa il punto su un mercato in crescita e cambiamento</w:t>
      </w:r>
    </w:p>
    <w:p w14:paraId="177CD10E" w14:textId="77777777" w:rsidR="008C007F" w:rsidRDefault="008C007F" w:rsidP="008C007F">
      <w:pPr>
        <w:spacing w:after="0" w:line="240" w:lineRule="auto"/>
        <w:jc w:val="center"/>
        <w:rPr>
          <w:rFonts w:ascii="Arial" w:eastAsia="Times New Roman" w:hAnsi="Arial" w:cs="Arial"/>
          <w:b/>
          <w:bCs/>
          <w:color w:val="000000"/>
          <w:sz w:val="24"/>
          <w:szCs w:val="24"/>
        </w:rPr>
      </w:pPr>
    </w:p>
    <w:p w14:paraId="2B56559C" w14:textId="77777777" w:rsidR="008C007F" w:rsidRPr="008C007F" w:rsidRDefault="008C007F" w:rsidP="008C007F">
      <w:pPr>
        <w:spacing w:after="0" w:line="240" w:lineRule="auto"/>
        <w:jc w:val="center"/>
        <w:rPr>
          <w:rFonts w:ascii="Arial" w:eastAsia="Times New Roman" w:hAnsi="Arial" w:cs="Arial"/>
          <w:color w:val="000000"/>
          <w:sz w:val="24"/>
          <w:szCs w:val="24"/>
        </w:rPr>
      </w:pPr>
    </w:p>
    <w:p w14:paraId="6C38EB27" w14:textId="2E1F590E" w:rsidR="00C377D8" w:rsidRDefault="00C377D8" w:rsidP="008C007F">
      <w:pPr>
        <w:spacing w:after="0" w:line="240" w:lineRule="auto"/>
        <w:jc w:val="both"/>
        <w:rPr>
          <w:rFonts w:ascii="Arial" w:eastAsia="Times New Roman" w:hAnsi="Arial" w:cs="Arial"/>
          <w:color w:val="000000"/>
          <w:sz w:val="24"/>
          <w:szCs w:val="24"/>
        </w:rPr>
      </w:pPr>
      <w:r w:rsidRPr="008C007F">
        <w:rPr>
          <w:rFonts w:ascii="Arial" w:eastAsia="Times New Roman" w:hAnsi="Arial" w:cs="Arial"/>
          <w:i/>
          <w:iCs/>
          <w:color w:val="000000"/>
          <w:sz w:val="24"/>
          <w:szCs w:val="24"/>
        </w:rPr>
        <w:t xml:space="preserve">Roma, 23 ottobre 2024 </w:t>
      </w:r>
      <w:r w:rsidR="00981177">
        <w:rPr>
          <w:rFonts w:ascii="Arial" w:eastAsia="Times New Roman" w:hAnsi="Arial" w:cs="Arial"/>
          <w:i/>
          <w:iCs/>
          <w:color w:val="000000"/>
          <w:sz w:val="24"/>
          <w:szCs w:val="24"/>
        </w:rPr>
        <w:t>–</w:t>
      </w:r>
      <w:r w:rsidRPr="008C007F">
        <w:rPr>
          <w:rFonts w:ascii="Arial" w:eastAsia="Times New Roman" w:hAnsi="Arial" w:cs="Arial"/>
          <w:color w:val="000000"/>
          <w:sz w:val="24"/>
          <w:szCs w:val="24"/>
        </w:rPr>
        <w:t xml:space="preserve"> Offrire spunti sui </w:t>
      </w:r>
      <w:r w:rsidRPr="008C007F">
        <w:rPr>
          <w:rFonts w:ascii="Arial" w:eastAsia="Times New Roman" w:hAnsi="Arial" w:cs="Arial"/>
          <w:b/>
          <w:bCs/>
          <w:color w:val="000000"/>
          <w:sz w:val="24"/>
          <w:szCs w:val="24"/>
        </w:rPr>
        <w:t>principali indicatori</w:t>
      </w:r>
      <w:r w:rsidRPr="008C007F">
        <w:rPr>
          <w:rFonts w:ascii="Arial" w:eastAsia="Times New Roman" w:hAnsi="Arial" w:cs="Arial"/>
          <w:color w:val="000000"/>
          <w:sz w:val="24"/>
          <w:szCs w:val="24"/>
        </w:rPr>
        <w:t xml:space="preserve"> e sulle </w:t>
      </w:r>
      <w:r w:rsidRPr="008C007F">
        <w:rPr>
          <w:rFonts w:ascii="Arial" w:eastAsia="Times New Roman" w:hAnsi="Arial" w:cs="Arial"/>
          <w:b/>
          <w:bCs/>
          <w:color w:val="000000"/>
          <w:sz w:val="24"/>
          <w:szCs w:val="24"/>
        </w:rPr>
        <w:t>informazioni</w:t>
      </w:r>
      <w:r w:rsidRPr="008C007F">
        <w:rPr>
          <w:rFonts w:ascii="Arial" w:eastAsia="Times New Roman" w:hAnsi="Arial" w:cs="Arial"/>
          <w:color w:val="000000"/>
          <w:sz w:val="24"/>
          <w:szCs w:val="24"/>
        </w:rPr>
        <w:t xml:space="preserve"> che i </w:t>
      </w:r>
      <w:r w:rsidRPr="008C007F">
        <w:rPr>
          <w:rFonts w:ascii="Arial" w:eastAsia="Times New Roman" w:hAnsi="Arial" w:cs="Arial"/>
          <w:b/>
          <w:bCs/>
          <w:color w:val="000000"/>
          <w:sz w:val="24"/>
          <w:szCs w:val="24"/>
        </w:rPr>
        <w:t xml:space="preserve">fondi </w:t>
      </w:r>
      <w:r w:rsidRPr="008C007F">
        <w:rPr>
          <w:rFonts w:ascii="Arial" w:eastAsia="Times New Roman" w:hAnsi="Arial" w:cs="Arial"/>
          <w:color w:val="000000"/>
          <w:sz w:val="24"/>
          <w:szCs w:val="24"/>
        </w:rPr>
        <w:t xml:space="preserve">analizzano nella </w:t>
      </w:r>
      <w:r w:rsidRPr="008C007F">
        <w:rPr>
          <w:rFonts w:ascii="Arial" w:eastAsia="Times New Roman" w:hAnsi="Arial" w:cs="Arial"/>
          <w:b/>
          <w:bCs/>
          <w:color w:val="000000"/>
          <w:sz w:val="24"/>
          <w:szCs w:val="24"/>
        </w:rPr>
        <w:t>valutazione delle aziende</w:t>
      </w:r>
      <w:r w:rsidRPr="008C007F">
        <w:rPr>
          <w:rFonts w:ascii="Arial" w:eastAsia="Times New Roman" w:hAnsi="Arial" w:cs="Arial"/>
          <w:color w:val="000000"/>
          <w:sz w:val="24"/>
          <w:szCs w:val="24"/>
        </w:rPr>
        <w:t xml:space="preserve"> in cui investire, partendo dalla verifica dell’affidabilità e attendibilità dei dati economico-finanziari riportati in </w:t>
      </w:r>
      <w:r w:rsidRPr="008C007F">
        <w:rPr>
          <w:rFonts w:ascii="Arial" w:eastAsia="Times New Roman" w:hAnsi="Arial" w:cs="Arial"/>
          <w:b/>
          <w:bCs/>
          <w:color w:val="000000"/>
          <w:sz w:val="24"/>
          <w:szCs w:val="24"/>
        </w:rPr>
        <w:t>bilancio</w:t>
      </w:r>
      <w:r w:rsidRPr="008C007F">
        <w:rPr>
          <w:rFonts w:ascii="Arial" w:eastAsia="Times New Roman" w:hAnsi="Arial" w:cs="Arial"/>
          <w:color w:val="000000"/>
          <w:sz w:val="24"/>
          <w:szCs w:val="24"/>
        </w:rPr>
        <w:t>. È la finalità del documento “</w:t>
      </w:r>
      <w:r w:rsidRPr="008C007F">
        <w:rPr>
          <w:rFonts w:ascii="Arial" w:eastAsia="Times New Roman" w:hAnsi="Arial" w:cs="Arial"/>
          <w:b/>
          <w:bCs/>
          <w:color w:val="000000"/>
          <w:sz w:val="24"/>
          <w:szCs w:val="24"/>
        </w:rPr>
        <w:t>Qualità del bilancio e informazioni rilevanti per i fondi di Private equity</w:t>
      </w:r>
      <w:r w:rsidRPr="008C007F">
        <w:rPr>
          <w:rFonts w:ascii="Arial" w:eastAsia="Times New Roman" w:hAnsi="Arial" w:cs="Arial"/>
          <w:color w:val="000000"/>
          <w:sz w:val="24"/>
          <w:szCs w:val="24"/>
        </w:rPr>
        <w:t>”, pubblicato dal Consiglio e dalla Fondazione nazionali dei commercialisti.</w:t>
      </w:r>
    </w:p>
    <w:p w14:paraId="7753DEE6" w14:textId="77777777" w:rsidR="008C007F" w:rsidRPr="008C007F" w:rsidRDefault="008C007F" w:rsidP="008C007F">
      <w:pPr>
        <w:spacing w:after="0" w:line="240" w:lineRule="auto"/>
        <w:jc w:val="both"/>
        <w:rPr>
          <w:rFonts w:ascii="Arial" w:eastAsia="Times New Roman" w:hAnsi="Arial" w:cs="Arial"/>
          <w:color w:val="000000"/>
          <w:sz w:val="24"/>
          <w:szCs w:val="24"/>
        </w:rPr>
      </w:pPr>
    </w:p>
    <w:p w14:paraId="76D3ECDD" w14:textId="235FD94D" w:rsidR="008C007F" w:rsidRDefault="00C377D8" w:rsidP="008C007F">
      <w:pPr>
        <w:spacing w:after="0" w:line="240" w:lineRule="auto"/>
        <w:jc w:val="both"/>
        <w:rPr>
          <w:rFonts w:ascii="Arial" w:eastAsia="Times New Roman" w:hAnsi="Arial" w:cs="Arial"/>
          <w:color w:val="000000"/>
          <w:sz w:val="24"/>
          <w:szCs w:val="24"/>
        </w:rPr>
      </w:pPr>
      <w:r w:rsidRPr="008C007F">
        <w:rPr>
          <w:rFonts w:ascii="Arial" w:eastAsia="Times New Roman" w:hAnsi="Arial" w:cs="Arial"/>
          <w:color w:val="000000"/>
          <w:sz w:val="24"/>
          <w:szCs w:val="24"/>
        </w:rPr>
        <w:t>Curato dalla Commissione di studio “Finanza reporting”</w:t>
      </w:r>
      <w:r w:rsidR="00981177">
        <w:rPr>
          <w:rFonts w:ascii="Arial" w:eastAsia="Times New Roman" w:hAnsi="Arial" w:cs="Arial"/>
          <w:color w:val="000000"/>
          <w:sz w:val="24"/>
          <w:szCs w:val="24"/>
        </w:rPr>
        <w:t>,</w:t>
      </w:r>
      <w:r w:rsidRPr="008C007F">
        <w:rPr>
          <w:rFonts w:ascii="Arial" w:eastAsia="Times New Roman" w:hAnsi="Arial" w:cs="Arial"/>
          <w:color w:val="000000"/>
          <w:sz w:val="24"/>
          <w:szCs w:val="24"/>
        </w:rPr>
        <w:t xml:space="preserve"> operante nell’area “Finanza aziendale” alla quale è delegato il consigliere nazionale </w:t>
      </w:r>
      <w:r w:rsidRPr="008C007F">
        <w:rPr>
          <w:rFonts w:ascii="Arial" w:eastAsia="Times New Roman" w:hAnsi="Arial" w:cs="Arial"/>
          <w:b/>
          <w:bCs/>
          <w:color w:val="000000"/>
          <w:sz w:val="24"/>
          <w:szCs w:val="24"/>
        </w:rPr>
        <w:t>Antonio Repaci</w:t>
      </w:r>
      <w:r w:rsidRPr="008C007F">
        <w:rPr>
          <w:rFonts w:ascii="Arial" w:eastAsia="Times New Roman" w:hAnsi="Arial" w:cs="Arial"/>
          <w:color w:val="000000"/>
          <w:sz w:val="24"/>
          <w:szCs w:val="24"/>
        </w:rPr>
        <w:t xml:space="preserve">, il documento parte dal presupposto che il mercato del Private Equity in Italia sta attraversando una fase di </w:t>
      </w:r>
      <w:r w:rsidRPr="008C007F">
        <w:rPr>
          <w:rFonts w:ascii="Arial" w:eastAsia="Times New Roman" w:hAnsi="Arial" w:cs="Arial"/>
          <w:b/>
          <w:bCs/>
          <w:color w:val="000000"/>
          <w:sz w:val="24"/>
          <w:szCs w:val="24"/>
        </w:rPr>
        <w:t>notevole sviluppo e cambiamento</w:t>
      </w:r>
      <w:r w:rsidRPr="008C007F">
        <w:rPr>
          <w:rFonts w:ascii="Arial" w:eastAsia="Times New Roman" w:hAnsi="Arial" w:cs="Arial"/>
          <w:color w:val="000000"/>
          <w:sz w:val="24"/>
          <w:szCs w:val="24"/>
        </w:rPr>
        <w:t xml:space="preserve">. Come spiegato nell’introduzione al lavoro “nel corso degli ultimi anni si assiste a un </w:t>
      </w:r>
      <w:r w:rsidRPr="008C007F">
        <w:rPr>
          <w:rFonts w:ascii="Arial" w:eastAsia="Times New Roman" w:hAnsi="Arial" w:cs="Arial"/>
          <w:b/>
          <w:bCs/>
          <w:color w:val="000000"/>
          <w:sz w:val="24"/>
          <w:szCs w:val="24"/>
        </w:rPr>
        <w:t>aumento significativo</w:t>
      </w:r>
      <w:r w:rsidRPr="008C007F">
        <w:rPr>
          <w:rFonts w:ascii="Arial" w:eastAsia="Times New Roman" w:hAnsi="Arial" w:cs="Arial"/>
          <w:color w:val="000000"/>
          <w:sz w:val="24"/>
          <w:szCs w:val="24"/>
        </w:rPr>
        <w:t xml:space="preserve"> delle attività realizzate con fondi di Private Equity sia nazionali </w:t>
      </w:r>
      <w:r w:rsidR="00981177">
        <w:rPr>
          <w:rFonts w:ascii="Arial" w:eastAsia="Times New Roman" w:hAnsi="Arial" w:cs="Arial"/>
          <w:color w:val="000000"/>
          <w:sz w:val="24"/>
          <w:szCs w:val="24"/>
        </w:rPr>
        <w:t>sia</w:t>
      </w:r>
      <w:r w:rsidRPr="008C007F">
        <w:rPr>
          <w:rFonts w:ascii="Arial" w:eastAsia="Times New Roman" w:hAnsi="Arial" w:cs="Arial"/>
          <w:color w:val="000000"/>
          <w:sz w:val="24"/>
          <w:szCs w:val="24"/>
        </w:rPr>
        <w:t xml:space="preserve"> internazionali, che svolgono un </w:t>
      </w:r>
      <w:r w:rsidRPr="008C007F">
        <w:rPr>
          <w:rFonts w:ascii="Arial" w:eastAsia="Times New Roman" w:hAnsi="Arial" w:cs="Arial"/>
          <w:b/>
          <w:bCs/>
          <w:color w:val="000000"/>
          <w:sz w:val="24"/>
          <w:szCs w:val="24"/>
        </w:rPr>
        <w:t>ruolo chiave</w:t>
      </w:r>
      <w:r w:rsidRPr="008C007F">
        <w:rPr>
          <w:rFonts w:ascii="Arial" w:eastAsia="Times New Roman" w:hAnsi="Arial" w:cs="Arial"/>
          <w:color w:val="000000"/>
          <w:sz w:val="24"/>
          <w:szCs w:val="24"/>
        </w:rPr>
        <w:t xml:space="preserve"> in molte operazioni rivolte alla </w:t>
      </w:r>
      <w:r w:rsidRPr="008C007F">
        <w:rPr>
          <w:rFonts w:ascii="Arial" w:eastAsia="Times New Roman" w:hAnsi="Arial" w:cs="Arial"/>
          <w:b/>
          <w:bCs/>
          <w:color w:val="000000"/>
          <w:sz w:val="24"/>
          <w:szCs w:val="24"/>
        </w:rPr>
        <w:t>crescita e alla riorganizzazione delle aziende</w:t>
      </w:r>
      <w:r w:rsidRPr="008C007F">
        <w:rPr>
          <w:rFonts w:ascii="Arial" w:eastAsia="Times New Roman" w:hAnsi="Arial" w:cs="Arial"/>
          <w:color w:val="000000"/>
          <w:sz w:val="24"/>
          <w:szCs w:val="24"/>
        </w:rPr>
        <w:t>.</w:t>
      </w:r>
    </w:p>
    <w:p w14:paraId="270095A9" w14:textId="77777777" w:rsidR="008C007F" w:rsidRDefault="008C007F" w:rsidP="008C007F">
      <w:pPr>
        <w:spacing w:after="0" w:line="240" w:lineRule="auto"/>
        <w:jc w:val="both"/>
        <w:rPr>
          <w:rFonts w:ascii="Arial" w:eastAsia="Times New Roman" w:hAnsi="Arial" w:cs="Arial"/>
          <w:color w:val="000000"/>
          <w:sz w:val="24"/>
          <w:szCs w:val="24"/>
        </w:rPr>
      </w:pPr>
    </w:p>
    <w:p w14:paraId="5EA21953" w14:textId="009267DD" w:rsidR="00C377D8" w:rsidRDefault="00C377D8" w:rsidP="008C007F">
      <w:pPr>
        <w:spacing w:after="0" w:line="240" w:lineRule="auto"/>
        <w:jc w:val="both"/>
        <w:rPr>
          <w:rFonts w:ascii="Arial" w:eastAsia="Times New Roman" w:hAnsi="Arial" w:cs="Arial"/>
          <w:color w:val="000000"/>
          <w:sz w:val="24"/>
          <w:szCs w:val="24"/>
        </w:rPr>
      </w:pPr>
      <w:r w:rsidRPr="00981177">
        <w:rPr>
          <w:rFonts w:ascii="Arial" w:eastAsia="Times New Roman" w:hAnsi="Arial" w:cs="Arial"/>
          <w:color w:val="000000"/>
          <w:sz w:val="24"/>
          <w:szCs w:val="24"/>
        </w:rPr>
        <w:t>L’appeal dell’Italia come destinazione di investimento è emerso in modo evidente attraverso</w:t>
      </w:r>
      <w:r w:rsidRPr="008C007F">
        <w:rPr>
          <w:rFonts w:ascii="Arial" w:eastAsia="Times New Roman" w:hAnsi="Arial" w:cs="Arial"/>
          <w:color w:val="000000"/>
          <w:sz w:val="24"/>
          <w:szCs w:val="24"/>
        </w:rPr>
        <w:t xml:space="preserve"> un numero crescente di operazioni attuate anche da </w:t>
      </w:r>
      <w:r w:rsidRPr="008C007F">
        <w:rPr>
          <w:rFonts w:ascii="Arial" w:eastAsia="Times New Roman" w:hAnsi="Arial" w:cs="Arial"/>
          <w:b/>
          <w:bCs/>
          <w:color w:val="000000"/>
          <w:sz w:val="24"/>
          <w:szCs w:val="24"/>
        </w:rPr>
        <w:t>operatori esteri</w:t>
      </w:r>
      <w:r w:rsidRPr="008C007F">
        <w:rPr>
          <w:rFonts w:ascii="Arial" w:eastAsia="Times New Roman" w:hAnsi="Arial" w:cs="Arial"/>
          <w:color w:val="000000"/>
          <w:sz w:val="24"/>
          <w:szCs w:val="24"/>
        </w:rPr>
        <w:t xml:space="preserve">, che riflette la fiducia nel potenziale di crescita dell’economia italiana. Il volume complessivo delle transazioni nel settore ha sperimentato un notevole aumento con un particolare focus su comparti chiave come la </w:t>
      </w:r>
      <w:r w:rsidRPr="008C007F">
        <w:rPr>
          <w:rFonts w:ascii="Arial" w:eastAsia="Times New Roman" w:hAnsi="Arial" w:cs="Arial"/>
          <w:b/>
          <w:bCs/>
          <w:color w:val="000000"/>
          <w:sz w:val="24"/>
          <w:szCs w:val="24"/>
        </w:rPr>
        <w:t>tecnologia</w:t>
      </w:r>
      <w:r w:rsidRPr="008C007F">
        <w:rPr>
          <w:rFonts w:ascii="Arial" w:eastAsia="Times New Roman" w:hAnsi="Arial" w:cs="Arial"/>
          <w:color w:val="000000"/>
          <w:sz w:val="24"/>
          <w:szCs w:val="24"/>
        </w:rPr>
        <w:t xml:space="preserve">, la </w:t>
      </w:r>
      <w:r w:rsidRPr="008C007F">
        <w:rPr>
          <w:rFonts w:ascii="Arial" w:eastAsia="Times New Roman" w:hAnsi="Arial" w:cs="Arial"/>
          <w:b/>
          <w:bCs/>
          <w:color w:val="000000"/>
          <w:sz w:val="24"/>
          <w:szCs w:val="24"/>
        </w:rPr>
        <w:t>salute</w:t>
      </w:r>
      <w:r w:rsidRPr="008C007F">
        <w:rPr>
          <w:rFonts w:ascii="Arial" w:eastAsia="Times New Roman" w:hAnsi="Arial" w:cs="Arial"/>
          <w:color w:val="000000"/>
          <w:sz w:val="24"/>
          <w:szCs w:val="24"/>
        </w:rPr>
        <w:t> e l’</w:t>
      </w:r>
      <w:r w:rsidRPr="008C007F">
        <w:rPr>
          <w:rFonts w:ascii="Arial" w:eastAsia="Times New Roman" w:hAnsi="Arial" w:cs="Arial"/>
          <w:b/>
          <w:bCs/>
          <w:color w:val="000000"/>
          <w:sz w:val="24"/>
          <w:szCs w:val="24"/>
        </w:rPr>
        <w:t>energia</w:t>
      </w:r>
      <w:r w:rsidRPr="008C007F">
        <w:rPr>
          <w:rFonts w:ascii="Arial" w:eastAsia="Times New Roman" w:hAnsi="Arial" w:cs="Arial"/>
          <w:color w:val="000000"/>
          <w:sz w:val="24"/>
          <w:szCs w:val="24"/>
        </w:rPr>
        <w:t>. Questa diversificazione degli interessi degli investitori rispecchia la ricerca di opportunità in settori ad alto potenziale di crescita e innovazione.</w:t>
      </w:r>
    </w:p>
    <w:p w14:paraId="5A4C0EA6" w14:textId="77777777" w:rsidR="008C007F" w:rsidRPr="008C007F" w:rsidRDefault="008C007F" w:rsidP="008C007F">
      <w:pPr>
        <w:spacing w:after="0" w:line="240" w:lineRule="auto"/>
        <w:jc w:val="both"/>
        <w:rPr>
          <w:rFonts w:ascii="Arial" w:eastAsia="Times New Roman" w:hAnsi="Arial" w:cs="Arial"/>
          <w:color w:val="000000"/>
          <w:sz w:val="24"/>
          <w:szCs w:val="24"/>
        </w:rPr>
      </w:pPr>
    </w:p>
    <w:p w14:paraId="0BB25D32" w14:textId="77024A9D" w:rsidR="00C377D8" w:rsidRPr="008C007F" w:rsidRDefault="00C377D8" w:rsidP="008C007F">
      <w:pPr>
        <w:spacing w:after="0" w:line="240" w:lineRule="auto"/>
        <w:jc w:val="both"/>
        <w:rPr>
          <w:rFonts w:ascii="Arial" w:eastAsia="Times New Roman" w:hAnsi="Arial" w:cs="Arial"/>
          <w:color w:val="000000"/>
          <w:sz w:val="24"/>
          <w:szCs w:val="24"/>
        </w:rPr>
      </w:pPr>
      <w:r w:rsidRPr="008C007F">
        <w:rPr>
          <w:rFonts w:ascii="Arial" w:eastAsia="Times New Roman" w:hAnsi="Arial" w:cs="Arial"/>
          <w:color w:val="000000"/>
          <w:sz w:val="24"/>
          <w:szCs w:val="24"/>
        </w:rPr>
        <w:t xml:space="preserve">I commercialisti sottolineano anche come “i fondi di Private Equity non sono più solo </w:t>
      </w:r>
      <w:r w:rsidRPr="008C007F">
        <w:rPr>
          <w:rFonts w:ascii="Arial" w:eastAsia="Times New Roman" w:hAnsi="Arial" w:cs="Arial"/>
          <w:b/>
          <w:bCs/>
          <w:color w:val="000000"/>
          <w:sz w:val="24"/>
          <w:szCs w:val="24"/>
        </w:rPr>
        <w:t>meri fornitori</w:t>
      </w:r>
      <w:r w:rsidRPr="008C007F">
        <w:rPr>
          <w:rFonts w:ascii="Arial" w:eastAsia="Times New Roman" w:hAnsi="Arial" w:cs="Arial"/>
          <w:color w:val="000000"/>
          <w:sz w:val="24"/>
          <w:szCs w:val="24"/>
        </w:rPr>
        <w:t xml:space="preserve"> di finanziamenti, ma anche veri e propri </w:t>
      </w:r>
      <w:r w:rsidRPr="008C007F">
        <w:rPr>
          <w:rFonts w:ascii="Arial" w:eastAsia="Times New Roman" w:hAnsi="Arial" w:cs="Arial"/>
          <w:b/>
          <w:bCs/>
          <w:color w:val="000000"/>
          <w:sz w:val="24"/>
          <w:szCs w:val="24"/>
        </w:rPr>
        <w:t>partner strategici</w:t>
      </w:r>
      <w:r w:rsidRPr="008C007F">
        <w:rPr>
          <w:rFonts w:ascii="Arial" w:eastAsia="Times New Roman" w:hAnsi="Arial" w:cs="Arial"/>
          <w:color w:val="000000"/>
          <w:sz w:val="24"/>
          <w:szCs w:val="24"/>
        </w:rPr>
        <w:t xml:space="preserve"> per molte aziende. La collaborazione con questi soggetti, infatti, </w:t>
      </w:r>
      <w:r w:rsidR="00981177">
        <w:rPr>
          <w:rFonts w:ascii="Arial" w:eastAsia="Times New Roman" w:hAnsi="Arial" w:cs="Arial"/>
          <w:color w:val="000000"/>
          <w:sz w:val="24"/>
          <w:szCs w:val="24"/>
        </w:rPr>
        <w:t xml:space="preserve">offre accesso </w:t>
      </w:r>
      <w:r w:rsidRPr="008C007F">
        <w:rPr>
          <w:rFonts w:ascii="Arial" w:eastAsia="Times New Roman" w:hAnsi="Arial" w:cs="Arial"/>
          <w:color w:val="000000"/>
          <w:sz w:val="24"/>
          <w:szCs w:val="24"/>
        </w:rPr>
        <w:t xml:space="preserve">non solo risorse finanziarie, ma anche a </w:t>
      </w:r>
      <w:r w:rsidRPr="008C007F">
        <w:rPr>
          <w:rFonts w:ascii="Arial" w:eastAsia="Times New Roman" w:hAnsi="Arial" w:cs="Arial"/>
          <w:b/>
          <w:bCs/>
          <w:color w:val="000000"/>
          <w:sz w:val="24"/>
          <w:szCs w:val="24"/>
        </w:rPr>
        <w:t xml:space="preserve">competenze gestionali </w:t>
      </w:r>
      <w:r w:rsidRPr="008C007F">
        <w:rPr>
          <w:rFonts w:ascii="Arial" w:eastAsia="Times New Roman" w:hAnsi="Arial" w:cs="Arial"/>
          <w:color w:val="000000"/>
          <w:sz w:val="24"/>
          <w:szCs w:val="24"/>
        </w:rPr>
        <w:t xml:space="preserve">e a un </w:t>
      </w:r>
      <w:r w:rsidRPr="008C007F">
        <w:rPr>
          <w:rFonts w:ascii="Arial" w:eastAsia="Times New Roman" w:hAnsi="Arial" w:cs="Arial"/>
          <w:b/>
          <w:bCs/>
          <w:color w:val="000000"/>
          <w:sz w:val="24"/>
          <w:szCs w:val="24"/>
        </w:rPr>
        <w:t>supporto strategico</w:t>
      </w:r>
      <w:r w:rsidRPr="008C007F">
        <w:rPr>
          <w:rFonts w:ascii="Arial" w:eastAsia="Times New Roman" w:hAnsi="Arial" w:cs="Arial"/>
          <w:color w:val="000000"/>
          <w:sz w:val="24"/>
          <w:szCs w:val="24"/>
        </w:rPr>
        <w:t> che contribuisce alla crescita e all’i</w:t>
      </w:r>
      <w:r w:rsidRPr="008C007F">
        <w:rPr>
          <w:rFonts w:ascii="Arial" w:eastAsia="Times New Roman" w:hAnsi="Arial" w:cs="Arial"/>
          <w:b/>
          <w:bCs/>
          <w:color w:val="000000"/>
          <w:sz w:val="24"/>
          <w:szCs w:val="24"/>
        </w:rPr>
        <w:t>nternazionalizzazione</w:t>
      </w:r>
      <w:r w:rsidRPr="008C007F">
        <w:rPr>
          <w:rFonts w:ascii="Arial" w:eastAsia="Times New Roman" w:hAnsi="Arial" w:cs="Arial"/>
          <w:color w:val="000000"/>
          <w:sz w:val="24"/>
          <w:szCs w:val="24"/>
        </w:rPr>
        <w:t xml:space="preserve"> delle imprese stesse”.</w:t>
      </w:r>
    </w:p>
    <w:p w14:paraId="1FAD6CCA" w14:textId="77777777" w:rsidR="00B805BC" w:rsidRPr="008C007F" w:rsidRDefault="00B805BC" w:rsidP="008C007F">
      <w:pPr>
        <w:spacing w:after="0" w:line="240" w:lineRule="auto"/>
        <w:jc w:val="both"/>
        <w:rPr>
          <w:rFonts w:ascii="Arial" w:eastAsia="Times New Roman" w:hAnsi="Arial" w:cs="Arial"/>
          <w:bCs/>
          <w:color w:val="000000"/>
          <w:kern w:val="0"/>
          <w:sz w:val="24"/>
          <w:szCs w:val="24"/>
          <w14:ligatures w14:val="none"/>
        </w:rPr>
      </w:pPr>
    </w:p>
    <w:p w14:paraId="5498E8BB" w14:textId="0C000929" w:rsidR="00AF721C" w:rsidRPr="008C007F" w:rsidRDefault="00B6099D" w:rsidP="008C007F">
      <w:pPr>
        <w:spacing w:after="0" w:line="240" w:lineRule="auto"/>
        <w:jc w:val="both"/>
        <w:rPr>
          <w:rFonts w:ascii="Arial" w:hAnsi="Arial" w:cs="Arial"/>
          <w:bCs/>
          <w:sz w:val="24"/>
          <w:szCs w:val="24"/>
        </w:rPr>
      </w:pPr>
      <w:r w:rsidRPr="008C007F">
        <w:rPr>
          <w:rFonts w:ascii="Arial" w:hAnsi="Arial" w:cs="Arial"/>
          <w:bCs/>
          <w:sz w:val="24"/>
          <w:szCs w:val="24"/>
        </w:rPr>
        <w:br/>
      </w:r>
    </w:p>
    <w:sectPr w:rsidR="00AF721C" w:rsidRPr="008C007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71B1" w14:textId="77777777" w:rsidR="00CC215F" w:rsidRDefault="00CC215F" w:rsidP="002529AE">
      <w:pPr>
        <w:spacing w:after="0" w:line="240" w:lineRule="auto"/>
      </w:pPr>
      <w:r>
        <w:separator/>
      </w:r>
    </w:p>
  </w:endnote>
  <w:endnote w:type="continuationSeparator" w:id="0">
    <w:p w14:paraId="4FDF549D" w14:textId="77777777" w:rsidR="00CC215F" w:rsidRDefault="00CC215F" w:rsidP="0025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A7DC6" w14:textId="77777777" w:rsidR="00CC215F" w:rsidRDefault="00CC215F" w:rsidP="002529AE">
      <w:pPr>
        <w:spacing w:after="0" w:line="240" w:lineRule="auto"/>
      </w:pPr>
      <w:r>
        <w:separator/>
      </w:r>
    </w:p>
  </w:footnote>
  <w:footnote w:type="continuationSeparator" w:id="0">
    <w:p w14:paraId="7C152FF4" w14:textId="77777777" w:rsidR="00CC215F" w:rsidRDefault="00CC215F" w:rsidP="0025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7D05D" w14:textId="1D394E81" w:rsidR="002529AE" w:rsidRDefault="004B1B08" w:rsidP="002529AE">
    <w:pPr>
      <w:pStyle w:val="Intestazione"/>
      <w:jc w:val="center"/>
    </w:pPr>
    <w:r>
      <w:rPr>
        <w:noProof/>
      </w:rPr>
      <w:drawing>
        <wp:inline distT="0" distB="0" distL="0" distR="0" wp14:anchorId="3A85769E" wp14:editId="2D245761">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550708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72671CFB"/>
    <w:multiLevelType w:val="hybridMultilevel"/>
    <w:tmpl w:val="62084758"/>
    <w:lvl w:ilvl="0" w:tplc="726C1B0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12917431">
    <w:abstractNumId w:val="0"/>
  </w:num>
  <w:num w:numId="2" w16cid:durableId="55046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AE"/>
    <w:rsid w:val="00014440"/>
    <w:rsid w:val="00015FCD"/>
    <w:rsid w:val="00020733"/>
    <w:rsid w:val="00023E2E"/>
    <w:rsid w:val="000955F1"/>
    <w:rsid w:val="000B0598"/>
    <w:rsid w:val="000B2812"/>
    <w:rsid w:val="000B3ECA"/>
    <w:rsid w:val="000E54BE"/>
    <w:rsid w:val="00135D97"/>
    <w:rsid w:val="0014254C"/>
    <w:rsid w:val="00152D20"/>
    <w:rsid w:val="00190B53"/>
    <w:rsid w:val="001C0DC6"/>
    <w:rsid w:val="001F119D"/>
    <w:rsid w:val="00226CEC"/>
    <w:rsid w:val="0024364C"/>
    <w:rsid w:val="002529AE"/>
    <w:rsid w:val="00253960"/>
    <w:rsid w:val="002B60A3"/>
    <w:rsid w:val="002B6582"/>
    <w:rsid w:val="002B73EA"/>
    <w:rsid w:val="002C0792"/>
    <w:rsid w:val="002D288D"/>
    <w:rsid w:val="002D7FB3"/>
    <w:rsid w:val="002E4504"/>
    <w:rsid w:val="002F3818"/>
    <w:rsid w:val="003004DC"/>
    <w:rsid w:val="00304F0C"/>
    <w:rsid w:val="0031757C"/>
    <w:rsid w:val="00324DE2"/>
    <w:rsid w:val="003278F2"/>
    <w:rsid w:val="00337292"/>
    <w:rsid w:val="00354CCF"/>
    <w:rsid w:val="00364E60"/>
    <w:rsid w:val="00367390"/>
    <w:rsid w:val="003C0BFE"/>
    <w:rsid w:val="003E3515"/>
    <w:rsid w:val="003F7109"/>
    <w:rsid w:val="00414C08"/>
    <w:rsid w:val="004272DD"/>
    <w:rsid w:val="00445A65"/>
    <w:rsid w:val="00490712"/>
    <w:rsid w:val="00496C7E"/>
    <w:rsid w:val="004B1B08"/>
    <w:rsid w:val="00535204"/>
    <w:rsid w:val="005607E2"/>
    <w:rsid w:val="00570CD9"/>
    <w:rsid w:val="00573006"/>
    <w:rsid w:val="0059205B"/>
    <w:rsid w:val="005A68D3"/>
    <w:rsid w:val="005A6DA4"/>
    <w:rsid w:val="005C6A24"/>
    <w:rsid w:val="006243FD"/>
    <w:rsid w:val="0063486E"/>
    <w:rsid w:val="00645A7C"/>
    <w:rsid w:val="00676DAD"/>
    <w:rsid w:val="00676E3C"/>
    <w:rsid w:val="006925CC"/>
    <w:rsid w:val="006A7953"/>
    <w:rsid w:val="006B06BC"/>
    <w:rsid w:val="006D6FFA"/>
    <w:rsid w:val="00702CB0"/>
    <w:rsid w:val="007057A4"/>
    <w:rsid w:val="00721BD0"/>
    <w:rsid w:val="00726A97"/>
    <w:rsid w:val="0073207F"/>
    <w:rsid w:val="00751AA1"/>
    <w:rsid w:val="00773A2F"/>
    <w:rsid w:val="00774544"/>
    <w:rsid w:val="007776E9"/>
    <w:rsid w:val="00784244"/>
    <w:rsid w:val="00790E58"/>
    <w:rsid w:val="007E4C20"/>
    <w:rsid w:val="007F5437"/>
    <w:rsid w:val="00812437"/>
    <w:rsid w:val="00823999"/>
    <w:rsid w:val="00847831"/>
    <w:rsid w:val="00867FA1"/>
    <w:rsid w:val="0087211F"/>
    <w:rsid w:val="00896A68"/>
    <w:rsid w:val="008A08FF"/>
    <w:rsid w:val="008C007F"/>
    <w:rsid w:val="008D13BC"/>
    <w:rsid w:val="008D2CB5"/>
    <w:rsid w:val="008E1720"/>
    <w:rsid w:val="0092341E"/>
    <w:rsid w:val="00926E20"/>
    <w:rsid w:val="00963C8F"/>
    <w:rsid w:val="009737DD"/>
    <w:rsid w:val="009777F2"/>
    <w:rsid w:val="00981177"/>
    <w:rsid w:val="00987A16"/>
    <w:rsid w:val="009912F9"/>
    <w:rsid w:val="009D332D"/>
    <w:rsid w:val="009E0269"/>
    <w:rsid w:val="009F3E37"/>
    <w:rsid w:val="00A10F75"/>
    <w:rsid w:val="00A26AEA"/>
    <w:rsid w:val="00A35710"/>
    <w:rsid w:val="00A6639D"/>
    <w:rsid w:val="00A852D9"/>
    <w:rsid w:val="00A863D4"/>
    <w:rsid w:val="00A86EF6"/>
    <w:rsid w:val="00AA21B0"/>
    <w:rsid w:val="00AB49F0"/>
    <w:rsid w:val="00AC046A"/>
    <w:rsid w:val="00AC269D"/>
    <w:rsid w:val="00AF1A84"/>
    <w:rsid w:val="00AF721C"/>
    <w:rsid w:val="00B472D1"/>
    <w:rsid w:val="00B516AE"/>
    <w:rsid w:val="00B552D6"/>
    <w:rsid w:val="00B6099D"/>
    <w:rsid w:val="00B73FE1"/>
    <w:rsid w:val="00B805BC"/>
    <w:rsid w:val="00BB1A3E"/>
    <w:rsid w:val="00BB6502"/>
    <w:rsid w:val="00BC2F28"/>
    <w:rsid w:val="00C22798"/>
    <w:rsid w:val="00C377D8"/>
    <w:rsid w:val="00C4088C"/>
    <w:rsid w:val="00C43821"/>
    <w:rsid w:val="00C7020F"/>
    <w:rsid w:val="00C76261"/>
    <w:rsid w:val="00C95D83"/>
    <w:rsid w:val="00CB51A8"/>
    <w:rsid w:val="00CB65C5"/>
    <w:rsid w:val="00CC215F"/>
    <w:rsid w:val="00D02E2F"/>
    <w:rsid w:val="00D31607"/>
    <w:rsid w:val="00D52BA0"/>
    <w:rsid w:val="00D60BEE"/>
    <w:rsid w:val="00D95618"/>
    <w:rsid w:val="00DD1007"/>
    <w:rsid w:val="00DD5B9A"/>
    <w:rsid w:val="00E635D7"/>
    <w:rsid w:val="00E862B2"/>
    <w:rsid w:val="00EA2C56"/>
    <w:rsid w:val="00EA3FE2"/>
    <w:rsid w:val="00EB0DAF"/>
    <w:rsid w:val="00EC1E8F"/>
    <w:rsid w:val="00F03EBE"/>
    <w:rsid w:val="00F05FD7"/>
    <w:rsid w:val="00F3758A"/>
    <w:rsid w:val="00F409F9"/>
    <w:rsid w:val="00F52A76"/>
    <w:rsid w:val="00F84790"/>
    <w:rsid w:val="00F91CC8"/>
    <w:rsid w:val="00FE2BC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44A2"/>
  <w15:chartTrackingRefBased/>
  <w15:docId w15:val="{AF4F9998-FCF1-4FCB-BA04-5FFB7E80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52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52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529A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529A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529A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529A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29A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529A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29A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29A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529A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529A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529A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529A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529A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529A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529A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529AE"/>
    <w:rPr>
      <w:rFonts w:eastAsiaTheme="majorEastAsia" w:cstheme="majorBidi"/>
      <w:color w:val="272727" w:themeColor="text1" w:themeTint="D8"/>
    </w:rPr>
  </w:style>
  <w:style w:type="paragraph" w:styleId="Titolo">
    <w:name w:val="Title"/>
    <w:basedOn w:val="Normale"/>
    <w:next w:val="Normale"/>
    <w:link w:val="TitoloCarattere"/>
    <w:uiPriority w:val="10"/>
    <w:qFormat/>
    <w:rsid w:val="00252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29A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29A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29A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29A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29AE"/>
    <w:rPr>
      <w:i/>
      <w:iCs/>
      <w:color w:val="404040" w:themeColor="text1" w:themeTint="BF"/>
    </w:rPr>
  </w:style>
  <w:style w:type="paragraph" w:styleId="Paragrafoelenco">
    <w:name w:val="List Paragraph"/>
    <w:basedOn w:val="Normale"/>
    <w:uiPriority w:val="34"/>
    <w:qFormat/>
    <w:rsid w:val="002529AE"/>
    <w:pPr>
      <w:ind w:left="720"/>
      <w:contextualSpacing/>
    </w:pPr>
  </w:style>
  <w:style w:type="character" w:styleId="Enfasiintensa">
    <w:name w:val="Intense Emphasis"/>
    <w:basedOn w:val="Carpredefinitoparagrafo"/>
    <w:uiPriority w:val="21"/>
    <w:qFormat/>
    <w:rsid w:val="002529AE"/>
    <w:rPr>
      <w:i/>
      <w:iCs/>
      <w:color w:val="0F4761" w:themeColor="accent1" w:themeShade="BF"/>
    </w:rPr>
  </w:style>
  <w:style w:type="paragraph" w:styleId="Citazioneintensa">
    <w:name w:val="Intense Quote"/>
    <w:basedOn w:val="Normale"/>
    <w:next w:val="Normale"/>
    <w:link w:val="CitazioneintensaCarattere"/>
    <w:uiPriority w:val="30"/>
    <w:qFormat/>
    <w:rsid w:val="00252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529AE"/>
    <w:rPr>
      <w:i/>
      <w:iCs/>
      <w:color w:val="0F4761" w:themeColor="accent1" w:themeShade="BF"/>
    </w:rPr>
  </w:style>
  <w:style w:type="character" w:styleId="Riferimentointenso">
    <w:name w:val="Intense Reference"/>
    <w:basedOn w:val="Carpredefinitoparagrafo"/>
    <w:uiPriority w:val="32"/>
    <w:qFormat/>
    <w:rsid w:val="002529AE"/>
    <w:rPr>
      <w:b/>
      <w:bCs/>
      <w:smallCaps/>
      <w:color w:val="0F4761" w:themeColor="accent1" w:themeShade="BF"/>
      <w:spacing w:val="5"/>
    </w:rPr>
  </w:style>
  <w:style w:type="paragraph" w:styleId="Intestazione">
    <w:name w:val="header"/>
    <w:basedOn w:val="Normale"/>
    <w:link w:val="IntestazioneCarattere"/>
    <w:uiPriority w:val="99"/>
    <w:unhideWhenUsed/>
    <w:rsid w:val="002529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29AE"/>
  </w:style>
  <w:style w:type="paragraph" w:styleId="Pidipagina">
    <w:name w:val="footer"/>
    <w:basedOn w:val="Normale"/>
    <w:link w:val="PidipaginaCarattere"/>
    <w:uiPriority w:val="99"/>
    <w:unhideWhenUsed/>
    <w:rsid w:val="002529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29AE"/>
  </w:style>
  <w:style w:type="character" w:styleId="Collegamentoipertestuale">
    <w:name w:val="Hyperlink"/>
    <w:basedOn w:val="Carpredefinitoparagrafo"/>
    <w:uiPriority w:val="99"/>
    <w:unhideWhenUsed/>
    <w:rsid w:val="002529AE"/>
    <w:rPr>
      <w:color w:val="467886" w:themeColor="hyperlink"/>
      <w:u w:val="single"/>
    </w:rPr>
  </w:style>
  <w:style w:type="character" w:styleId="Menzionenonrisolta">
    <w:name w:val="Unresolved Mention"/>
    <w:basedOn w:val="Carpredefinitoparagrafo"/>
    <w:uiPriority w:val="99"/>
    <w:semiHidden/>
    <w:unhideWhenUsed/>
    <w:rsid w:val="001F119D"/>
    <w:rPr>
      <w:color w:val="605E5C"/>
      <w:shd w:val="clear" w:color="auto" w:fill="E1DFDD"/>
    </w:rPr>
  </w:style>
  <w:style w:type="character" w:styleId="Collegamentovisitato">
    <w:name w:val="FollowedHyperlink"/>
    <w:basedOn w:val="Carpredefinitoparagrafo"/>
    <w:uiPriority w:val="99"/>
    <w:semiHidden/>
    <w:unhideWhenUsed/>
    <w:rsid w:val="005A68D3"/>
    <w:rPr>
      <w:color w:val="96607D" w:themeColor="followedHyperlink"/>
      <w:u w:val="single"/>
    </w:rPr>
  </w:style>
  <w:style w:type="paragraph" w:styleId="Puntoelenco">
    <w:name w:val="List Bullet"/>
    <w:basedOn w:val="Normale"/>
    <w:uiPriority w:val="99"/>
    <w:unhideWhenUsed/>
    <w:rsid w:val="00014440"/>
    <w:pPr>
      <w:numPr>
        <w:numId w:val="1"/>
      </w:numPr>
      <w:contextualSpacing/>
    </w:pPr>
  </w:style>
  <w:style w:type="paragraph" w:styleId="Revisione">
    <w:name w:val="Revision"/>
    <w:hidden/>
    <w:uiPriority w:val="99"/>
    <w:semiHidden/>
    <w:rsid w:val="00702CB0"/>
    <w:pPr>
      <w:spacing w:after="0" w:line="240" w:lineRule="auto"/>
    </w:pPr>
  </w:style>
  <w:style w:type="character" w:styleId="Rimandocommento">
    <w:name w:val="annotation reference"/>
    <w:basedOn w:val="Carpredefinitoparagrafo"/>
    <w:uiPriority w:val="99"/>
    <w:semiHidden/>
    <w:unhideWhenUsed/>
    <w:rsid w:val="00702CB0"/>
    <w:rPr>
      <w:sz w:val="16"/>
      <w:szCs w:val="16"/>
    </w:rPr>
  </w:style>
  <w:style w:type="paragraph" w:styleId="Testocommento">
    <w:name w:val="annotation text"/>
    <w:basedOn w:val="Normale"/>
    <w:link w:val="TestocommentoCarattere"/>
    <w:uiPriority w:val="99"/>
    <w:unhideWhenUsed/>
    <w:rsid w:val="00702CB0"/>
    <w:pPr>
      <w:spacing w:line="240" w:lineRule="auto"/>
    </w:pPr>
    <w:rPr>
      <w:sz w:val="20"/>
      <w:szCs w:val="20"/>
    </w:rPr>
  </w:style>
  <w:style w:type="character" w:customStyle="1" w:styleId="TestocommentoCarattere">
    <w:name w:val="Testo commento Carattere"/>
    <w:basedOn w:val="Carpredefinitoparagrafo"/>
    <w:link w:val="Testocommento"/>
    <w:uiPriority w:val="99"/>
    <w:rsid w:val="00702CB0"/>
    <w:rPr>
      <w:sz w:val="20"/>
      <w:szCs w:val="20"/>
    </w:rPr>
  </w:style>
  <w:style w:type="paragraph" w:styleId="Soggettocommento">
    <w:name w:val="annotation subject"/>
    <w:basedOn w:val="Testocommento"/>
    <w:next w:val="Testocommento"/>
    <w:link w:val="SoggettocommentoCarattere"/>
    <w:uiPriority w:val="99"/>
    <w:semiHidden/>
    <w:unhideWhenUsed/>
    <w:rsid w:val="00702CB0"/>
    <w:rPr>
      <w:b/>
      <w:bCs/>
    </w:rPr>
  </w:style>
  <w:style w:type="character" w:customStyle="1" w:styleId="SoggettocommentoCarattere">
    <w:name w:val="Soggetto commento Carattere"/>
    <w:basedOn w:val="TestocommentoCarattere"/>
    <w:link w:val="Soggettocommento"/>
    <w:uiPriority w:val="99"/>
    <w:semiHidden/>
    <w:rsid w:val="00702CB0"/>
    <w:rPr>
      <w:b/>
      <w:bCs/>
      <w:sz w:val="20"/>
      <w:szCs w:val="20"/>
    </w:rPr>
  </w:style>
  <w:style w:type="paragraph" w:styleId="PreformattatoHTML">
    <w:name w:val="HTML Preformatted"/>
    <w:basedOn w:val="Normale"/>
    <w:link w:val="PreformattatoHTMLCarattere"/>
    <w:uiPriority w:val="99"/>
    <w:semiHidden/>
    <w:unhideWhenUsed/>
    <w:rsid w:val="00B6099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B6099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99884">
      <w:bodyDiv w:val="1"/>
      <w:marLeft w:val="0"/>
      <w:marRight w:val="0"/>
      <w:marTop w:val="0"/>
      <w:marBottom w:val="0"/>
      <w:divBdr>
        <w:top w:val="none" w:sz="0" w:space="0" w:color="auto"/>
        <w:left w:val="none" w:sz="0" w:space="0" w:color="auto"/>
        <w:bottom w:val="none" w:sz="0" w:space="0" w:color="auto"/>
        <w:right w:val="none" w:sz="0" w:space="0" w:color="auto"/>
      </w:divBdr>
    </w:div>
    <w:div w:id="63722331">
      <w:bodyDiv w:val="1"/>
      <w:marLeft w:val="0"/>
      <w:marRight w:val="0"/>
      <w:marTop w:val="0"/>
      <w:marBottom w:val="0"/>
      <w:divBdr>
        <w:top w:val="none" w:sz="0" w:space="0" w:color="auto"/>
        <w:left w:val="none" w:sz="0" w:space="0" w:color="auto"/>
        <w:bottom w:val="none" w:sz="0" w:space="0" w:color="auto"/>
        <w:right w:val="none" w:sz="0" w:space="0" w:color="auto"/>
      </w:divBdr>
    </w:div>
    <w:div w:id="213542112">
      <w:bodyDiv w:val="1"/>
      <w:marLeft w:val="0"/>
      <w:marRight w:val="0"/>
      <w:marTop w:val="0"/>
      <w:marBottom w:val="0"/>
      <w:divBdr>
        <w:top w:val="none" w:sz="0" w:space="0" w:color="auto"/>
        <w:left w:val="none" w:sz="0" w:space="0" w:color="auto"/>
        <w:bottom w:val="none" w:sz="0" w:space="0" w:color="auto"/>
        <w:right w:val="none" w:sz="0" w:space="0" w:color="auto"/>
      </w:divBdr>
    </w:div>
    <w:div w:id="230039437">
      <w:bodyDiv w:val="1"/>
      <w:marLeft w:val="0"/>
      <w:marRight w:val="0"/>
      <w:marTop w:val="0"/>
      <w:marBottom w:val="0"/>
      <w:divBdr>
        <w:top w:val="none" w:sz="0" w:space="0" w:color="auto"/>
        <w:left w:val="none" w:sz="0" w:space="0" w:color="auto"/>
        <w:bottom w:val="none" w:sz="0" w:space="0" w:color="auto"/>
        <w:right w:val="none" w:sz="0" w:space="0" w:color="auto"/>
      </w:divBdr>
    </w:div>
    <w:div w:id="595136328">
      <w:bodyDiv w:val="1"/>
      <w:marLeft w:val="0"/>
      <w:marRight w:val="0"/>
      <w:marTop w:val="0"/>
      <w:marBottom w:val="0"/>
      <w:divBdr>
        <w:top w:val="none" w:sz="0" w:space="0" w:color="auto"/>
        <w:left w:val="none" w:sz="0" w:space="0" w:color="auto"/>
        <w:bottom w:val="none" w:sz="0" w:space="0" w:color="auto"/>
        <w:right w:val="none" w:sz="0" w:space="0" w:color="auto"/>
      </w:divBdr>
    </w:div>
    <w:div w:id="1220635159">
      <w:bodyDiv w:val="1"/>
      <w:marLeft w:val="0"/>
      <w:marRight w:val="0"/>
      <w:marTop w:val="0"/>
      <w:marBottom w:val="0"/>
      <w:divBdr>
        <w:top w:val="none" w:sz="0" w:space="0" w:color="auto"/>
        <w:left w:val="none" w:sz="0" w:space="0" w:color="auto"/>
        <w:bottom w:val="none" w:sz="0" w:space="0" w:color="auto"/>
        <w:right w:val="none" w:sz="0" w:space="0" w:color="auto"/>
      </w:divBdr>
    </w:div>
    <w:div w:id="1330252060">
      <w:bodyDiv w:val="1"/>
      <w:marLeft w:val="0"/>
      <w:marRight w:val="0"/>
      <w:marTop w:val="0"/>
      <w:marBottom w:val="0"/>
      <w:divBdr>
        <w:top w:val="none" w:sz="0" w:space="0" w:color="auto"/>
        <w:left w:val="none" w:sz="0" w:space="0" w:color="auto"/>
        <w:bottom w:val="none" w:sz="0" w:space="0" w:color="auto"/>
        <w:right w:val="none" w:sz="0" w:space="0" w:color="auto"/>
      </w:divBdr>
    </w:div>
    <w:div w:id="1500655535">
      <w:bodyDiv w:val="1"/>
      <w:marLeft w:val="0"/>
      <w:marRight w:val="0"/>
      <w:marTop w:val="0"/>
      <w:marBottom w:val="0"/>
      <w:divBdr>
        <w:top w:val="none" w:sz="0" w:space="0" w:color="auto"/>
        <w:left w:val="none" w:sz="0" w:space="0" w:color="auto"/>
        <w:bottom w:val="none" w:sz="0" w:space="0" w:color="auto"/>
        <w:right w:val="none" w:sz="0" w:space="0" w:color="auto"/>
      </w:divBdr>
    </w:div>
    <w:div w:id="20152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E76C-4D41-4A1D-8EB4-252716CD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338</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Dorotea</dc:creator>
  <cp:keywords/>
  <dc:description/>
  <cp:lastModifiedBy>Mastrogiacomo Tiziana</cp:lastModifiedBy>
  <cp:revision>5</cp:revision>
  <dcterms:created xsi:type="dcterms:W3CDTF">2024-10-18T09:26:00Z</dcterms:created>
  <dcterms:modified xsi:type="dcterms:W3CDTF">2024-10-28T13:38:00Z</dcterms:modified>
</cp:coreProperties>
</file>