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20C9" w14:textId="77777777" w:rsidR="004B1B08" w:rsidRDefault="004B1B08" w:rsidP="003175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10C760" w14:textId="53AADD3C" w:rsidR="002529AE" w:rsidRPr="00F418BD" w:rsidRDefault="002529AE" w:rsidP="00F418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418BD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501A0980" w14:textId="77777777" w:rsidR="00AF721C" w:rsidRPr="00F418BD" w:rsidRDefault="00AF721C" w:rsidP="00F418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2F42C9" w14:textId="6716FD66" w:rsidR="00A35710" w:rsidRPr="00F418BD" w:rsidRDefault="00A35710" w:rsidP="00F418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18BD">
        <w:rPr>
          <w:rFonts w:ascii="Arial" w:hAnsi="Arial" w:cs="Arial"/>
          <w:b/>
          <w:bCs/>
          <w:sz w:val="24"/>
          <w:szCs w:val="24"/>
        </w:rPr>
        <w:t>COMMERCIALISTI, AL VIA L’OSSERVATORIO SULLA 231</w:t>
      </w:r>
    </w:p>
    <w:p w14:paraId="088B4C5E" w14:textId="77777777" w:rsidR="006E7FB3" w:rsidRPr="00F418BD" w:rsidRDefault="006E7FB3" w:rsidP="00F418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317B5B" w14:textId="7C60FA98" w:rsidR="00A35710" w:rsidRPr="00F418BD" w:rsidRDefault="00A35710" w:rsidP="00F418B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18BD">
        <w:rPr>
          <w:rFonts w:ascii="Arial" w:hAnsi="Arial" w:cs="Arial"/>
          <w:b/>
          <w:bCs/>
          <w:sz w:val="24"/>
          <w:szCs w:val="24"/>
        </w:rPr>
        <w:t>Insediato presso il Consiglio nazionale della categoria il gruppo di lavoro sulla responsabilità amministrativa degli enti. Sarà presieduto da Salvatore Sodano</w:t>
      </w:r>
    </w:p>
    <w:p w14:paraId="47517794" w14:textId="77777777" w:rsidR="00A35710" w:rsidRPr="00F418BD" w:rsidRDefault="00A35710" w:rsidP="00F418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825028" w14:textId="77777777" w:rsidR="00A35710" w:rsidRPr="00F418BD" w:rsidRDefault="00A35710" w:rsidP="00F41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527BCB" w14:textId="2FE46CEC" w:rsidR="00F418BD" w:rsidRDefault="00774544" w:rsidP="00F418B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Arial" w:eastAsiaTheme="majorEastAsia" w:hAnsi="Arial" w:cs="Arial"/>
          <w:b w:val="0"/>
          <w:bCs w:val="0"/>
          <w:color w:val="333333"/>
          <w:bdr w:val="none" w:sz="0" w:space="0" w:color="auto" w:frame="1"/>
        </w:rPr>
      </w:pPr>
      <w:r w:rsidRPr="00F418BD">
        <w:rPr>
          <w:rFonts w:ascii="Arial" w:hAnsi="Arial" w:cs="Arial"/>
          <w:i/>
          <w:iCs/>
        </w:rPr>
        <w:t xml:space="preserve">Roma, </w:t>
      </w:r>
      <w:r w:rsidR="00F418BD" w:rsidRPr="00F418BD">
        <w:rPr>
          <w:rFonts w:ascii="Arial" w:hAnsi="Arial" w:cs="Arial"/>
          <w:i/>
          <w:iCs/>
        </w:rPr>
        <w:t>4</w:t>
      </w:r>
      <w:r w:rsidRPr="00F418BD">
        <w:rPr>
          <w:rFonts w:ascii="Arial" w:hAnsi="Arial" w:cs="Arial"/>
          <w:i/>
          <w:iCs/>
        </w:rPr>
        <w:t xml:space="preserve"> ottobre 2024 –</w:t>
      </w:r>
      <w:r w:rsidRPr="00F418BD">
        <w:rPr>
          <w:rFonts w:ascii="Arial" w:hAnsi="Arial" w:cs="Arial"/>
        </w:rPr>
        <w:t xml:space="preserve"> </w:t>
      </w:r>
      <w:r w:rsidR="00F418BD" w:rsidRPr="00F418BD">
        <w:rPr>
          <w:rFonts w:ascii="Arial" w:hAnsi="Arial" w:cs="Arial"/>
          <w:color w:val="333333"/>
        </w:rPr>
        <w:t>Si è insediato a Roma, presso la sede del Consiglio nazionale dei commercialisti, l’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 xml:space="preserve">Osservatorio Nazionale </w:t>
      </w:r>
      <w:r w:rsidR="00511ED1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D.lgs. n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. 231/2001</w:t>
      </w:r>
      <w:r w:rsidR="00F418BD" w:rsidRPr="00F418BD">
        <w:rPr>
          <w:rFonts w:ascii="Arial" w:hAnsi="Arial" w:cs="Arial"/>
          <w:color w:val="333333"/>
        </w:rPr>
        <w:t> sulla Responsabilità amministrativa degli Enti. Presidente dell’Osservatorio è il commercialista 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Salvatore Sodano</w:t>
      </w:r>
      <w:r w:rsidR="00F418BD" w:rsidRPr="00F418BD">
        <w:rPr>
          <w:rFonts w:ascii="Arial" w:hAnsi="Arial" w:cs="Arial"/>
          <w:color w:val="333333"/>
        </w:rPr>
        <w:t>. Componenti sono i due Consiglieri nazionali delegati alla materia,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 Fabrizio Escheri</w:t>
      </w:r>
      <w:r w:rsidR="00F418BD" w:rsidRPr="00F418BD">
        <w:rPr>
          <w:rFonts w:ascii="Arial" w:hAnsi="Arial" w:cs="Arial"/>
          <w:color w:val="333333"/>
        </w:rPr>
        <w:t> e 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Eliana Quintili</w:t>
      </w:r>
      <w:r w:rsidR="00F418BD" w:rsidRPr="00F418BD">
        <w:rPr>
          <w:rFonts w:ascii="Arial" w:hAnsi="Arial" w:cs="Arial"/>
          <w:color w:val="333333"/>
        </w:rPr>
        <w:t>, 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Renato Nitti</w:t>
      </w:r>
      <w:r w:rsidR="00F418BD" w:rsidRPr="00F418BD">
        <w:rPr>
          <w:rFonts w:ascii="Arial" w:hAnsi="Arial" w:cs="Arial"/>
          <w:color w:val="333333"/>
        </w:rPr>
        <w:t> (Procuratore del Tribunale di Trani), 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Ciro Santoriello</w:t>
      </w:r>
      <w:r w:rsidR="00F418BD" w:rsidRPr="00F418BD">
        <w:rPr>
          <w:rFonts w:ascii="Arial" w:hAnsi="Arial" w:cs="Arial"/>
          <w:color w:val="333333"/>
        </w:rPr>
        <w:t> (Procuratore Aggiunto del Tribunale di Cuneo), 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Costantino</w:t>
      </w:r>
      <w:r w:rsidR="00C55672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 xml:space="preserve"> Visconti </w:t>
      </w:r>
      <w:r w:rsidR="00F418BD" w:rsidRPr="00F418BD">
        <w:rPr>
          <w:rFonts w:ascii="Arial" w:hAnsi="Arial" w:cs="Arial"/>
          <w:color w:val="333333"/>
        </w:rPr>
        <w:t>(Università di Palermo), 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Daniele Piva</w:t>
      </w:r>
      <w:r w:rsidR="00F418BD" w:rsidRPr="00F418BD">
        <w:rPr>
          <w:rFonts w:ascii="Arial" w:hAnsi="Arial" w:cs="Arial"/>
          <w:color w:val="333333"/>
        </w:rPr>
        <w:t> (Università Roma Tre), 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Paola Tagliavini</w:t>
      </w:r>
      <w:r w:rsidR="00F418BD" w:rsidRPr="00F418BD">
        <w:rPr>
          <w:rFonts w:ascii="Arial" w:hAnsi="Arial" w:cs="Arial"/>
          <w:color w:val="333333"/>
        </w:rPr>
        <w:t> (Università Bocconi) e 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Antonio Matonti</w:t>
      </w:r>
      <w:r w:rsidR="00F418BD" w:rsidRPr="00F418BD">
        <w:rPr>
          <w:rFonts w:ascii="Arial" w:hAnsi="Arial" w:cs="Arial"/>
          <w:color w:val="333333"/>
        </w:rPr>
        <w:t> (Confindustria). Con loro entrano a far parte dell’osservatorio anche i commercialisti 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Annalisa De Vivo</w:t>
      </w:r>
      <w:r w:rsidR="00F418BD" w:rsidRPr="00F418BD">
        <w:rPr>
          <w:rFonts w:ascii="Arial" w:hAnsi="Arial" w:cs="Arial"/>
          <w:color w:val="333333"/>
        </w:rPr>
        <w:t>,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 Paolo Vernero</w:t>
      </w:r>
      <w:r w:rsidR="00F418BD" w:rsidRPr="00F418BD">
        <w:rPr>
          <w:rFonts w:ascii="Arial" w:hAnsi="Arial" w:cs="Arial"/>
          <w:color w:val="333333"/>
        </w:rPr>
        <w:t>, 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Ascensionato Carnà</w:t>
      </w:r>
      <w:r w:rsidR="00F418BD" w:rsidRPr="00F418BD">
        <w:rPr>
          <w:rFonts w:ascii="Arial" w:hAnsi="Arial" w:cs="Arial"/>
          <w:color w:val="333333"/>
        </w:rPr>
        <w:t> e </w:t>
      </w:r>
      <w:r w:rsidR="00F418BD"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Michele Furlanetto</w:t>
      </w:r>
      <w:r w:rsidR="00F418BD">
        <w:rPr>
          <w:rStyle w:val="Enfasigrassetto"/>
          <w:rFonts w:ascii="Arial" w:eastAsiaTheme="majorEastAsia" w:hAnsi="Arial" w:cs="Arial"/>
          <w:b w:val="0"/>
          <w:bCs w:val="0"/>
          <w:color w:val="333333"/>
          <w:bdr w:val="none" w:sz="0" w:space="0" w:color="auto" w:frame="1"/>
        </w:rPr>
        <w:t>.</w:t>
      </w:r>
    </w:p>
    <w:p w14:paraId="379D02A3" w14:textId="77777777" w:rsidR="00F418BD" w:rsidRPr="00F418BD" w:rsidRDefault="00F418BD" w:rsidP="00F418B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4863BB1D" w14:textId="77777777" w:rsidR="00F418BD" w:rsidRPr="00F418BD" w:rsidRDefault="00F418BD" w:rsidP="00F418B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F418BD">
        <w:rPr>
          <w:rFonts w:ascii="Arial" w:hAnsi="Arial" w:cs="Arial"/>
          <w:color w:val="333333"/>
        </w:rPr>
        <w:t>“L’autorevolezza e la professionalità dei componenti l’Osservatorio – commenta il presidente del Consiglio nazionale dei commercialisti </w:t>
      </w:r>
      <w:r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Elbano de Nuccio</w:t>
      </w:r>
      <w:r w:rsidRPr="00F418BD">
        <w:rPr>
          <w:rFonts w:ascii="Arial" w:hAnsi="Arial" w:cs="Arial"/>
          <w:color w:val="333333"/>
        </w:rPr>
        <w:t> – potrà garantire il raggiungimento di specifici obiettivi discussi durante la riunione di insediamento. In particolare, i primi importanti progetti riguarderanno la raccolta e l’analisi, statistica e di merito, dei </w:t>
      </w:r>
      <w:r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provvedimenti delle Procure</w:t>
      </w:r>
      <w:r w:rsidRPr="00F418BD">
        <w:rPr>
          <w:rFonts w:ascii="Arial" w:hAnsi="Arial" w:cs="Arial"/>
          <w:color w:val="333333"/>
        </w:rPr>
        <w:t> e delle </w:t>
      </w:r>
      <w:r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pronunce dei Tribunali</w:t>
      </w:r>
      <w:r w:rsidRPr="00F418BD">
        <w:rPr>
          <w:rFonts w:ascii="Arial" w:hAnsi="Arial" w:cs="Arial"/>
          <w:color w:val="333333"/>
        </w:rPr>
        <w:t> di alcuni importanti città italiane e la loro condivisione mediante incontri informativi e formativi, anche eventualmente attraverso il coinvolgimento delle università, indirizzati a tutti i soggetti a vario titolo interessati alla materia”.</w:t>
      </w:r>
    </w:p>
    <w:p w14:paraId="1137FB08" w14:textId="77777777" w:rsidR="00F418BD" w:rsidRDefault="00F418BD" w:rsidP="00F418B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350E335C" w14:textId="684165D9" w:rsidR="00F418BD" w:rsidRPr="00F418BD" w:rsidRDefault="00F418BD" w:rsidP="00F418B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 w:rsidRPr="00F418BD">
        <w:rPr>
          <w:rFonts w:ascii="Arial" w:hAnsi="Arial" w:cs="Arial"/>
          <w:color w:val="333333"/>
        </w:rPr>
        <w:t>“L’Osservatorio – ha aggiunto –</w:t>
      </w:r>
      <w:r w:rsidR="00DD103C">
        <w:rPr>
          <w:rFonts w:ascii="Arial" w:hAnsi="Arial" w:cs="Arial"/>
          <w:color w:val="333333"/>
        </w:rPr>
        <w:t>,</w:t>
      </w:r>
      <w:r w:rsidRPr="00F418BD">
        <w:rPr>
          <w:rFonts w:ascii="Arial" w:hAnsi="Arial" w:cs="Arial"/>
          <w:color w:val="333333"/>
        </w:rPr>
        <w:t xml:space="preserve"> grazie alle esperienze specifiche dei suoi componenti</w:t>
      </w:r>
      <w:r w:rsidR="00DD103C">
        <w:rPr>
          <w:rFonts w:ascii="Arial" w:hAnsi="Arial" w:cs="Arial"/>
          <w:color w:val="333333"/>
        </w:rPr>
        <w:t>,</w:t>
      </w:r>
      <w:r w:rsidRPr="00F418BD">
        <w:rPr>
          <w:rFonts w:ascii="Arial" w:hAnsi="Arial" w:cs="Arial"/>
          <w:color w:val="333333"/>
        </w:rPr>
        <w:t xml:space="preserve"> potrà porsi come ulteriore obiettivo quello di predisporre le</w:t>
      </w:r>
      <w:r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 linee guida</w:t>
      </w:r>
      <w:r w:rsidRPr="00F418BD">
        <w:rPr>
          <w:rFonts w:ascii="Arial" w:hAnsi="Arial" w:cs="Arial"/>
          <w:color w:val="333333"/>
        </w:rPr>
        <w:t> del Consiglio nazionale dei commercialisti in materia 231, con particolare riferimento alle attività dell’</w:t>
      </w:r>
      <w:r w:rsidRPr="00F418BD">
        <w:rPr>
          <w:rStyle w:val="Enfasigrassetto"/>
          <w:rFonts w:ascii="Arial" w:eastAsiaTheme="majorEastAsia" w:hAnsi="Arial" w:cs="Arial"/>
          <w:color w:val="333333"/>
          <w:bdr w:val="none" w:sz="0" w:space="0" w:color="auto" w:frame="1"/>
        </w:rPr>
        <w:t>organismo di vigilanza</w:t>
      </w:r>
      <w:r w:rsidRPr="00F418BD">
        <w:rPr>
          <w:rFonts w:ascii="Arial" w:hAnsi="Arial" w:cs="Arial"/>
          <w:color w:val="333333"/>
        </w:rPr>
        <w:t>, che tengano conto anche delle connessioni con altre materie di competenza dei commercialisti e</w:t>
      </w:r>
      <w:r w:rsidR="00DD103C">
        <w:rPr>
          <w:rFonts w:ascii="Arial" w:hAnsi="Arial" w:cs="Arial"/>
          <w:color w:val="333333"/>
        </w:rPr>
        <w:t xml:space="preserve"> </w:t>
      </w:r>
      <w:r w:rsidRPr="00F418BD">
        <w:rPr>
          <w:rFonts w:ascii="Arial" w:hAnsi="Arial" w:cs="Arial"/>
          <w:color w:val="333333"/>
        </w:rPr>
        <w:t>d</w:t>
      </w:r>
      <w:r w:rsidR="00DD103C">
        <w:rPr>
          <w:rFonts w:ascii="Arial" w:hAnsi="Arial" w:cs="Arial"/>
          <w:color w:val="333333"/>
        </w:rPr>
        <w:t>egli</w:t>
      </w:r>
      <w:r w:rsidRPr="00F418BD">
        <w:rPr>
          <w:rFonts w:ascii="Arial" w:hAnsi="Arial" w:cs="Arial"/>
          <w:color w:val="333333"/>
        </w:rPr>
        <w:t xml:space="preserve"> esperti contabili come tax control framework, adeguati assetti organizzativi e fattori ESG”.</w:t>
      </w:r>
    </w:p>
    <w:p w14:paraId="5498E8BB" w14:textId="7CD51281" w:rsidR="00AF721C" w:rsidRPr="00F418BD" w:rsidRDefault="00AF721C" w:rsidP="00F41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F721C" w:rsidRPr="00F418B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330A6" w14:textId="77777777" w:rsidR="002010B6" w:rsidRDefault="002010B6" w:rsidP="002529AE">
      <w:pPr>
        <w:spacing w:after="0" w:line="240" w:lineRule="auto"/>
      </w:pPr>
      <w:r>
        <w:separator/>
      </w:r>
    </w:p>
  </w:endnote>
  <w:endnote w:type="continuationSeparator" w:id="0">
    <w:p w14:paraId="1E6D9F0F" w14:textId="77777777" w:rsidR="002010B6" w:rsidRDefault="002010B6" w:rsidP="0025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0BBAE" w14:textId="77777777" w:rsidR="002010B6" w:rsidRDefault="002010B6" w:rsidP="002529AE">
      <w:pPr>
        <w:spacing w:after="0" w:line="240" w:lineRule="auto"/>
      </w:pPr>
      <w:r>
        <w:separator/>
      </w:r>
    </w:p>
  </w:footnote>
  <w:footnote w:type="continuationSeparator" w:id="0">
    <w:p w14:paraId="043B1A19" w14:textId="77777777" w:rsidR="002010B6" w:rsidRDefault="002010B6" w:rsidP="0025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7D05D" w14:textId="1D394E81" w:rsidR="002529AE" w:rsidRDefault="004B1B08" w:rsidP="002529AE">
    <w:pPr>
      <w:pStyle w:val="Intestazione"/>
      <w:jc w:val="center"/>
    </w:pPr>
    <w:r>
      <w:rPr>
        <w:noProof/>
      </w:rPr>
      <w:drawing>
        <wp:inline distT="0" distB="0" distL="0" distR="0" wp14:anchorId="3A85769E" wp14:editId="2D245761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550708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2671CFB"/>
    <w:multiLevelType w:val="hybridMultilevel"/>
    <w:tmpl w:val="62084758"/>
    <w:lvl w:ilvl="0" w:tplc="726C1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7431">
    <w:abstractNumId w:val="0"/>
  </w:num>
  <w:num w:numId="2" w16cid:durableId="55046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AE"/>
    <w:rsid w:val="00014440"/>
    <w:rsid w:val="00015FCD"/>
    <w:rsid w:val="00020733"/>
    <w:rsid w:val="00023E2E"/>
    <w:rsid w:val="00084051"/>
    <w:rsid w:val="000955F1"/>
    <w:rsid w:val="000B0598"/>
    <w:rsid w:val="000B2812"/>
    <w:rsid w:val="000B3ECA"/>
    <w:rsid w:val="000E54BE"/>
    <w:rsid w:val="00121D7C"/>
    <w:rsid w:val="00135D97"/>
    <w:rsid w:val="001418EF"/>
    <w:rsid w:val="0014254C"/>
    <w:rsid w:val="00190B53"/>
    <w:rsid w:val="001C0DC6"/>
    <w:rsid w:val="001F119D"/>
    <w:rsid w:val="002010B6"/>
    <w:rsid w:val="0024364C"/>
    <w:rsid w:val="002529AE"/>
    <w:rsid w:val="00253960"/>
    <w:rsid w:val="002B60A3"/>
    <w:rsid w:val="002B6582"/>
    <w:rsid w:val="002B73EA"/>
    <w:rsid w:val="002C0792"/>
    <w:rsid w:val="002D288D"/>
    <w:rsid w:val="002D7FB3"/>
    <w:rsid w:val="002E4504"/>
    <w:rsid w:val="002F1F05"/>
    <w:rsid w:val="002F3818"/>
    <w:rsid w:val="003004DC"/>
    <w:rsid w:val="00304F0C"/>
    <w:rsid w:val="0031757C"/>
    <w:rsid w:val="00337292"/>
    <w:rsid w:val="00354CCF"/>
    <w:rsid w:val="00367390"/>
    <w:rsid w:val="003E3515"/>
    <w:rsid w:val="003F7109"/>
    <w:rsid w:val="00414C08"/>
    <w:rsid w:val="004272DD"/>
    <w:rsid w:val="00445A65"/>
    <w:rsid w:val="004622A7"/>
    <w:rsid w:val="00490712"/>
    <w:rsid w:val="00496C7E"/>
    <w:rsid w:val="004B1B08"/>
    <w:rsid w:val="00511ED1"/>
    <w:rsid w:val="005215B0"/>
    <w:rsid w:val="00522ABE"/>
    <w:rsid w:val="00535204"/>
    <w:rsid w:val="005607E2"/>
    <w:rsid w:val="00570CD9"/>
    <w:rsid w:val="00573006"/>
    <w:rsid w:val="0059205B"/>
    <w:rsid w:val="005A68D3"/>
    <w:rsid w:val="005A6DA4"/>
    <w:rsid w:val="005C6A24"/>
    <w:rsid w:val="005E12F5"/>
    <w:rsid w:val="006243FD"/>
    <w:rsid w:val="0063486E"/>
    <w:rsid w:val="00645A7C"/>
    <w:rsid w:val="00676DAD"/>
    <w:rsid w:val="00676E3C"/>
    <w:rsid w:val="006925CC"/>
    <w:rsid w:val="006A7953"/>
    <w:rsid w:val="006D6FFA"/>
    <w:rsid w:val="006E7FB3"/>
    <w:rsid w:val="00702CB0"/>
    <w:rsid w:val="007057A4"/>
    <w:rsid w:val="00721BD0"/>
    <w:rsid w:val="00726A97"/>
    <w:rsid w:val="0073207F"/>
    <w:rsid w:val="00751AA1"/>
    <w:rsid w:val="00773A2F"/>
    <w:rsid w:val="00774544"/>
    <w:rsid w:val="007776E9"/>
    <w:rsid w:val="00784244"/>
    <w:rsid w:val="00790E58"/>
    <w:rsid w:val="007E4C20"/>
    <w:rsid w:val="007F5437"/>
    <w:rsid w:val="00812437"/>
    <w:rsid w:val="00823999"/>
    <w:rsid w:val="0084760A"/>
    <w:rsid w:val="00847831"/>
    <w:rsid w:val="00867FA1"/>
    <w:rsid w:val="0087211F"/>
    <w:rsid w:val="00896A68"/>
    <w:rsid w:val="008A08FF"/>
    <w:rsid w:val="008D13BC"/>
    <w:rsid w:val="008D2CB5"/>
    <w:rsid w:val="008E1720"/>
    <w:rsid w:val="009228B2"/>
    <w:rsid w:val="00926E20"/>
    <w:rsid w:val="009737DD"/>
    <w:rsid w:val="009777F2"/>
    <w:rsid w:val="00987A16"/>
    <w:rsid w:val="009912F9"/>
    <w:rsid w:val="009E0269"/>
    <w:rsid w:val="009F3E37"/>
    <w:rsid w:val="009F3F0F"/>
    <w:rsid w:val="00A10F75"/>
    <w:rsid w:val="00A26AEA"/>
    <w:rsid w:val="00A35710"/>
    <w:rsid w:val="00A6639D"/>
    <w:rsid w:val="00A852D9"/>
    <w:rsid w:val="00A863D4"/>
    <w:rsid w:val="00AA21B0"/>
    <w:rsid w:val="00AB49F0"/>
    <w:rsid w:val="00AC046A"/>
    <w:rsid w:val="00AF1A84"/>
    <w:rsid w:val="00AF721C"/>
    <w:rsid w:val="00B472D1"/>
    <w:rsid w:val="00B516AE"/>
    <w:rsid w:val="00B552D6"/>
    <w:rsid w:val="00B73FE1"/>
    <w:rsid w:val="00BB6502"/>
    <w:rsid w:val="00BC2F28"/>
    <w:rsid w:val="00C22798"/>
    <w:rsid w:val="00C4088C"/>
    <w:rsid w:val="00C43821"/>
    <w:rsid w:val="00C55672"/>
    <w:rsid w:val="00C7020F"/>
    <w:rsid w:val="00C95D83"/>
    <w:rsid w:val="00CB51A8"/>
    <w:rsid w:val="00CB65C5"/>
    <w:rsid w:val="00D02E2F"/>
    <w:rsid w:val="00D31607"/>
    <w:rsid w:val="00D52BA0"/>
    <w:rsid w:val="00D60BEE"/>
    <w:rsid w:val="00D95618"/>
    <w:rsid w:val="00DA0E4F"/>
    <w:rsid w:val="00DD103C"/>
    <w:rsid w:val="00DD5B9A"/>
    <w:rsid w:val="00E63279"/>
    <w:rsid w:val="00E862B2"/>
    <w:rsid w:val="00EA2C56"/>
    <w:rsid w:val="00EA3FE2"/>
    <w:rsid w:val="00EB0DAF"/>
    <w:rsid w:val="00EC1E8F"/>
    <w:rsid w:val="00F05FD7"/>
    <w:rsid w:val="00F3758A"/>
    <w:rsid w:val="00F409F9"/>
    <w:rsid w:val="00F418BD"/>
    <w:rsid w:val="00F84790"/>
    <w:rsid w:val="00F91CC8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44A2"/>
  <w15:chartTrackingRefBased/>
  <w15:docId w15:val="{AF4F9998-FCF1-4FCB-BA04-5FFB7E80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9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9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9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9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9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9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9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9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9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9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9A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52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9AE"/>
  </w:style>
  <w:style w:type="paragraph" w:styleId="Pidipagina">
    <w:name w:val="footer"/>
    <w:basedOn w:val="Normale"/>
    <w:link w:val="PidipaginaCarattere"/>
    <w:uiPriority w:val="99"/>
    <w:unhideWhenUsed/>
    <w:rsid w:val="00252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9AE"/>
  </w:style>
  <w:style w:type="character" w:styleId="Collegamentoipertestuale">
    <w:name w:val="Hyperlink"/>
    <w:basedOn w:val="Carpredefinitoparagrafo"/>
    <w:uiPriority w:val="99"/>
    <w:unhideWhenUsed/>
    <w:rsid w:val="002529A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11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A68D3"/>
    <w:rPr>
      <w:color w:val="96607D" w:themeColor="followedHyperlink"/>
      <w:u w:val="single"/>
    </w:rPr>
  </w:style>
  <w:style w:type="paragraph" w:styleId="Puntoelenco">
    <w:name w:val="List Bullet"/>
    <w:basedOn w:val="Normale"/>
    <w:uiPriority w:val="99"/>
    <w:unhideWhenUsed/>
    <w:rsid w:val="00014440"/>
    <w:pPr>
      <w:numPr>
        <w:numId w:val="1"/>
      </w:numPr>
      <w:contextualSpacing/>
    </w:pPr>
  </w:style>
  <w:style w:type="paragraph" w:styleId="Revisione">
    <w:name w:val="Revision"/>
    <w:hidden/>
    <w:uiPriority w:val="99"/>
    <w:semiHidden/>
    <w:rsid w:val="00702CB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702C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2C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2C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C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CB0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4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41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E76C-4D41-4A1D-8EB4-252716CD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Mastrogiacomo Tiziana</cp:lastModifiedBy>
  <cp:revision>8</cp:revision>
  <dcterms:created xsi:type="dcterms:W3CDTF">2024-10-03T07:21:00Z</dcterms:created>
  <dcterms:modified xsi:type="dcterms:W3CDTF">2024-10-04T08:18:00Z</dcterms:modified>
</cp:coreProperties>
</file>