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Default="00505E0A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73AEB0" w14:textId="77777777" w:rsidR="00D52088" w:rsidRPr="00336F75" w:rsidRDefault="00D52088" w:rsidP="00505E0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9FE525" w14:textId="2F5737F1" w:rsidR="00505E0A" w:rsidRDefault="00D52088" w:rsidP="002E445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732B28">
        <w:rPr>
          <w:rFonts w:ascii="Arial" w:hAnsi="Arial" w:cs="Arial"/>
          <w:b/>
          <w:bCs/>
          <w:u w:val="single"/>
        </w:rPr>
        <w:t>Comunicato stampa</w:t>
      </w:r>
    </w:p>
    <w:p w14:paraId="1D0DD095" w14:textId="77777777" w:rsidR="00BF7B31" w:rsidRPr="00732B28" w:rsidRDefault="00BF7B31" w:rsidP="002E445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DB9E2F0" w14:textId="6C4E6180" w:rsidR="00732B28" w:rsidRDefault="00732B28" w:rsidP="002E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732B28">
        <w:rPr>
          <w:rFonts w:ascii="Arial" w:eastAsia="Times New Roman" w:hAnsi="Arial" w:cs="Arial"/>
          <w:b/>
          <w:bCs/>
          <w:color w:val="000000" w:themeColor="text1"/>
          <w:lang w:eastAsia="it-IT"/>
        </w:rPr>
        <w:t>GIUSTIZIA TRIBUTARIA, COMMERCIALISTI: “</w:t>
      </w:r>
      <w:r w:rsidR="008511D0">
        <w:rPr>
          <w:rFonts w:ascii="Arial" w:eastAsia="Times New Roman" w:hAnsi="Arial" w:cs="Arial"/>
          <w:b/>
          <w:bCs/>
          <w:color w:val="000000" w:themeColor="text1"/>
          <w:lang w:eastAsia="it-IT"/>
        </w:rPr>
        <w:t>ADEGUARE IL TESTO UNICO ALLE NORME SUL PROCESSO TELEMATICO</w:t>
      </w:r>
      <w:r w:rsidRPr="00732B28">
        <w:rPr>
          <w:rFonts w:ascii="Arial" w:eastAsia="Times New Roman" w:hAnsi="Arial" w:cs="Arial"/>
          <w:b/>
          <w:bCs/>
          <w:color w:val="000000" w:themeColor="text1"/>
          <w:lang w:eastAsia="it-IT"/>
        </w:rPr>
        <w:t>”</w:t>
      </w:r>
    </w:p>
    <w:p w14:paraId="77D28555" w14:textId="77777777" w:rsidR="002E445A" w:rsidRPr="00732B28" w:rsidRDefault="002E445A" w:rsidP="002E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</w:p>
    <w:p w14:paraId="57101197" w14:textId="317E3D11" w:rsidR="00732B28" w:rsidRDefault="00732B28" w:rsidP="002E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732B28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Il Consiglio nazionale della </w:t>
      </w:r>
      <w:r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categoria </w:t>
      </w:r>
      <w:r w:rsidRPr="00732B28">
        <w:rPr>
          <w:rFonts w:ascii="Arial" w:eastAsia="Times New Roman" w:hAnsi="Arial" w:cs="Arial"/>
          <w:b/>
          <w:bCs/>
          <w:color w:val="000000" w:themeColor="text1"/>
          <w:lang w:eastAsia="it-IT"/>
        </w:rPr>
        <w:t>in audizione parlamentare: “</w:t>
      </w:r>
      <w:r w:rsidR="009D397A">
        <w:rPr>
          <w:rFonts w:ascii="Arial" w:eastAsia="Times New Roman" w:hAnsi="Arial" w:cs="Arial"/>
          <w:b/>
          <w:bCs/>
          <w:color w:val="000000" w:themeColor="text1"/>
          <w:lang w:eastAsia="it-IT"/>
        </w:rPr>
        <w:t>Il percorso positivo avviato con i testi unici va completato con la redazione del Codice Tributario”</w:t>
      </w:r>
    </w:p>
    <w:p w14:paraId="2DBB981D" w14:textId="77777777" w:rsidR="002E445A" w:rsidRPr="00732B28" w:rsidRDefault="002E445A" w:rsidP="002E4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</w:p>
    <w:p w14:paraId="24883D3B" w14:textId="5A10A3A4" w:rsidR="00732B28" w:rsidRDefault="00732B28" w:rsidP="002E445A">
      <w:pPr>
        <w:pStyle w:val="Default"/>
        <w:jc w:val="both"/>
        <w:rPr>
          <w:b/>
          <w:iCs/>
        </w:rPr>
      </w:pPr>
      <w:r w:rsidRPr="00732B28">
        <w:rPr>
          <w:rFonts w:eastAsia="Times New Roman"/>
          <w:i/>
          <w:iCs/>
          <w:color w:val="000000" w:themeColor="text1"/>
          <w:lang w:eastAsia="it-IT"/>
        </w:rPr>
        <w:t xml:space="preserve">1° </w:t>
      </w:r>
      <w:r>
        <w:rPr>
          <w:rFonts w:eastAsia="Times New Roman"/>
          <w:i/>
          <w:iCs/>
          <w:color w:val="000000" w:themeColor="text1"/>
          <w:lang w:eastAsia="it-IT"/>
        </w:rPr>
        <w:t>ottobre</w:t>
      </w:r>
      <w:r w:rsidRPr="00732B28">
        <w:rPr>
          <w:rFonts w:eastAsia="Times New Roman"/>
          <w:i/>
          <w:iCs/>
          <w:color w:val="000000" w:themeColor="text1"/>
          <w:lang w:eastAsia="it-IT"/>
        </w:rPr>
        <w:t xml:space="preserve"> 2024</w:t>
      </w:r>
      <w:r w:rsidRPr="00732B28">
        <w:rPr>
          <w:rFonts w:eastAsia="Times New Roman"/>
          <w:color w:val="000000" w:themeColor="text1"/>
          <w:lang w:eastAsia="it-IT"/>
        </w:rPr>
        <w:t xml:space="preserve"> – </w:t>
      </w:r>
      <w:r w:rsidRPr="00732B28">
        <w:t>Il Consiglio Nazionale dei Commercialisti esprime</w:t>
      </w:r>
      <w:r w:rsidR="00B71001">
        <w:t xml:space="preserve"> </w:t>
      </w:r>
      <w:r w:rsidRPr="00732B28">
        <w:t xml:space="preserve">“la propria </w:t>
      </w:r>
      <w:r w:rsidRPr="00895C49">
        <w:rPr>
          <w:b/>
          <w:bCs/>
        </w:rPr>
        <w:t>piena condivisione</w:t>
      </w:r>
      <w:r w:rsidRPr="00732B28">
        <w:t xml:space="preserve"> dell’obiettivo di riorganizzare e coordinare per settori omogenei la </w:t>
      </w:r>
      <w:r w:rsidRPr="00895C49">
        <w:rPr>
          <w:b/>
          <w:bCs/>
        </w:rPr>
        <w:t>normativa tributaria</w:t>
      </w:r>
      <w:r w:rsidRPr="00732B28">
        <w:t xml:space="preserve">, abrogando le disposizioni non più attuali, nell’ottica di migliorare la chiarezza delle regole fiscali”, ma sottolinea anche come “questo deve essere considerato il </w:t>
      </w:r>
      <w:r w:rsidRPr="00895C49">
        <w:rPr>
          <w:b/>
          <w:bCs/>
        </w:rPr>
        <w:t>primo passo</w:t>
      </w:r>
      <w:r w:rsidRPr="00732B28">
        <w:t xml:space="preserve"> per la realizzazione di un ulteriore obiettivo della legge delega, ancora più ambizioso, costituito dalla redazione di un vero e proprio “</w:t>
      </w:r>
      <w:r w:rsidRPr="00895C49">
        <w:rPr>
          <w:b/>
          <w:bCs/>
        </w:rPr>
        <w:t>Codice tributario</w:t>
      </w:r>
      <w:r w:rsidRPr="00732B28">
        <w:t>”, articolato in una parte generale, sugli adempimenti e sulle procedure, e una parte speciale, sui singoli tributi</w:t>
      </w:r>
      <w:r w:rsidRPr="00732B28">
        <w:rPr>
          <w:rFonts w:eastAsia="Times New Roman"/>
          <w:color w:val="000000" w:themeColor="text1"/>
          <w:lang w:eastAsia="it-IT"/>
        </w:rPr>
        <w:t xml:space="preserve">”. La posizione del Consiglio </w:t>
      </w:r>
      <w:r w:rsidR="009D397A">
        <w:rPr>
          <w:rFonts w:eastAsia="Times New Roman"/>
          <w:color w:val="000000" w:themeColor="text1"/>
          <w:lang w:eastAsia="it-IT"/>
        </w:rPr>
        <w:t>N</w:t>
      </w:r>
      <w:r w:rsidRPr="00732B28">
        <w:rPr>
          <w:rFonts w:eastAsia="Times New Roman"/>
          <w:color w:val="000000" w:themeColor="text1"/>
          <w:lang w:eastAsia="it-IT"/>
        </w:rPr>
        <w:t>azionale della categoria è stata espress</w:t>
      </w:r>
      <w:r w:rsidR="00895C49">
        <w:rPr>
          <w:rFonts w:eastAsia="Times New Roman"/>
          <w:color w:val="000000" w:themeColor="text1"/>
          <w:lang w:eastAsia="it-IT"/>
        </w:rPr>
        <w:t>a</w:t>
      </w:r>
      <w:r w:rsidRPr="00732B28">
        <w:rPr>
          <w:rFonts w:eastAsia="Times New Roman"/>
          <w:color w:val="000000" w:themeColor="text1"/>
          <w:lang w:eastAsia="it-IT"/>
        </w:rPr>
        <w:t xml:space="preserve"> </w:t>
      </w:r>
      <w:r w:rsidR="001D4C69">
        <w:rPr>
          <w:rFonts w:eastAsia="Times New Roman"/>
          <w:color w:val="000000" w:themeColor="text1"/>
          <w:lang w:eastAsia="it-IT"/>
        </w:rPr>
        <w:t xml:space="preserve">oggi </w:t>
      </w:r>
      <w:r w:rsidRPr="00732B28">
        <w:rPr>
          <w:rFonts w:eastAsia="Times New Roman"/>
          <w:color w:val="000000" w:themeColor="text1"/>
          <w:lang w:eastAsia="it-IT"/>
        </w:rPr>
        <w:t xml:space="preserve">nel corso di un’audizione sugli schemi </w:t>
      </w:r>
      <w:r w:rsidRPr="00732B28">
        <w:rPr>
          <w:bCs/>
          <w:iCs/>
        </w:rPr>
        <w:t>di decret</w:t>
      </w:r>
      <w:r w:rsidR="00895C49">
        <w:rPr>
          <w:bCs/>
          <w:iCs/>
        </w:rPr>
        <w:t>i</w:t>
      </w:r>
      <w:r w:rsidRPr="00732B28">
        <w:rPr>
          <w:bCs/>
          <w:i/>
        </w:rPr>
        <w:t xml:space="preserve"> </w:t>
      </w:r>
      <w:r w:rsidRPr="00732B28">
        <w:rPr>
          <w:bCs/>
          <w:iCs/>
        </w:rPr>
        <w:t>legislativ</w:t>
      </w:r>
      <w:r w:rsidR="00895C49">
        <w:rPr>
          <w:bCs/>
          <w:iCs/>
        </w:rPr>
        <w:t>i</w:t>
      </w:r>
      <w:r w:rsidRPr="00732B28">
        <w:rPr>
          <w:bCs/>
          <w:iCs/>
        </w:rPr>
        <w:t xml:space="preserve"> sul testo unico delle </w:t>
      </w:r>
      <w:r w:rsidRPr="00895C49">
        <w:rPr>
          <w:b/>
          <w:iCs/>
        </w:rPr>
        <w:t>sanzioni tributarie</w:t>
      </w:r>
      <w:r w:rsidRPr="00732B28">
        <w:rPr>
          <w:bCs/>
          <w:iCs/>
        </w:rPr>
        <w:t xml:space="preserve"> e </w:t>
      </w:r>
      <w:r w:rsidR="00895C49">
        <w:rPr>
          <w:bCs/>
          <w:iCs/>
        </w:rPr>
        <w:t>su quello</w:t>
      </w:r>
      <w:r w:rsidRPr="00732B28">
        <w:rPr>
          <w:bCs/>
          <w:iCs/>
        </w:rPr>
        <w:t xml:space="preserve"> della </w:t>
      </w:r>
      <w:r w:rsidRPr="00895C49">
        <w:rPr>
          <w:b/>
          <w:iCs/>
        </w:rPr>
        <w:t>giustizia tributaria</w:t>
      </w:r>
      <w:r>
        <w:rPr>
          <w:bCs/>
          <w:iCs/>
        </w:rPr>
        <w:t xml:space="preserve">, alla quale hanno partecipato la Consigliera nazionale delegata alla materia </w:t>
      </w:r>
      <w:r w:rsidRPr="00895C49">
        <w:rPr>
          <w:b/>
          <w:iCs/>
        </w:rPr>
        <w:t>Rosa D’Angiolella</w:t>
      </w:r>
      <w:r>
        <w:rPr>
          <w:bCs/>
          <w:iCs/>
        </w:rPr>
        <w:t xml:space="preserve"> e il coordinatore dell’area fiscalità della Fondazione nazionale dei </w:t>
      </w:r>
      <w:r w:rsidR="009D397A">
        <w:rPr>
          <w:bCs/>
          <w:iCs/>
        </w:rPr>
        <w:t>C</w:t>
      </w:r>
      <w:r>
        <w:rPr>
          <w:bCs/>
          <w:iCs/>
        </w:rPr>
        <w:t xml:space="preserve">ommercialisti </w:t>
      </w:r>
      <w:r w:rsidRPr="00895C49">
        <w:rPr>
          <w:b/>
          <w:iCs/>
        </w:rPr>
        <w:t>Pasquale Saggese</w:t>
      </w:r>
      <w:r w:rsidR="00895C49" w:rsidRPr="00A26B9D">
        <w:rPr>
          <w:bCs/>
          <w:iCs/>
        </w:rPr>
        <w:t>.</w:t>
      </w:r>
    </w:p>
    <w:p w14:paraId="4DBD7982" w14:textId="77777777" w:rsidR="002E445A" w:rsidRPr="00732B28" w:rsidRDefault="002E445A" w:rsidP="002E445A">
      <w:pPr>
        <w:pStyle w:val="Default"/>
        <w:jc w:val="both"/>
        <w:rPr>
          <w:bCs/>
          <w:iCs/>
        </w:rPr>
      </w:pPr>
    </w:p>
    <w:p w14:paraId="48A9A26C" w14:textId="79DBCA6C" w:rsidR="00732B28" w:rsidRPr="00732B28" w:rsidRDefault="00732B28" w:rsidP="002E4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>
        <w:rPr>
          <w:rFonts w:ascii="Arial" w:eastAsia="Times New Roman" w:hAnsi="Arial" w:cs="Arial"/>
          <w:color w:val="000000" w:themeColor="text1"/>
          <w:lang w:eastAsia="it-IT"/>
        </w:rPr>
        <w:t>“L’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aspetto più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problematico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 che emerge dal</w:t>
      </w:r>
      <w:r>
        <w:rPr>
          <w:rFonts w:ascii="Arial" w:eastAsia="Times New Roman" w:hAnsi="Arial" w:cs="Arial"/>
          <w:color w:val="000000" w:themeColor="text1"/>
          <w:lang w:eastAsia="it-IT"/>
        </w:rPr>
        <w:t>l’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esame 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dal testo unico sulla giustizia tributaria – ha affermato D’Angiolella </w:t>
      </w:r>
      <w:r w:rsidR="00A26B9D">
        <w:rPr>
          <w:rFonts w:ascii="Arial" w:eastAsia="Times New Roman" w:hAnsi="Arial" w:cs="Arial"/>
          <w:color w:val="000000" w:themeColor="text1"/>
          <w:lang w:eastAsia="it-IT"/>
        </w:rPr>
        <w:t xml:space="preserve">– 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è costituito dalla traslazione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acritica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 di norme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dissonanti 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o comunque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residuali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 rispetto all’ordinamento vigente</w:t>
      </w:r>
      <w:r w:rsidR="00895C49">
        <w:rPr>
          <w:rFonts w:ascii="Arial" w:eastAsia="Times New Roman" w:hAnsi="Arial" w:cs="Arial"/>
          <w:color w:val="000000" w:themeColor="text1"/>
          <w:lang w:eastAsia="it-IT"/>
        </w:rPr>
        <w:t>”</w:t>
      </w:r>
      <w:r w:rsidRPr="00732B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95C49">
        <w:rPr>
          <w:rFonts w:ascii="Arial" w:eastAsia="Times New Roman" w:hAnsi="Arial" w:cs="Arial"/>
          <w:color w:val="000000" w:themeColor="text1"/>
          <w:lang w:eastAsia="it-IT"/>
        </w:rPr>
        <w:t xml:space="preserve">Il riferimento è 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in particolare al </w:t>
      </w:r>
      <w:r w:rsidR="00895C49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mantenimento di riferimenti alle norme disciplinanti le modalità di accesso al processo tributario con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modalità cartacea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, lasciandone invariato il contenuto, con </w:t>
      </w:r>
      <w:r w:rsidR="0062115D">
        <w:rPr>
          <w:rFonts w:ascii="Arial" w:eastAsia="Times New Roman" w:hAnsi="Arial" w:cs="Arial"/>
          <w:color w:val="000000" w:themeColor="text1"/>
          <w:lang w:eastAsia="it-IT"/>
        </w:rPr>
        <w:t>l’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effetto di lasciare intendere che si tratti della regola generale da rispettare, nonostante che per i ricorsi notificati dal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1° luglio 2019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 sia diventato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obbligatorio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 il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processo tributario telematico</w:t>
      </w:r>
      <w:r>
        <w:rPr>
          <w:rFonts w:ascii="Arial" w:eastAsia="Times New Roman" w:hAnsi="Arial" w:cs="Arial"/>
          <w:color w:val="000000" w:themeColor="text1"/>
          <w:lang w:eastAsia="it-IT"/>
        </w:rPr>
        <w:t>”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>.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 “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>Per favorire la chiarezza e la coerenza della disciplina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 – ha aggiunto </w:t>
      </w:r>
      <w:r w:rsidR="00A26B9D">
        <w:rPr>
          <w:rFonts w:ascii="Arial" w:eastAsia="Times New Roman" w:hAnsi="Arial" w:cs="Arial"/>
          <w:color w:val="000000" w:themeColor="text1"/>
          <w:lang w:eastAsia="it-IT"/>
        </w:rPr>
        <w:t xml:space="preserve">– 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il testo unico avrebbe dovuto dare preminenza alle disposizioni che, dal luglio 2019, impongono l’utilizzo della telematica per l’accesso alla giustizia tributaria, riservando invece a quelle, ormai eccezionali e derogatorie, relative alla modalità “cartacea” un ruolo </w:t>
      </w:r>
      <w:r w:rsidRPr="00895C49">
        <w:rPr>
          <w:rFonts w:ascii="Arial" w:eastAsia="Times New Roman" w:hAnsi="Arial" w:cs="Arial"/>
          <w:b/>
          <w:bCs/>
          <w:color w:val="000000" w:themeColor="text1"/>
          <w:lang w:eastAsia="it-IT"/>
        </w:rPr>
        <w:t>puramente marginale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, pur senza espungerle dal riformulato </w:t>
      </w:r>
      <w:r w:rsidRPr="00732B28">
        <w:rPr>
          <w:rFonts w:ascii="Arial" w:eastAsia="Times New Roman" w:hAnsi="Arial" w:cs="Arial"/>
          <w:i/>
          <w:color w:val="000000" w:themeColor="text1"/>
          <w:lang w:eastAsia="it-IT"/>
        </w:rPr>
        <w:t>corpus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 xml:space="preserve"> normativo</w:t>
      </w:r>
      <w:r>
        <w:rPr>
          <w:rFonts w:ascii="Arial" w:eastAsia="Times New Roman" w:hAnsi="Arial" w:cs="Arial"/>
          <w:color w:val="000000" w:themeColor="text1"/>
          <w:lang w:eastAsia="it-IT"/>
        </w:rPr>
        <w:t>”</w:t>
      </w:r>
      <w:r w:rsidRPr="00732B28">
        <w:rPr>
          <w:rFonts w:ascii="Arial" w:eastAsia="Times New Roman" w:hAnsi="Arial" w:cs="Arial"/>
          <w:color w:val="000000" w:themeColor="text1"/>
          <w:lang w:eastAsia="it-IT"/>
        </w:rPr>
        <w:t>.</w:t>
      </w:r>
      <w:r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</w:p>
    <w:p w14:paraId="13F204BD" w14:textId="77777777" w:rsidR="00732B28" w:rsidRDefault="00732B28" w:rsidP="002E445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63E5BDD2" w14:textId="2FCF793C" w:rsidR="00B71001" w:rsidRPr="00524B93" w:rsidRDefault="00B71001" w:rsidP="002E4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r w:rsidRPr="00524B93">
        <w:rPr>
          <w:rFonts w:ascii="Arial" w:eastAsia="Times New Roman" w:hAnsi="Arial" w:cs="Arial"/>
          <w:color w:val="000000" w:themeColor="text1"/>
          <w:lang w:eastAsia="it-IT"/>
        </w:rPr>
        <w:t>Un</w:t>
      </w:r>
      <w:r w:rsidR="009D397A">
        <w:rPr>
          <w:rFonts w:ascii="Arial" w:eastAsia="Times New Roman" w:hAnsi="Arial" w:cs="Arial"/>
          <w:color w:val="000000" w:themeColor="text1"/>
          <w:lang w:eastAsia="it-IT"/>
        </w:rPr>
        <w:t>’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ulteriore esigenza di coordinamento è stata segnalata dalla categoria con riferimento alla riproduzione nel </w:t>
      </w:r>
      <w:r w:rsidR="009D397A">
        <w:rPr>
          <w:rFonts w:ascii="Arial" w:eastAsia="Times New Roman" w:hAnsi="Arial" w:cs="Arial"/>
          <w:color w:val="000000" w:themeColor="text1"/>
          <w:lang w:eastAsia="it-IT"/>
        </w:rPr>
        <w:t>T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esto </w:t>
      </w:r>
      <w:r w:rsidR="009D397A">
        <w:rPr>
          <w:rFonts w:ascii="Arial" w:eastAsia="Times New Roman" w:hAnsi="Arial" w:cs="Arial"/>
          <w:color w:val="000000" w:themeColor="text1"/>
          <w:lang w:eastAsia="it-IT"/>
        </w:rPr>
        <w:t>U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>nico delle norme procedimentali sulle “</w:t>
      </w:r>
      <w:r w:rsidRPr="00524B93">
        <w:rPr>
          <w:rFonts w:ascii="Arial" w:eastAsia="Times New Roman" w:hAnsi="Arial" w:cs="Arial"/>
          <w:b/>
          <w:bCs/>
          <w:color w:val="000000" w:themeColor="text1"/>
          <w:lang w:eastAsia="it-IT"/>
        </w:rPr>
        <w:t>nullità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>” degli atti di accertamento per difetto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>ad esempio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>,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 di motivazione o di sottoscrizione, che, anche 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alla luce della nuova disciplina dei vizi degli atti tributari introdotta dalla riforma dello Statuto del contribuente, sono invece </w:t>
      </w:r>
      <w:r w:rsidRPr="00524B93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ipotesi </w:t>
      </w:r>
      <w:r w:rsidR="00524B93" w:rsidRPr="00524B93">
        <w:rPr>
          <w:rFonts w:ascii="Arial" w:eastAsia="Times New Roman" w:hAnsi="Arial" w:cs="Arial"/>
          <w:b/>
          <w:bCs/>
          <w:color w:val="000000" w:themeColor="text1"/>
          <w:lang w:eastAsia="it-IT"/>
        </w:rPr>
        <w:t>di annullabilità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 da eccepire a pena di 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>decadenza</w:t>
      </w:r>
      <w:r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 in primo grado”. 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 xml:space="preserve">Il Consiglio </w:t>
      </w:r>
      <w:r w:rsidR="009D397A">
        <w:rPr>
          <w:rFonts w:ascii="Arial" w:eastAsia="Times New Roman" w:hAnsi="Arial" w:cs="Arial"/>
          <w:color w:val="000000" w:themeColor="text1"/>
          <w:lang w:eastAsia="it-IT"/>
        </w:rPr>
        <w:t>N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 xml:space="preserve">azionale ha infine 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>segnalat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>o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524B93">
        <w:rPr>
          <w:rFonts w:ascii="Arial" w:eastAsia="Times New Roman" w:hAnsi="Arial" w:cs="Arial"/>
          <w:color w:val="000000" w:themeColor="text1"/>
          <w:lang w:eastAsia="it-IT"/>
        </w:rPr>
        <w:t>“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>l’esigenza di inserire nel testo unico le disposizioni relative alle limitazioni dell’</w:t>
      </w:r>
      <w:r w:rsidR="00524B93" w:rsidRPr="00524B93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impugnazione della cartella di pagamento 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>per vizi di notificazione</w:t>
      </w:r>
      <w:r w:rsidR="009D397A">
        <w:rPr>
          <w:rFonts w:ascii="Arial" w:eastAsia="Times New Roman" w:hAnsi="Arial" w:cs="Arial"/>
          <w:color w:val="000000" w:themeColor="text1"/>
          <w:lang w:eastAsia="it-IT"/>
        </w:rPr>
        <w:t>,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 come recentemente modificate dal decreto delegato sulla </w:t>
      </w:r>
      <w:r w:rsidR="00524B93" w:rsidRPr="00524B93">
        <w:rPr>
          <w:rFonts w:ascii="Arial" w:eastAsia="Times New Roman" w:hAnsi="Arial" w:cs="Arial"/>
          <w:b/>
          <w:bCs/>
          <w:color w:val="000000" w:themeColor="text1"/>
          <w:lang w:eastAsia="it-IT"/>
        </w:rPr>
        <w:t>riforma della riscossione</w:t>
      </w:r>
      <w:r w:rsidR="00524B93" w:rsidRPr="00524B93">
        <w:rPr>
          <w:rFonts w:ascii="Arial" w:eastAsia="Times New Roman" w:hAnsi="Arial" w:cs="Arial"/>
          <w:color w:val="000000" w:themeColor="text1"/>
          <w:lang w:eastAsia="it-IT"/>
        </w:rPr>
        <w:t xml:space="preserve">”. </w:t>
      </w:r>
    </w:p>
    <w:sectPr w:rsidR="00B71001" w:rsidRPr="00524B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20947" w14:textId="77777777" w:rsidR="00C72751" w:rsidRDefault="00C72751" w:rsidP="008A20F9">
      <w:pPr>
        <w:spacing w:after="0" w:line="240" w:lineRule="auto"/>
      </w:pPr>
      <w:r>
        <w:separator/>
      </w:r>
    </w:p>
  </w:endnote>
  <w:endnote w:type="continuationSeparator" w:id="0">
    <w:p w14:paraId="2B7AE68E" w14:textId="77777777" w:rsidR="00C72751" w:rsidRDefault="00C72751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F3E6" w14:textId="77777777" w:rsidR="00C72751" w:rsidRDefault="00C72751" w:rsidP="008A20F9">
      <w:pPr>
        <w:spacing w:after="0" w:line="240" w:lineRule="auto"/>
      </w:pPr>
      <w:r>
        <w:separator/>
      </w:r>
    </w:p>
  </w:footnote>
  <w:footnote w:type="continuationSeparator" w:id="0">
    <w:p w14:paraId="02F0A384" w14:textId="77777777" w:rsidR="00C72751" w:rsidRDefault="00C72751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C77CE"/>
    <w:rsid w:val="001A5B2B"/>
    <w:rsid w:val="001D4C69"/>
    <w:rsid w:val="002330A2"/>
    <w:rsid w:val="0024263F"/>
    <w:rsid w:val="00246292"/>
    <w:rsid w:val="00263457"/>
    <w:rsid w:val="002957A8"/>
    <w:rsid w:val="002D153D"/>
    <w:rsid w:val="002E445A"/>
    <w:rsid w:val="00301A37"/>
    <w:rsid w:val="00312B18"/>
    <w:rsid w:val="00336F75"/>
    <w:rsid w:val="00346C92"/>
    <w:rsid w:val="003507E0"/>
    <w:rsid w:val="003B7FE9"/>
    <w:rsid w:val="003C4E2B"/>
    <w:rsid w:val="003D52A1"/>
    <w:rsid w:val="00423A7B"/>
    <w:rsid w:val="004547E1"/>
    <w:rsid w:val="004629E1"/>
    <w:rsid w:val="004A52D9"/>
    <w:rsid w:val="004D7A70"/>
    <w:rsid w:val="004F5A82"/>
    <w:rsid w:val="005043FB"/>
    <w:rsid w:val="00505E0A"/>
    <w:rsid w:val="00524B93"/>
    <w:rsid w:val="00543953"/>
    <w:rsid w:val="00582A23"/>
    <w:rsid w:val="0062115D"/>
    <w:rsid w:val="006359F9"/>
    <w:rsid w:val="006A2684"/>
    <w:rsid w:val="00732B28"/>
    <w:rsid w:val="00754333"/>
    <w:rsid w:val="00764982"/>
    <w:rsid w:val="008511D0"/>
    <w:rsid w:val="00895C49"/>
    <w:rsid w:val="008A20F9"/>
    <w:rsid w:val="008B4082"/>
    <w:rsid w:val="008D15CD"/>
    <w:rsid w:val="0090611A"/>
    <w:rsid w:val="00911316"/>
    <w:rsid w:val="00935A37"/>
    <w:rsid w:val="009D397A"/>
    <w:rsid w:val="009E7612"/>
    <w:rsid w:val="009F1BED"/>
    <w:rsid w:val="009F4D5C"/>
    <w:rsid w:val="00A12D0E"/>
    <w:rsid w:val="00A25E53"/>
    <w:rsid w:val="00A26B9D"/>
    <w:rsid w:val="00AD683B"/>
    <w:rsid w:val="00B1708E"/>
    <w:rsid w:val="00B71001"/>
    <w:rsid w:val="00BD45E2"/>
    <w:rsid w:val="00BF0F6C"/>
    <w:rsid w:val="00BF7B31"/>
    <w:rsid w:val="00C51CDA"/>
    <w:rsid w:val="00C56162"/>
    <w:rsid w:val="00C72751"/>
    <w:rsid w:val="00D40E0C"/>
    <w:rsid w:val="00D41394"/>
    <w:rsid w:val="00D52088"/>
    <w:rsid w:val="00E26BE2"/>
    <w:rsid w:val="00E34BB0"/>
    <w:rsid w:val="00E646A4"/>
    <w:rsid w:val="00E8677B"/>
    <w:rsid w:val="00EC353A"/>
    <w:rsid w:val="00ED27C6"/>
    <w:rsid w:val="00F010A2"/>
    <w:rsid w:val="00F01297"/>
    <w:rsid w:val="00F72001"/>
    <w:rsid w:val="00F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dcterms:created xsi:type="dcterms:W3CDTF">2024-10-01T10:02:00Z</dcterms:created>
  <dcterms:modified xsi:type="dcterms:W3CDTF">2024-10-01T12:18:00Z</dcterms:modified>
</cp:coreProperties>
</file>