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BF8A" w14:textId="77777777" w:rsidR="00637D48" w:rsidRDefault="00637D48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FCF8D1" w14:textId="77777777" w:rsidR="00637D48" w:rsidRDefault="00637D48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C5C790" w14:textId="39813C8E" w:rsidR="00637D48" w:rsidRDefault="00637D48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37D48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6BD64FD6" w14:textId="77777777" w:rsidR="00637D48" w:rsidRPr="00637D48" w:rsidRDefault="00637D48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530552" w14:textId="30A63982" w:rsidR="00D10D56" w:rsidRDefault="007C422F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REGOLARIZZAZIONE DELLE RIMANENZE DI MAGAZZINO</w:t>
      </w:r>
      <w:r w:rsidR="00E06B9D">
        <w:rPr>
          <w:rFonts w:ascii="Arial" w:hAnsi="Arial" w:cs="Arial"/>
          <w:b/>
          <w:bCs/>
          <w:sz w:val="24"/>
          <w:szCs w:val="24"/>
        </w:rPr>
        <w:t>:</w:t>
      </w:r>
      <w:r w:rsidR="00D10D56">
        <w:rPr>
          <w:rFonts w:ascii="Arial" w:hAnsi="Arial" w:cs="Arial"/>
          <w:b/>
          <w:bCs/>
          <w:sz w:val="24"/>
          <w:szCs w:val="24"/>
        </w:rPr>
        <w:t xml:space="preserve"> DOCUMENTO DEI COMMERCIALISTI</w:t>
      </w:r>
    </w:p>
    <w:p w14:paraId="42EAAC08" w14:textId="77777777" w:rsidR="00EB3CE2" w:rsidRDefault="00EB3CE2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F8DFC5" w14:textId="3B4897B2" w:rsidR="00637D48" w:rsidRDefault="00A26CDC" w:rsidP="00A26C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6CDC">
        <w:rPr>
          <w:rFonts w:ascii="Arial" w:hAnsi="Arial" w:cs="Arial"/>
          <w:b/>
          <w:bCs/>
          <w:sz w:val="24"/>
          <w:szCs w:val="24"/>
        </w:rPr>
        <w:t>Il testo prende spunto dalla legge di bilancio 2024</w:t>
      </w:r>
      <w:r>
        <w:rPr>
          <w:rFonts w:ascii="Arial" w:hAnsi="Arial" w:cs="Arial"/>
          <w:b/>
          <w:bCs/>
          <w:sz w:val="24"/>
          <w:szCs w:val="24"/>
        </w:rPr>
        <w:t xml:space="preserve"> che </w:t>
      </w:r>
      <w:r w:rsidRPr="00A26CDC">
        <w:rPr>
          <w:rFonts w:ascii="Arial" w:hAnsi="Arial" w:cs="Arial"/>
          <w:b/>
          <w:bCs/>
          <w:sz w:val="24"/>
          <w:szCs w:val="24"/>
        </w:rPr>
        <w:t xml:space="preserve">ha previsto la possibilità per gli esercenti attività d’impresa di procedere </w:t>
      </w:r>
      <w:r w:rsidR="00B32426">
        <w:rPr>
          <w:rFonts w:ascii="Arial" w:hAnsi="Arial" w:cs="Arial"/>
          <w:b/>
          <w:bCs/>
          <w:sz w:val="24"/>
          <w:szCs w:val="24"/>
        </w:rPr>
        <w:t>r</w:t>
      </w:r>
      <w:r w:rsidRPr="00A26CDC">
        <w:rPr>
          <w:rFonts w:ascii="Arial" w:hAnsi="Arial" w:cs="Arial"/>
          <w:b/>
          <w:bCs/>
          <w:sz w:val="24"/>
          <w:szCs w:val="24"/>
        </w:rPr>
        <w:t>elativamente al periodo d’imposta in corso al 30 settembre 2023</w:t>
      </w:r>
    </w:p>
    <w:p w14:paraId="0AF96F8A" w14:textId="77777777" w:rsidR="00A26CDC" w:rsidRDefault="00A26CDC" w:rsidP="00637D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8C9550" w14:textId="77777777" w:rsidR="00A26CDC" w:rsidRPr="00637D48" w:rsidRDefault="00A26CDC" w:rsidP="00637D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B7EF17" w14:textId="0CF8A761" w:rsidR="00204BCA" w:rsidRDefault="00637D48" w:rsidP="00204B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7D48">
        <w:rPr>
          <w:rFonts w:ascii="Arial" w:hAnsi="Arial" w:cs="Arial"/>
          <w:i/>
          <w:iCs/>
          <w:sz w:val="24"/>
          <w:szCs w:val="24"/>
        </w:rPr>
        <w:t xml:space="preserve">Roma, </w:t>
      </w:r>
      <w:r w:rsidR="007C422F">
        <w:rPr>
          <w:rFonts w:ascii="Arial" w:hAnsi="Arial" w:cs="Arial"/>
          <w:i/>
          <w:iCs/>
          <w:sz w:val="24"/>
          <w:szCs w:val="24"/>
        </w:rPr>
        <w:t>20 settembre</w:t>
      </w:r>
      <w:r w:rsidRPr="00637D48">
        <w:rPr>
          <w:rFonts w:ascii="Arial" w:hAnsi="Arial" w:cs="Arial"/>
          <w:i/>
          <w:iCs/>
          <w:sz w:val="24"/>
          <w:szCs w:val="24"/>
        </w:rPr>
        <w:t xml:space="preserve"> 2024</w:t>
      </w:r>
      <w:r w:rsidRPr="00637D48">
        <w:rPr>
          <w:rFonts w:ascii="Arial" w:hAnsi="Arial" w:cs="Arial"/>
          <w:sz w:val="24"/>
          <w:szCs w:val="24"/>
        </w:rPr>
        <w:t xml:space="preserve"> – </w:t>
      </w:r>
      <w:r w:rsidR="00E7723F">
        <w:rPr>
          <w:rFonts w:ascii="Arial" w:hAnsi="Arial" w:cs="Arial"/>
          <w:sz w:val="24"/>
          <w:szCs w:val="24"/>
        </w:rPr>
        <w:t>“</w:t>
      </w:r>
      <w:r w:rsidR="007C422F">
        <w:rPr>
          <w:rFonts w:ascii="Arial" w:hAnsi="Arial" w:cs="Arial"/>
          <w:b/>
          <w:bCs/>
          <w:sz w:val="24"/>
          <w:szCs w:val="24"/>
        </w:rPr>
        <w:t>La regolarizzazione delle rimanenze di magazzino</w:t>
      </w:r>
      <w:r w:rsidR="00E7723F">
        <w:rPr>
          <w:rFonts w:ascii="Arial" w:hAnsi="Arial" w:cs="Arial"/>
          <w:sz w:val="24"/>
          <w:szCs w:val="24"/>
        </w:rPr>
        <w:t xml:space="preserve">” è il titolo del documento </w:t>
      </w:r>
      <w:r w:rsidR="00A26CDC">
        <w:rPr>
          <w:rFonts w:ascii="Arial" w:hAnsi="Arial" w:cs="Arial"/>
          <w:sz w:val="24"/>
          <w:szCs w:val="24"/>
        </w:rPr>
        <w:t xml:space="preserve">di ricerca realizzato dal Consiglio e dalla Fondazione nazionale Ricerca dei commercialisti, </w:t>
      </w:r>
      <w:r w:rsidR="00E7723F">
        <w:rPr>
          <w:rFonts w:ascii="Arial" w:hAnsi="Arial" w:cs="Arial"/>
          <w:sz w:val="24"/>
          <w:szCs w:val="24"/>
        </w:rPr>
        <w:t>curato dalla commissione di studio “</w:t>
      </w:r>
      <w:r w:rsidR="007C422F">
        <w:rPr>
          <w:rFonts w:ascii="Arial" w:hAnsi="Arial" w:cs="Arial"/>
          <w:sz w:val="24"/>
          <w:szCs w:val="24"/>
        </w:rPr>
        <w:t>Imposte dirette</w:t>
      </w:r>
      <w:r w:rsidR="00E7723F">
        <w:rPr>
          <w:rFonts w:ascii="Arial" w:hAnsi="Arial" w:cs="Arial"/>
          <w:sz w:val="24"/>
          <w:szCs w:val="24"/>
        </w:rPr>
        <w:t>”</w:t>
      </w:r>
      <w:r w:rsidR="001D7FC8">
        <w:rPr>
          <w:rFonts w:ascii="Arial" w:hAnsi="Arial" w:cs="Arial"/>
          <w:sz w:val="24"/>
          <w:szCs w:val="24"/>
        </w:rPr>
        <w:t xml:space="preserve"> del C</w:t>
      </w:r>
      <w:r w:rsidR="00A26CDC">
        <w:rPr>
          <w:rFonts w:ascii="Arial" w:hAnsi="Arial" w:cs="Arial"/>
          <w:sz w:val="24"/>
          <w:szCs w:val="24"/>
        </w:rPr>
        <w:t xml:space="preserve">NDCEC </w:t>
      </w:r>
      <w:r w:rsidR="007C422F">
        <w:rPr>
          <w:rFonts w:ascii="Arial" w:hAnsi="Arial" w:cs="Arial"/>
          <w:sz w:val="24"/>
          <w:szCs w:val="24"/>
        </w:rPr>
        <w:t>n</w:t>
      </w:r>
      <w:r w:rsidR="00E7723F">
        <w:rPr>
          <w:rFonts w:ascii="Arial" w:hAnsi="Arial" w:cs="Arial"/>
          <w:sz w:val="24"/>
          <w:szCs w:val="24"/>
        </w:rPr>
        <w:t>ell’ambito dell’area di delega “</w:t>
      </w:r>
      <w:r w:rsidR="007C422F">
        <w:rPr>
          <w:rFonts w:ascii="Arial" w:hAnsi="Arial" w:cs="Arial"/>
          <w:b/>
          <w:bCs/>
          <w:sz w:val="24"/>
          <w:szCs w:val="24"/>
        </w:rPr>
        <w:t>Fiscalità</w:t>
      </w:r>
      <w:r w:rsidR="00E7723F">
        <w:rPr>
          <w:rFonts w:ascii="Arial" w:hAnsi="Arial" w:cs="Arial"/>
          <w:sz w:val="24"/>
          <w:szCs w:val="24"/>
        </w:rPr>
        <w:t>” affidata a</w:t>
      </w:r>
      <w:r w:rsidR="007C422F">
        <w:rPr>
          <w:rFonts w:ascii="Arial" w:hAnsi="Arial" w:cs="Arial"/>
          <w:sz w:val="24"/>
          <w:szCs w:val="24"/>
        </w:rPr>
        <w:t>l</w:t>
      </w:r>
      <w:r w:rsidR="00E7723F">
        <w:rPr>
          <w:rFonts w:ascii="Arial" w:hAnsi="Arial" w:cs="Arial"/>
          <w:sz w:val="24"/>
          <w:szCs w:val="24"/>
        </w:rPr>
        <w:t xml:space="preserve"> </w:t>
      </w:r>
      <w:r w:rsidR="007C422F">
        <w:rPr>
          <w:rFonts w:ascii="Arial" w:hAnsi="Arial" w:cs="Arial"/>
          <w:sz w:val="24"/>
          <w:szCs w:val="24"/>
        </w:rPr>
        <w:t>C</w:t>
      </w:r>
      <w:r w:rsidR="00E7723F">
        <w:rPr>
          <w:rFonts w:ascii="Arial" w:hAnsi="Arial" w:cs="Arial"/>
          <w:sz w:val="24"/>
          <w:szCs w:val="24"/>
        </w:rPr>
        <w:t>onsiglier</w:t>
      </w:r>
      <w:r w:rsidR="007C422F">
        <w:rPr>
          <w:rFonts w:ascii="Arial" w:hAnsi="Arial" w:cs="Arial"/>
          <w:sz w:val="24"/>
          <w:szCs w:val="24"/>
        </w:rPr>
        <w:t>e</w:t>
      </w:r>
      <w:r w:rsidR="00E7723F">
        <w:rPr>
          <w:rFonts w:ascii="Arial" w:hAnsi="Arial" w:cs="Arial"/>
          <w:sz w:val="24"/>
          <w:szCs w:val="24"/>
        </w:rPr>
        <w:t xml:space="preserve"> </w:t>
      </w:r>
      <w:r w:rsidR="007C422F">
        <w:rPr>
          <w:rFonts w:ascii="Arial" w:hAnsi="Arial" w:cs="Arial"/>
          <w:sz w:val="24"/>
          <w:szCs w:val="24"/>
        </w:rPr>
        <w:t xml:space="preserve">tesoriere </w:t>
      </w:r>
      <w:r w:rsidR="007C422F" w:rsidRPr="00A26CDC">
        <w:rPr>
          <w:rFonts w:ascii="Arial" w:hAnsi="Arial" w:cs="Arial"/>
          <w:b/>
          <w:bCs/>
          <w:sz w:val="24"/>
          <w:szCs w:val="24"/>
        </w:rPr>
        <w:t>Salvatore Regalbuto</w:t>
      </w:r>
      <w:r w:rsidR="00E7723F">
        <w:rPr>
          <w:rFonts w:ascii="Arial" w:hAnsi="Arial" w:cs="Arial"/>
          <w:sz w:val="24"/>
          <w:szCs w:val="24"/>
        </w:rPr>
        <w:t>.</w:t>
      </w:r>
    </w:p>
    <w:p w14:paraId="4E14A778" w14:textId="77777777" w:rsidR="00A26CDC" w:rsidRDefault="00A26CDC" w:rsidP="00A26C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98F330" w14:textId="6C86FE2B" w:rsidR="00A26CDC" w:rsidRDefault="00A26CDC" w:rsidP="00A26C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testo prende spunto dall</w:t>
      </w:r>
      <w:r w:rsidRPr="00A26CD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legge di bilancio 2024 (</w:t>
      </w:r>
      <w:r w:rsidRPr="00A26CDC">
        <w:rPr>
          <w:rFonts w:ascii="Arial" w:hAnsi="Arial" w:cs="Arial"/>
          <w:sz w:val="24"/>
          <w:szCs w:val="24"/>
        </w:rPr>
        <w:t>legge 30 dicembre 2023, n. 213</w:t>
      </w:r>
      <w:r>
        <w:rPr>
          <w:rFonts w:ascii="Arial" w:hAnsi="Arial" w:cs="Arial"/>
          <w:sz w:val="24"/>
          <w:szCs w:val="24"/>
        </w:rPr>
        <w:t>) che</w:t>
      </w:r>
      <w:r w:rsidRPr="00A26CDC">
        <w:rPr>
          <w:rFonts w:ascii="Arial" w:hAnsi="Arial" w:cs="Arial"/>
          <w:sz w:val="24"/>
          <w:szCs w:val="24"/>
        </w:rPr>
        <w:t>, con i commi da 78 a 85 dell’articolo 1, ha previsto la possibilità per gli esercenti attività d’impresa di procedere alla regolarizzazione delle rimanenze iniziali di magazzino relativamente al periodo d’imposta in corso al 30 settembre 2023</w:t>
      </w:r>
      <w:r>
        <w:rPr>
          <w:rFonts w:ascii="Arial" w:hAnsi="Arial" w:cs="Arial"/>
          <w:sz w:val="24"/>
          <w:szCs w:val="24"/>
        </w:rPr>
        <w:t>.</w:t>
      </w:r>
    </w:p>
    <w:p w14:paraId="7E8B94E7" w14:textId="77777777" w:rsidR="00A26CDC" w:rsidRPr="00A26CDC" w:rsidRDefault="00A26CDC" w:rsidP="00A26C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B61DC0" w14:textId="77777777" w:rsidR="00A26CDC" w:rsidRDefault="00A26CDC" w:rsidP="00A26C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CDC">
        <w:rPr>
          <w:rFonts w:ascii="Arial" w:hAnsi="Arial" w:cs="Arial"/>
          <w:sz w:val="24"/>
          <w:szCs w:val="24"/>
        </w:rPr>
        <w:t>La regolarizzazione si realizza adeguando il valore delle esistenze iniziali a quello effettivo e prevede il versamento di un’imposta sostitutiva delle imposte sui redditi (Irpef e Ires) e dell’imposta regionale sulle attività produttive (Irap), a cui deve aggiungersi l’imposta sul valore aggiunto (Iva) nel solo caso di riduzione del magazzino.</w:t>
      </w:r>
    </w:p>
    <w:p w14:paraId="5E6E2ADF" w14:textId="77777777" w:rsidR="00A26CDC" w:rsidRPr="00A26CDC" w:rsidRDefault="00A26CDC" w:rsidP="00A26C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581F8B" w14:textId="07D910FB" w:rsidR="00A26CDC" w:rsidRPr="00204BCA" w:rsidRDefault="00A26CDC" w:rsidP="00A26C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CDC">
        <w:rPr>
          <w:rFonts w:ascii="Arial" w:hAnsi="Arial" w:cs="Arial"/>
          <w:sz w:val="24"/>
          <w:szCs w:val="24"/>
        </w:rPr>
        <w:t>Il lavoro illustra l’ambito soggettivo e oggettivo della disciplina, le modalità di regolarizzazione, le imposte dovute e le relative modalità di versamento, gli effetti dell’adeguamento, nonché le modalità di compilazione della dichiarazione dei redditi nella quale dovranno essere indicati i dati relativi alla regolarizzazione stessa</w:t>
      </w:r>
      <w:r>
        <w:rPr>
          <w:rFonts w:ascii="Arial" w:hAnsi="Arial" w:cs="Arial"/>
          <w:sz w:val="24"/>
          <w:szCs w:val="24"/>
        </w:rPr>
        <w:t xml:space="preserve"> e si conclude</w:t>
      </w:r>
      <w:r w:rsidRPr="00A26CDC">
        <w:rPr>
          <w:rFonts w:ascii="Arial" w:hAnsi="Arial" w:cs="Arial"/>
          <w:sz w:val="24"/>
          <w:szCs w:val="24"/>
        </w:rPr>
        <w:t xml:space="preserve"> con l’esame dei profili contabili dell’operazione</w:t>
      </w:r>
      <w:r>
        <w:rPr>
          <w:rFonts w:ascii="Arial" w:hAnsi="Arial" w:cs="Arial"/>
          <w:sz w:val="24"/>
          <w:szCs w:val="24"/>
        </w:rPr>
        <w:t>.</w:t>
      </w:r>
    </w:p>
    <w:p w14:paraId="4CA0FC8E" w14:textId="77777777" w:rsidR="00B55FDA" w:rsidRPr="00204BCA" w:rsidRDefault="00B55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55FDA" w:rsidRPr="00204BC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6C0B" w14:textId="77777777" w:rsidR="00893F8D" w:rsidRDefault="00893F8D" w:rsidP="00637D48">
      <w:pPr>
        <w:spacing w:after="0" w:line="240" w:lineRule="auto"/>
      </w:pPr>
      <w:r>
        <w:separator/>
      </w:r>
    </w:p>
  </w:endnote>
  <w:endnote w:type="continuationSeparator" w:id="0">
    <w:p w14:paraId="19B06AE6" w14:textId="77777777" w:rsidR="00893F8D" w:rsidRDefault="00893F8D" w:rsidP="0063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3DE0" w14:textId="77777777" w:rsidR="00893F8D" w:rsidRDefault="00893F8D" w:rsidP="00637D48">
      <w:pPr>
        <w:spacing w:after="0" w:line="240" w:lineRule="auto"/>
      </w:pPr>
      <w:r>
        <w:separator/>
      </w:r>
    </w:p>
  </w:footnote>
  <w:footnote w:type="continuationSeparator" w:id="0">
    <w:p w14:paraId="09185A53" w14:textId="77777777" w:rsidR="00893F8D" w:rsidRDefault="00893F8D" w:rsidP="0063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3AA5" w14:textId="7788B2F0" w:rsidR="00637D48" w:rsidRPr="00637D48" w:rsidRDefault="00637D48" w:rsidP="00637D48">
    <w:pPr>
      <w:pStyle w:val="Intestazione"/>
      <w:jc w:val="center"/>
    </w:pPr>
    <w:r>
      <w:rPr>
        <w:noProof/>
      </w:rPr>
      <w:drawing>
        <wp:inline distT="0" distB="0" distL="0" distR="0" wp14:anchorId="5245879D" wp14:editId="50707790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48"/>
    <w:rsid w:val="00050C86"/>
    <w:rsid w:val="00097116"/>
    <w:rsid w:val="001D7FC8"/>
    <w:rsid w:val="00204BCA"/>
    <w:rsid w:val="00405328"/>
    <w:rsid w:val="00464E33"/>
    <w:rsid w:val="004B690F"/>
    <w:rsid w:val="0056121D"/>
    <w:rsid w:val="005F2B6E"/>
    <w:rsid w:val="00607512"/>
    <w:rsid w:val="00637D48"/>
    <w:rsid w:val="007870B2"/>
    <w:rsid w:val="00795D48"/>
    <w:rsid w:val="007C422F"/>
    <w:rsid w:val="00852CF2"/>
    <w:rsid w:val="00875245"/>
    <w:rsid w:val="00893F8D"/>
    <w:rsid w:val="00A26CDC"/>
    <w:rsid w:val="00B32426"/>
    <w:rsid w:val="00B55FDA"/>
    <w:rsid w:val="00B947AD"/>
    <w:rsid w:val="00C1267B"/>
    <w:rsid w:val="00C466D3"/>
    <w:rsid w:val="00D05847"/>
    <w:rsid w:val="00D10D56"/>
    <w:rsid w:val="00E06B9D"/>
    <w:rsid w:val="00E7723F"/>
    <w:rsid w:val="00E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618"/>
  <w15:chartTrackingRefBased/>
  <w15:docId w15:val="{11B59A0F-72D0-4734-86D8-EB79B4FD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7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7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7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7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7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7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7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7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7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7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7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7D4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7D4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7D4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7D4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7D4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7D4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7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7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7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7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7D4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7D4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7D4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7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7D4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7D4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7D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D48"/>
  </w:style>
  <w:style w:type="paragraph" w:styleId="Pidipagina">
    <w:name w:val="footer"/>
    <w:basedOn w:val="Normale"/>
    <w:link w:val="PidipaginaCarattere"/>
    <w:uiPriority w:val="99"/>
    <w:unhideWhenUsed/>
    <w:rsid w:val="00637D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16</cp:revision>
  <dcterms:created xsi:type="dcterms:W3CDTF">2024-08-07T17:57:00Z</dcterms:created>
  <dcterms:modified xsi:type="dcterms:W3CDTF">2024-09-20T13:20:00Z</dcterms:modified>
</cp:coreProperties>
</file>