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410A7B" w:rsidRDefault="00505E0A" w:rsidP="007E4A1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AE43ED5" w14:textId="77777777" w:rsidR="007E4A13" w:rsidRDefault="007E4A13" w:rsidP="007E4A13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31D59A9" w14:textId="006E84AB" w:rsidR="00524C36" w:rsidRPr="00410A7B" w:rsidRDefault="00524C36" w:rsidP="007E4A13">
      <w:pPr>
        <w:jc w:val="center"/>
        <w:rPr>
          <w:rFonts w:ascii="Arial" w:hAnsi="Arial" w:cs="Arial"/>
          <w:sz w:val="23"/>
          <w:szCs w:val="23"/>
        </w:rPr>
      </w:pPr>
      <w:r w:rsidRPr="00410A7B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8054AF0" w14:textId="105A0605" w:rsidR="00524C36" w:rsidRPr="00410A7B" w:rsidRDefault="00524C36" w:rsidP="007E4A13">
      <w:pPr>
        <w:jc w:val="center"/>
        <w:rPr>
          <w:rFonts w:ascii="Arial" w:hAnsi="Arial" w:cs="Arial"/>
          <w:sz w:val="23"/>
          <w:szCs w:val="23"/>
        </w:rPr>
      </w:pPr>
    </w:p>
    <w:p w14:paraId="1B5A2D07" w14:textId="00BEB32B" w:rsidR="00737AB1" w:rsidRPr="00410A7B" w:rsidRDefault="00455CEA" w:rsidP="007E4A13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10A7B">
        <w:rPr>
          <w:rFonts w:ascii="Arial" w:hAnsi="Arial" w:cs="Arial"/>
          <w:b/>
          <w:bCs/>
          <w:sz w:val="23"/>
          <w:szCs w:val="23"/>
        </w:rPr>
        <w:t>LO.AGRI, DOCUMENTO DEI COMMERCIALISTI SU</w:t>
      </w:r>
      <w:r w:rsidR="008A68AA">
        <w:rPr>
          <w:rFonts w:ascii="Arial" w:hAnsi="Arial" w:cs="Arial"/>
          <w:b/>
          <w:bCs/>
          <w:sz w:val="23"/>
          <w:szCs w:val="23"/>
        </w:rPr>
        <w:t>L</w:t>
      </w:r>
      <w:r w:rsidRPr="00410A7B">
        <w:rPr>
          <w:rFonts w:ascii="Arial" w:hAnsi="Arial" w:cs="Arial"/>
          <w:b/>
          <w:bCs/>
          <w:sz w:val="23"/>
          <w:szCs w:val="23"/>
        </w:rPr>
        <w:t xml:space="preserve"> LAVORO OCCASIONALE IN AGRICOLTURA</w:t>
      </w:r>
    </w:p>
    <w:p w14:paraId="43DB6792" w14:textId="77777777" w:rsidR="00455CEA" w:rsidRPr="00410A7B" w:rsidRDefault="00455CEA" w:rsidP="007E4A13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4EA6DFF" w14:textId="344DB94D" w:rsidR="00455CEA" w:rsidRPr="00410A7B" w:rsidRDefault="00455CEA" w:rsidP="007E4A13">
      <w:pPr>
        <w:jc w:val="center"/>
        <w:rPr>
          <w:rFonts w:ascii="Arial" w:hAnsi="Arial" w:cs="Arial"/>
          <w:i/>
          <w:iCs/>
          <w:sz w:val="23"/>
          <w:szCs w:val="23"/>
        </w:rPr>
      </w:pPr>
      <w:r w:rsidRPr="00410A7B">
        <w:rPr>
          <w:rFonts w:ascii="Arial" w:hAnsi="Arial" w:cs="Arial"/>
          <w:b/>
          <w:bCs/>
          <w:sz w:val="23"/>
          <w:szCs w:val="23"/>
        </w:rPr>
        <w:t>La disciplina transitoria introdotta dalla legge di bilancio 2023 è valida per il biennio 20</w:t>
      </w:r>
      <w:r w:rsidR="008A68AA">
        <w:rPr>
          <w:rFonts w:ascii="Arial" w:hAnsi="Arial" w:cs="Arial"/>
          <w:b/>
          <w:bCs/>
          <w:sz w:val="23"/>
          <w:szCs w:val="23"/>
        </w:rPr>
        <w:t>2</w:t>
      </w:r>
      <w:r w:rsidRPr="00410A7B">
        <w:rPr>
          <w:rFonts w:ascii="Arial" w:hAnsi="Arial" w:cs="Arial"/>
          <w:b/>
          <w:bCs/>
          <w:sz w:val="23"/>
          <w:szCs w:val="23"/>
        </w:rPr>
        <w:t>3-2024</w:t>
      </w:r>
    </w:p>
    <w:p w14:paraId="191FABAA" w14:textId="77777777" w:rsidR="00737AB1" w:rsidRPr="007E4A13" w:rsidRDefault="00737AB1" w:rsidP="007E4A1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5467D854" w14:textId="77777777" w:rsidR="00737AB1" w:rsidRPr="007E4A13" w:rsidRDefault="00737AB1" w:rsidP="007E4A1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5A6B4F2F" w14:textId="56403C92" w:rsidR="00737AB1" w:rsidRPr="00410A7B" w:rsidRDefault="00524C36" w:rsidP="007E4A1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10A7B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115409">
        <w:rPr>
          <w:rFonts w:ascii="Arial" w:hAnsi="Arial" w:cs="Arial"/>
          <w:i/>
          <w:iCs/>
          <w:sz w:val="23"/>
          <w:szCs w:val="23"/>
        </w:rPr>
        <w:t>2 settembre</w:t>
      </w:r>
      <w:r w:rsidRPr="00410A7B">
        <w:rPr>
          <w:rFonts w:ascii="Arial" w:hAnsi="Arial" w:cs="Arial"/>
          <w:i/>
          <w:iCs/>
          <w:sz w:val="23"/>
          <w:szCs w:val="23"/>
        </w:rPr>
        <w:t xml:space="preserve"> 2024</w:t>
      </w:r>
      <w:r w:rsidRPr="00410A7B">
        <w:rPr>
          <w:rFonts w:ascii="Arial" w:hAnsi="Arial" w:cs="Arial"/>
          <w:sz w:val="23"/>
          <w:szCs w:val="23"/>
        </w:rPr>
        <w:t xml:space="preserve"> – </w:t>
      </w:r>
      <w:r w:rsidR="00737AB1" w:rsidRPr="00410A7B">
        <w:rPr>
          <w:rFonts w:ascii="Arial" w:hAnsi="Arial" w:cs="Arial"/>
          <w:color w:val="000000" w:themeColor="text1"/>
          <w:sz w:val="23"/>
          <w:szCs w:val="23"/>
        </w:rPr>
        <w:t>Il Consiglio e la Fondazione nazionali dei commercialisti hanno pubblicato il documento “</w:t>
      </w:r>
      <w:r w:rsidR="00737AB1" w:rsidRPr="00410A7B">
        <w:rPr>
          <w:rFonts w:ascii="Arial" w:hAnsi="Arial" w:cs="Arial"/>
          <w:b/>
          <w:bCs/>
          <w:color w:val="000000" w:themeColor="text1"/>
          <w:sz w:val="23"/>
          <w:szCs w:val="23"/>
        </w:rPr>
        <w:t>Lavoro occasionale a tempo determinato in agricoltura</w:t>
      </w:r>
      <w:r w:rsidR="00737AB1" w:rsidRPr="00410A7B">
        <w:rPr>
          <w:rFonts w:ascii="Arial" w:hAnsi="Arial" w:cs="Arial"/>
          <w:color w:val="000000" w:themeColor="text1"/>
          <w:sz w:val="23"/>
          <w:szCs w:val="23"/>
        </w:rPr>
        <w:t xml:space="preserve">”, elaborato </w:t>
      </w:r>
      <w:r w:rsidR="00AB3193">
        <w:rPr>
          <w:rFonts w:ascii="Arial" w:hAnsi="Arial" w:cs="Arial"/>
          <w:color w:val="000000" w:themeColor="text1"/>
          <w:sz w:val="23"/>
          <w:szCs w:val="23"/>
        </w:rPr>
        <w:t>n</w:t>
      </w:r>
      <w:r w:rsidR="00737AB1" w:rsidRPr="00410A7B">
        <w:rPr>
          <w:rFonts w:ascii="Arial" w:hAnsi="Arial" w:cs="Arial"/>
          <w:color w:val="000000" w:themeColor="text1"/>
          <w:sz w:val="23"/>
          <w:szCs w:val="23"/>
        </w:rPr>
        <w:t xml:space="preserve">ell’ambito dell’area di delega “Economia e Fiscalità del lavoro” assegnata ai consiglieri nazionali </w:t>
      </w:r>
      <w:r w:rsidR="00737AB1" w:rsidRPr="00410A7B">
        <w:rPr>
          <w:rFonts w:ascii="Arial" w:hAnsi="Arial" w:cs="Arial"/>
          <w:b/>
          <w:bCs/>
          <w:color w:val="000000" w:themeColor="text1"/>
          <w:sz w:val="23"/>
          <w:szCs w:val="23"/>
        </w:rPr>
        <w:t>Marina Andretta</w:t>
      </w:r>
      <w:r w:rsidR="00737AB1" w:rsidRPr="00410A7B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r w:rsidR="00737AB1" w:rsidRPr="00410A7B">
        <w:rPr>
          <w:rFonts w:ascii="Arial" w:hAnsi="Arial" w:cs="Arial"/>
          <w:b/>
          <w:bCs/>
          <w:color w:val="000000" w:themeColor="text1"/>
          <w:sz w:val="23"/>
          <w:szCs w:val="23"/>
        </w:rPr>
        <w:t>Aldo Campo</w:t>
      </w:r>
      <w:r w:rsidR="00737AB1" w:rsidRPr="00410A7B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7BABB4C3" w14:textId="77777777" w:rsidR="00184C9B" w:rsidRPr="00410A7B" w:rsidRDefault="00184C9B" w:rsidP="007E4A1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1095876B" w14:textId="5EE82AFF" w:rsidR="00082A9D" w:rsidRPr="00410A7B" w:rsidRDefault="00082A9D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Il </w:t>
      </w:r>
      <w:r w:rsidR="00730088"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documento focalizza l’attenzione 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>sull’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utilizzo di una forma semplificata di utilizzo delle prestazioni di lavoro occasionale in agricoltura (</w:t>
      </w:r>
      <w:r w:rsidRPr="00410A7B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LOAgri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), introdotta dalla legge di bilancio 2023 (legge n. 197/2022</w:t>
      </w:r>
      <w:r w:rsidR="0039528E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, art. 1, co. da 344 a 354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) per il </w:t>
      </w:r>
      <w:r w:rsidRPr="00560379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biennio 2023-2024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, al fine di </w:t>
      </w:r>
      <w:r w:rsidRPr="00560379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 xml:space="preserve">garantire la continuità produttiva 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delle imprese agricole e creare le condizioni per </w:t>
      </w:r>
      <w:r w:rsidRPr="00560379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facilitare il reperimento di manodopera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per le attività stagionali.</w:t>
      </w:r>
    </w:p>
    <w:p w14:paraId="5A17636D" w14:textId="77777777" w:rsidR="00082A9D" w:rsidRPr="00410A7B" w:rsidRDefault="00082A9D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</w:p>
    <w:p w14:paraId="0675694B" w14:textId="45F16DC9" w:rsidR="0039528E" w:rsidRPr="00410A7B" w:rsidRDefault="0039528E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Pertanto, </w:t>
      </w:r>
      <w:r w:rsidR="008A68AA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dal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1° gennaio 2023, è previsto un divieto generale di accesso al contratto di prestazione occasionale da parte delle imprese operanti nel settore dell’agricoltura poiché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l</w:t>
      </w:r>
      <w:r w:rsidR="00082A9D"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a nuova disciplina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 xml:space="preserve"> transitoria sostituisce la regolamentazione originariamente prevista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per il settore </w:t>
      </w:r>
      <w:r w:rsidR="008B5892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agricolo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. Attualmente, il 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contratto di prestazione occasional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e è 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disciplinato dall’art. 54-</w:t>
      </w:r>
      <w:r w:rsidR="00082A9D" w:rsidRPr="00410A7B">
        <w:rPr>
          <w:rFonts w:ascii="Arial" w:hAnsi="Arial" w:cs="Arial"/>
          <w:i/>
          <w:iCs/>
          <w:color w:val="262626" w:themeColor="text1" w:themeTint="D9"/>
          <w:spacing w:val="-2"/>
          <w:sz w:val="23"/>
          <w:szCs w:val="23"/>
        </w:rPr>
        <w:t>bis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introdotto con il d.l. n. 50/2017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(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conv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ertito con modifiche d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alla l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egge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n. 96/20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) e s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i distingue tra il ricorso al </w:t>
      </w:r>
      <w:r w:rsidR="00082A9D" w:rsidRPr="00410A7B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Libretto famiglia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, per le persone fisiche che non esercitino attività professionale o d’impresa, e al </w:t>
      </w:r>
      <w:r w:rsidR="00082A9D" w:rsidRPr="00410A7B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contratto di prestazione occasionale</w:t>
      </w:r>
      <w:r w:rsidR="00082A9D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per gli altri utilizzatori.</w:t>
      </w:r>
    </w:p>
    <w:p w14:paraId="199F1B54" w14:textId="77777777" w:rsidR="0039528E" w:rsidRPr="00410A7B" w:rsidRDefault="0039528E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</w:p>
    <w:p w14:paraId="2A54D372" w14:textId="5E1ECA0C" w:rsidR="00730088" w:rsidRPr="00410A7B" w:rsidRDefault="00184C9B" w:rsidP="007E4A13">
      <w:pPr>
        <w:jc w:val="both"/>
        <w:rPr>
          <w:rFonts w:ascii="Arial" w:hAnsi="Arial" w:cs="Arial"/>
          <w:color w:val="262626" w:themeColor="text1" w:themeTint="D9"/>
          <w:sz w:val="23"/>
          <w:szCs w:val="23"/>
        </w:rPr>
      </w:pP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>Nel settore primario della produzione</w:t>
      </w:r>
      <w:r w:rsidR="00082A9D"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 – si legge nel documento – la 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discontinuità della prestazione lavorativa, riconducibile alle </w:t>
      </w:r>
      <w:r w:rsidRPr="008A68AA">
        <w:rPr>
          <w:rFonts w:ascii="Arial" w:hAnsi="Arial" w:cs="Arial"/>
          <w:b/>
          <w:bCs/>
          <w:color w:val="262626" w:themeColor="text1" w:themeTint="D9"/>
          <w:sz w:val="23"/>
          <w:szCs w:val="23"/>
        </w:rPr>
        <w:t>diversità delle fasi colturali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 e legata </w:t>
      </w:r>
      <w:r w:rsidRPr="008A68AA">
        <w:rPr>
          <w:rFonts w:ascii="Arial" w:hAnsi="Arial" w:cs="Arial"/>
          <w:b/>
          <w:bCs/>
          <w:color w:val="262626" w:themeColor="text1" w:themeTint="D9"/>
          <w:sz w:val="23"/>
          <w:szCs w:val="23"/>
        </w:rPr>
        <w:t>alla breve durata dei rapporti di lavoro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, richiede un adattamento flessibile della domanda di manodopera rispetto alla forma comune di rapporto di lavoro. </w:t>
      </w:r>
      <w:r w:rsidR="00730088"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Per rispondere quindi 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>alle specifiche esigenze produttive del comparto primario</w:t>
      </w:r>
      <w:r w:rsidR="00AE5C47" w:rsidRPr="00410A7B">
        <w:rPr>
          <w:rFonts w:ascii="Arial" w:hAnsi="Arial" w:cs="Arial"/>
          <w:color w:val="262626" w:themeColor="text1" w:themeTint="D9"/>
          <w:sz w:val="23"/>
          <w:szCs w:val="23"/>
        </w:rPr>
        <w:t>,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 la scelta regolativa dei rapporti di lavoro subordinato dell’impresa agricola si è orientata verso </w:t>
      </w:r>
      <w:r w:rsidRPr="008A68AA">
        <w:rPr>
          <w:rFonts w:ascii="Arial" w:hAnsi="Arial" w:cs="Arial"/>
          <w:b/>
          <w:bCs/>
          <w:color w:val="262626" w:themeColor="text1" w:themeTint="D9"/>
          <w:sz w:val="23"/>
          <w:szCs w:val="23"/>
        </w:rPr>
        <w:t>un utilizzo flessibile della manodopera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 tale per cui, se il contratto a termine rappresenta senza dubbio la </w:t>
      </w:r>
      <w:r w:rsidRPr="00410A7B">
        <w:rPr>
          <w:rFonts w:ascii="Arial" w:hAnsi="Arial" w:cs="Arial"/>
          <w:i/>
          <w:iCs/>
          <w:color w:val="262626" w:themeColor="text1" w:themeTint="D9"/>
          <w:sz w:val="23"/>
          <w:szCs w:val="23"/>
        </w:rPr>
        <w:t>tipologia</w:t>
      </w:r>
      <w:r w:rsidRPr="00410A7B">
        <w:rPr>
          <w:rFonts w:ascii="Arial" w:hAnsi="Arial" w:cs="Arial"/>
          <w:color w:val="262626" w:themeColor="text1" w:themeTint="D9"/>
          <w:sz w:val="23"/>
          <w:szCs w:val="23"/>
        </w:rPr>
        <w:t xml:space="preserve"> standard nel rapporto di lavoro agricolo subordinato, questo nel tempo è stato affiancato da altre forme contrattuali più flessibili.</w:t>
      </w:r>
    </w:p>
    <w:p w14:paraId="3DB14E7E" w14:textId="77777777" w:rsidR="00082A9D" w:rsidRPr="00410A7B" w:rsidRDefault="00082A9D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</w:p>
    <w:p w14:paraId="012718AF" w14:textId="7F7ACC69" w:rsidR="00960DAA" w:rsidRPr="00410A7B" w:rsidRDefault="0039528E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Le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c</w:t>
      </w:r>
      <w:r w:rsidR="00960DAA"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aratteristiche del nuovo istituto</w:t>
      </w:r>
      <w:r w:rsidR="00960DAA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sono: la subordinazione, la temporaneità del rapporto, l’occasionalità delle prestazioni e la limitazione del suo utilizzo sia sotto il profilo soggettivo (dal lato datoriale e del prestatore</w:t>
      </w:r>
      <w:r w:rsidR="008A68AA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) sia</w:t>
      </w:r>
      <w:r w:rsidR="00960DAA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oggettivo (attività agricola stagionale).</w:t>
      </w:r>
    </w:p>
    <w:p w14:paraId="42BD4434" w14:textId="77777777" w:rsidR="00D4253F" w:rsidRPr="00410A7B" w:rsidRDefault="00D4253F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</w:p>
    <w:p w14:paraId="33C85CFC" w14:textId="175B62D5" w:rsidR="00D4253F" w:rsidRPr="00410A7B" w:rsidRDefault="00D4253F" w:rsidP="007E4A13">
      <w:pPr>
        <w:jc w:val="both"/>
        <w:rPr>
          <w:rFonts w:ascii="Arial" w:hAnsi="Arial" w:cs="Arial"/>
          <w:color w:val="262626" w:themeColor="text1" w:themeTint="D9"/>
          <w:spacing w:val="-2"/>
          <w:sz w:val="23"/>
          <w:szCs w:val="23"/>
        </w:rPr>
      </w:pP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Il documento, dopo una analisi delle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finalità e caratteristiche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del lavoro occasionale a tempo determinato in agricoltura </w:t>
      </w:r>
      <w:r w:rsidR="008A68AA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(</w:t>
      </w:r>
      <w:r w:rsid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tra cui 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i requisiti soggettivi per la stipula del contratto LOAgri e il compenso al lavoratore</w:t>
      </w:r>
      <w:r w:rsidR="00CC7EBC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), si concentra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sugli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obblighi in capo al datore di lavoro</w:t>
      </w:r>
      <w:r w:rsid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e sul 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sistema di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convenienze economiche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e incentivi in favore dei datori di lavoro e dei lavoratori fino all’analisi del </w:t>
      </w:r>
      <w:r w:rsidRPr="008A68AA">
        <w:rPr>
          <w:rFonts w:ascii="Arial" w:hAnsi="Arial" w:cs="Arial"/>
          <w:b/>
          <w:bCs/>
          <w:color w:val="262626" w:themeColor="text1" w:themeTint="D9"/>
          <w:spacing w:val="-2"/>
          <w:sz w:val="23"/>
          <w:szCs w:val="23"/>
        </w:rPr>
        <w:t>sistema sanzionatorio</w:t>
      </w:r>
      <w:r w:rsidR="0063007C"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 xml:space="preserve"> previsto dalla legge di bilancio 2023</w:t>
      </w:r>
      <w:r w:rsidRPr="00410A7B">
        <w:rPr>
          <w:rFonts w:ascii="Arial" w:hAnsi="Arial" w:cs="Arial"/>
          <w:color w:val="262626" w:themeColor="text1" w:themeTint="D9"/>
          <w:spacing w:val="-2"/>
          <w:sz w:val="23"/>
          <w:szCs w:val="23"/>
        </w:rPr>
        <w:t>.</w:t>
      </w:r>
    </w:p>
    <w:p w14:paraId="658A1805" w14:textId="6A7BA78D" w:rsidR="00184C9B" w:rsidRPr="0039528E" w:rsidRDefault="00184C9B" w:rsidP="00960DAA">
      <w:pPr>
        <w:jc w:val="both"/>
        <w:rPr>
          <w:rFonts w:ascii="Arial" w:hAnsi="Arial" w:cs="Arial"/>
          <w:color w:val="262626" w:themeColor="text1" w:themeTint="D9"/>
          <w:sz w:val="23"/>
          <w:szCs w:val="23"/>
        </w:rPr>
      </w:pPr>
    </w:p>
    <w:sectPr w:rsidR="00184C9B" w:rsidRPr="003952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6F17" w14:textId="77777777" w:rsidR="00DE22D9" w:rsidRDefault="00DE22D9" w:rsidP="008A20F9">
      <w:r>
        <w:separator/>
      </w:r>
    </w:p>
  </w:endnote>
  <w:endnote w:type="continuationSeparator" w:id="0">
    <w:p w14:paraId="0B7DEE75" w14:textId="77777777" w:rsidR="00DE22D9" w:rsidRDefault="00DE22D9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0D60" w14:textId="77777777" w:rsidR="00DE22D9" w:rsidRDefault="00DE22D9" w:rsidP="008A20F9">
      <w:r>
        <w:separator/>
      </w:r>
    </w:p>
  </w:footnote>
  <w:footnote w:type="continuationSeparator" w:id="0">
    <w:p w14:paraId="56A888AA" w14:textId="77777777" w:rsidR="00DE22D9" w:rsidRDefault="00DE22D9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82A9D"/>
    <w:rsid w:val="000A7CC9"/>
    <w:rsid w:val="000D27AC"/>
    <w:rsid w:val="000E5CC8"/>
    <w:rsid w:val="000E66F1"/>
    <w:rsid w:val="00115409"/>
    <w:rsid w:val="00123117"/>
    <w:rsid w:val="001326DC"/>
    <w:rsid w:val="00184C9B"/>
    <w:rsid w:val="001936AE"/>
    <w:rsid w:val="00193ECA"/>
    <w:rsid w:val="001F164F"/>
    <w:rsid w:val="00213E08"/>
    <w:rsid w:val="002330A2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808BB"/>
    <w:rsid w:val="00495D0D"/>
    <w:rsid w:val="00497CC7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A1CDB"/>
    <w:rsid w:val="005D113A"/>
    <w:rsid w:val="00616738"/>
    <w:rsid w:val="0063007C"/>
    <w:rsid w:val="006359F9"/>
    <w:rsid w:val="006406DF"/>
    <w:rsid w:val="0067508F"/>
    <w:rsid w:val="006A3700"/>
    <w:rsid w:val="006D7DB0"/>
    <w:rsid w:val="00730088"/>
    <w:rsid w:val="007353A0"/>
    <w:rsid w:val="00737AB1"/>
    <w:rsid w:val="0079253B"/>
    <w:rsid w:val="007C0DA7"/>
    <w:rsid w:val="007D3A62"/>
    <w:rsid w:val="007E0C83"/>
    <w:rsid w:val="007E4A13"/>
    <w:rsid w:val="007F6A8D"/>
    <w:rsid w:val="0080260A"/>
    <w:rsid w:val="00881569"/>
    <w:rsid w:val="008A20F9"/>
    <w:rsid w:val="008A68AA"/>
    <w:rsid w:val="008B36DC"/>
    <w:rsid w:val="008B5892"/>
    <w:rsid w:val="008E6D2A"/>
    <w:rsid w:val="00911316"/>
    <w:rsid w:val="00920E92"/>
    <w:rsid w:val="00960DAA"/>
    <w:rsid w:val="00976B3F"/>
    <w:rsid w:val="009B029E"/>
    <w:rsid w:val="009B69D9"/>
    <w:rsid w:val="009D653E"/>
    <w:rsid w:val="009D65D1"/>
    <w:rsid w:val="009D7B64"/>
    <w:rsid w:val="009D7DF7"/>
    <w:rsid w:val="009E7612"/>
    <w:rsid w:val="00A02CDA"/>
    <w:rsid w:val="00A21A98"/>
    <w:rsid w:val="00A27EC8"/>
    <w:rsid w:val="00A83ACB"/>
    <w:rsid w:val="00A87349"/>
    <w:rsid w:val="00A961CD"/>
    <w:rsid w:val="00AB3193"/>
    <w:rsid w:val="00AD683B"/>
    <w:rsid w:val="00AE5C47"/>
    <w:rsid w:val="00B622FF"/>
    <w:rsid w:val="00B81758"/>
    <w:rsid w:val="00BD752B"/>
    <w:rsid w:val="00BE6B22"/>
    <w:rsid w:val="00C32D04"/>
    <w:rsid w:val="00C653DB"/>
    <w:rsid w:val="00C8258D"/>
    <w:rsid w:val="00C93E34"/>
    <w:rsid w:val="00CC5721"/>
    <w:rsid w:val="00CC7EBC"/>
    <w:rsid w:val="00D4253F"/>
    <w:rsid w:val="00D52088"/>
    <w:rsid w:val="00D66040"/>
    <w:rsid w:val="00DA19F5"/>
    <w:rsid w:val="00DC26A1"/>
    <w:rsid w:val="00DC7953"/>
    <w:rsid w:val="00DE22D9"/>
    <w:rsid w:val="00E01B44"/>
    <w:rsid w:val="00E31675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2024-09-02T09:44:00Z</dcterms:created>
  <dcterms:modified xsi:type="dcterms:W3CDTF">2024-09-02T09:46:00Z</dcterms:modified>
</cp:coreProperties>
</file>