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7BF8A" w14:textId="77777777" w:rsidR="00637D48" w:rsidRDefault="00637D48" w:rsidP="00637D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FCF8D1" w14:textId="77777777" w:rsidR="00637D48" w:rsidRDefault="00637D48" w:rsidP="00637D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5C5C790" w14:textId="39813C8E" w:rsidR="00637D48" w:rsidRDefault="00637D48" w:rsidP="00637D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37D48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6BD64FD6" w14:textId="77777777" w:rsidR="00637D48" w:rsidRPr="00637D48" w:rsidRDefault="00637D48" w:rsidP="00637D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0530552" w14:textId="00C0BF8C" w:rsidR="00D10D56" w:rsidRDefault="00D10D56" w:rsidP="00637D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IL FUTURO DELLE ONLUS</w:t>
      </w:r>
      <w:r w:rsidR="00EB3CE2">
        <w:rPr>
          <w:rFonts w:ascii="Arial" w:hAnsi="Arial" w:cs="Arial"/>
          <w:b/>
          <w:bCs/>
          <w:sz w:val="24"/>
          <w:szCs w:val="24"/>
        </w:rPr>
        <w:t xml:space="preserve"> TRA OPPORTUNITÀ E LIMITI,</w:t>
      </w:r>
      <w:r>
        <w:rPr>
          <w:rFonts w:ascii="Arial" w:hAnsi="Arial" w:cs="Arial"/>
          <w:b/>
          <w:bCs/>
          <w:sz w:val="24"/>
          <w:szCs w:val="24"/>
        </w:rPr>
        <w:t xml:space="preserve"> DOCUMENTO DEI COMMERCIALISTI</w:t>
      </w:r>
    </w:p>
    <w:p w14:paraId="42EAAC08" w14:textId="77777777" w:rsidR="00EB3CE2" w:rsidRDefault="00EB3CE2" w:rsidP="00637D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23E8C4" w14:textId="4FE638E2" w:rsidR="00EB3CE2" w:rsidRDefault="00EB3CE2" w:rsidP="00637D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Focus su due </w:t>
      </w:r>
      <w:r w:rsidRPr="00EB3CE2">
        <w:rPr>
          <w:rFonts w:ascii="Arial" w:hAnsi="Arial" w:cs="Arial"/>
          <w:b/>
          <w:bCs/>
          <w:sz w:val="24"/>
          <w:szCs w:val="24"/>
        </w:rPr>
        <w:t xml:space="preserve">diversi scenari: </w:t>
      </w:r>
      <w:r>
        <w:rPr>
          <w:rFonts w:ascii="Arial" w:hAnsi="Arial" w:cs="Arial"/>
          <w:b/>
          <w:bCs/>
          <w:sz w:val="24"/>
          <w:szCs w:val="24"/>
        </w:rPr>
        <w:t xml:space="preserve">le organizzazioni che </w:t>
      </w:r>
      <w:r w:rsidRPr="00EB3CE2">
        <w:rPr>
          <w:rFonts w:ascii="Arial" w:hAnsi="Arial" w:cs="Arial"/>
          <w:b/>
          <w:bCs/>
          <w:sz w:val="24"/>
          <w:szCs w:val="24"/>
        </w:rPr>
        <w:t>si iscriveranno al RUNTS</w:t>
      </w:r>
      <w:r>
        <w:rPr>
          <w:rFonts w:ascii="Arial" w:hAnsi="Arial" w:cs="Arial"/>
          <w:b/>
          <w:bCs/>
          <w:sz w:val="24"/>
          <w:szCs w:val="24"/>
        </w:rPr>
        <w:t xml:space="preserve"> e quelle che</w:t>
      </w:r>
      <w:r w:rsidRPr="00EB3CE2">
        <w:rPr>
          <w:rFonts w:ascii="Arial" w:hAnsi="Arial" w:cs="Arial"/>
          <w:b/>
          <w:bCs/>
          <w:sz w:val="24"/>
          <w:szCs w:val="24"/>
        </w:rPr>
        <w:t xml:space="preserve">, per scelta o specifica previsione, non </w:t>
      </w:r>
      <w:r>
        <w:rPr>
          <w:rFonts w:ascii="Arial" w:hAnsi="Arial" w:cs="Arial"/>
          <w:b/>
          <w:bCs/>
          <w:sz w:val="24"/>
          <w:szCs w:val="24"/>
        </w:rPr>
        <w:t>lo faranno</w:t>
      </w:r>
    </w:p>
    <w:p w14:paraId="1199B559" w14:textId="6E8FFB26" w:rsidR="00637D48" w:rsidRPr="00637D48" w:rsidRDefault="00637D48" w:rsidP="00637D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F8DFC5" w14:textId="77777777" w:rsidR="00637D48" w:rsidRPr="00637D48" w:rsidRDefault="00637D48" w:rsidP="00637D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B7EF17" w14:textId="6B620B98" w:rsidR="00204BCA" w:rsidRDefault="00637D48" w:rsidP="00204B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7D48">
        <w:rPr>
          <w:rFonts w:ascii="Arial" w:hAnsi="Arial" w:cs="Arial"/>
          <w:i/>
          <w:iCs/>
          <w:sz w:val="24"/>
          <w:szCs w:val="24"/>
        </w:rPr>
        <w:t xml:space="preserve">Roma, </w:t>
      </w:r>
      <w:r w:rsidR="00204BCA">
        <w:rPr>
          <w:rFonts w:ascii="Arial" w:hAnsi="Arial" w:cs="Arial"/>
          <w:i/>
          <w:iCs/>
          <w:sz w:val="24"/>
          <w:szCs w:val="24"/>
        </w:rPr>
        <w:t>9</w:t>
      </w:r>
      <w:r w:rsidRPr="00637D48">
        <w:rPr>
          <w:rFonts w:ascii="Arial" w:hAnsi="Arial" w:cs="Arial"/>
          <w:i/>
          <w:iCs/>
          <w:sz w:val="24"/>
          <w:szCs w:val="24"/>
        </w:rPr>
        <w:t xml:space="preserve"> agosto 2024</w:t>
      </w:r>
      <w:r w:rsidRPr="00637D48">
        <w:rPr>
          <w:rFonts w:ascii="Arial" w:hAnsi="Arial" w:cs="Arial"/>
          <w:sz w:val="24"/>
          <w:szCs w:val="24"/>
        </w:rPr>
        <w:t xml:space="preserve"> – </w:t>
      </w:r>
      <w:r w:rsidR="00E7723F">
        <w:rPr>
          <w:rFonts w:ascii="Arial" w:hAnsi="Arial" w:cs="Arial"/>
          <w:sz w:val="24"/>
          <w:szCs w:val="24"/>
        </w:rPr>
        <w:t>“</w:t>
      </w:r>
      <w:r w:rsidR="00E7723F" w:rsidRPr="001D7FC8">
        <w:rPr>
          <w:rFonts w:ascii="Arial" w:hAnsi="Arial" w:cs="Arial"/>
          <w:b/>
          <w:bCs/>
          <w:sz w:val="24"/>
          <w:szCs w:val="24"/>
        </w:rPr>
        <w:t>Il futuro delle Onlus tra opportunità e limiti</w:t>
      </w:r>
      <w:r w:rsidR="00E7723F">
        <w:rPr>
          <w:rFonts w:ascii="Arial" w:hAnsi="Arial" w:cs="Arial"/>
          <w:sz w:val="24"/>
          <w:szCs w:val="24"/>
        </w:rPr>
        <w:t>” è il titolo del documento curato dalla commissione di studio “ETS Enti del Terzo Settore”</w:t>
      </w:r>
      <w:r w:rsidR="001D7FC8">
        <w:rPr>
          <w:rFonts w:ascii="Arial" w:hAnsi="Arial" w:cs="Arial"/>
          <w:sz w:val="24"/>
          <w:szCs w:val="24"/>
        </w:rPr>
        <w:t xml:space="preserve"> del Consiglio nazionale dei commercialisti</w:t>
      </w:r>
      <w:r w:rsidR="00E7723F">
        <w:rPr>
          <w:rFonts w:ascii="Arial" w:hAnsi="Arial" w:cs="Arial"/>
          <w:sz w:val="24"/>
          <w:szCs w:val="24"/>
        </w:rPr>
        <w:t xml:space="preserve">, presieduta da </w:t>
      </w:r>
      <w:r w:rsidR="00E7723F" w:rsidRPr="001D7FC8">
        <w:rPr>
          <w:rFonts w:ascii="Arial" w:hAnsi="Arial" w:cs="Arial"/>
          <w:b/>
          <w:bCs/>
          <w:sz w:val="24"/>
          <w:szCs w:val="24"/>
        </w:rPr>
        <w:t>Lucio Aricò</w:t>
      </w:r>
      <w:r w:rsidR="00E7723F">
        <w:rPr>
          <w:rFonts w:ascii="Arial" w:hAnsi="Arial" w:cs="Arial"/>
          <w:sz w:val="24"/>
          <w:szCs w:val="24"/>
        </w:rPr>
        <w:t>, nell’ambito dell’area di delega “</w:t>
      </w:r>
      <w:r w:rsidR="00E7723F" w:rsidRPr="001D7FC8">
        <w:rPr>
          <w:rFonts w:ascii="Arial" w:hAnsi="Arial" w:cs="Arial"/>
          <w:b/>
          <w:bCs/>
          <w:sz w:val="24"/>
          <w:szCs w:val="24"/>
        </w:rPr>
        <w:t>Enti del Terzo Settore</w:t>
      </w:r>
      <w:r w:rsidR="00E7723F">
        <w:rPr>
          <w:rFonts w:ascii="Arial" w:hAnsi="Arial" w:cs="Arial"/>
          <w:sz w:val="24"/>
          <w:szCs w:val="24"/>
        </w:rPr>
        <w:t xml:space="preserve">” affidata ai consiglieri nazionali </w:t>
      </w:r>
      <w:r w:rsidR="00E7723F" w:rsidRPr="001D7FC8">
        <w:rPr>
          <w:rFonts w:ascii="Arial" w:hAnsi="Arial" w:cs="Arial"/>
          <w:b/>
          <w:bCs/>
          <w:sz w:val="24"/>
          <w:szCs w:val="24"/>
        </w:rPr>
        <w:t>Michele de Tavonatti</w:t>
      </w:r>
      <w:r w:rsidR="00E7723F">
        <w:rPr>
          <w:rFonts w:ascii="Arial" w:hAnsi="Arial" w:cs="Arial"/>
          <w:sz w:val="24"/>
          <w:szCs w:val="24"/>
        </w:rPr>
        <w:t xml:space="preserve"> e </w:t>
      </w:r>
      <w:r w:rsidR="00E7723F" w:rsidRPr="001D7FC8">
        <w:rPr>
          <w:rFonts w:ascii="Arial" w:hAnsi="Arial" w:cs="Arial"/>
          <w:b/>
          <w:bCs/>
          <w:sz w:val="24"/>
          <w:szCs w:val="24"/>
        </w:rPr>
        <w:t>David Moro</w:t>
      </w:r>
      <w:r w:rsidR="00E7723F">
        <w:rPr>
          <w:rFonts w:ascii="Arial" w:hAnsi="Arial" w:cs="Arial"/>
          <w:sz w:val="24"/>
          <w:szCs w:val="24"/>
        </w:rPr>
        <w:t>.</w:t>
      </w:r>
    </w:p>
    <w:p w14:paraId="7DBD6973" w14:textId="77777777" w:rsidR="00204BCA" w:rsidRDefault="00204BCA" w:rsidP="00204B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FEA5B7" w14:textId="3BE6D446" w:rsidR="00E7723F" w:rsidRDefault="00E7723F" w:rsidP="00204B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23F">
        <w:rPr>
          <w:rFonts w:ascii="Arial" w:hAnsi="Arial" w:cs="Arial"/>
          <w:sz w:val="24"/>
          <w:szCs w:val="24"/>
        </w:rPr>
        <w:t xml:space="preserve">Il documento propone un quadro </w:t>
      </w:r>
      <w:r w:rsidR="001D7FC8">
        <w:rPr>
          <w:rFonts w:ascii="Arial" w:hAnsi="Arial" w:cs="Arial"/>
          <w:sz w:val="24"/>
          <w:szCs w:val="24"/>
        </w:rPr>
        <w:t xml:space="preserve">riassuntivo della </w:t>
      </w:r>
      <w:r w:rsidRPr="00464E33">
        <w:rPr>
          <w:rFonts w:ascii="Arial" w:hAnsi="Arial" w:cs="Arial"/>
          <w:b/>
          <w:bCs/>
          <w:sz w:val="24"/>
          <w:szCs w:val="24"/>
        </w:rPr>
        <w:t>disciplina giuridica</w:t>
      </w:r>
      <w:r w:rsidRPr="00E7723F">
        <w:rPr>
          <w:rFonts w:ascii="Arial" w:hAnsi="Arial" w:cs="Arial"/>
          <w:sz w:val="24"/>
          <w:szCs w:val="24"/>
        </w:rPr>
        <w:t xml:space="preserve"> e d</w:t>
      </w:r>
      <w:r w:rsidR="001D7FC8">
        <w:rPr>
          <w:rFonts w:ascii="Arial" w:hAnsi="Arial" w:cs="Arial"/>
          <w:sz w:val="24"/>
          <w:szCs w:val="24"/>
        </w:rPr>
        <w:t>ella</w:t>
      </w:r>
      <w:r w:rsidRPr="00E7723F">
        <w:rPr>
          <w:rFonts w:ascii="Arial" w:hAnsi="Arial" w:cs="Arial"/>
          <w:sz w:val="24"/>
          <w:szCs w:val="24"/>
        </w:rPr>
        <w:t xml:space="preserve"> </w:t>
      </w:r>
      <w:r w:rsidRPr="00464E33">
        <w:rPr>
          <w:rFonts w:ascii="Arial" w:hAnsi="Arial" w:cs="Arial"/>
          <w:b/>
          <w:bCs/>
          <w:sz w:val="24"/>
          <w:szCs w:val="24"/>
        </w:rPr>
        <w:t>fiscalità attuale e futura delle Onlus</w:t>
      </w:r>
      <w:r>
        <w:rPr>
          <w:rFonts w:ascii="Arial" w:hAnsi="Arial" w:cs="Arial"/>
          <w:sz w:val="24"/>
          <w:szCs w:val="24"/>
        </w:rPr>
        <w:t xml:space="preserve"> (Organizzazioni non lucrative di utilità sociale)</w:t>
      </w:r>
      <w:r w:rsidRPr="00E7723F">
        <w:rPr>
          <w:rFonts w:ascii="Arial" w:hAnsi="Arial" w:cs="Arial"/>
          <w:sz w:val="24"/>
          <w:szCs w:val="24"/>
        </w:rPr>
        <w:t xml:space="preserve"> che prende in considerazione </w:t>
      </w:r>
      <w:r w:rsidRPr="00464E33">
        <w:rPr>
          <w:rFonts w:ascii="Arial" w:hAnsi="Arial" w:cs="Arial"/>
          <w:b/>
          <w:bCs/>
          <w:sz w:val="24"/>
          <w:szCs w:val="24"/>
        </w:rPr>
        <w:t>due diversi scenari</w:t>
      </w:r>
      <w:r w:rsidRPr="00E7723F">
        <w:rPr>
          <w:rFonts w:ascii="Arial" w:hAnsi="Arial" w:cs="Arial"/>
          <w:sz w:val="24"/>
          <w:szCs w:val="24"/>
        </w:rPr>
        <w:t xml:space="preserve">: </w:t>
      </w:r>
      <w:r w:rsidR="001D7FC8">
        <w:rPr>
          <w:rFonts w:ascii="Arial" w:hAnsi="Arial" w:cs="Arial"/>
          <w:sz w:val="24"/>
          <w:szCs w:val="24"/>
        </w:rPr>
        <w:t xml:space="preserve">quello delle </w:t>
      </w:r>
      <w:r w:rsidRPr="00464E33">
        <w:rPr>
          <w:rFonts w:ascii="Arial" w:hAnsi="Arial" w:cs="Arial"/>
          <w:b/>
          <w:bCs/>
          <w:sz w:val="24"/>
          <w:szCs w:val="24"/>
        </w:rPr>
        <w:t>Onlus che si iscriveranno al RUNTS</w:t>
      </w:r>
      <w:r w:rsidR="001D7FC8">
        <w:rPr>
          <w:rFonts w:ascii="Arial" w:hAnsi="Arial" w:cs="Arial"/>
          <w:sz w:val="24"/>
          <w:szCs w:val="24"/>
        </w:rPr>
        <w:t xml:space="preserve"> (Registro Unico Nazionale del Terzo Settore)</w:t>
      </w:r>
      <w:r w:rsidRPr="00E7723F">
        <w:rPr>
          <w:rFonts w:ascii="Arial" w:hAnsi="Arial" w:cs="Arial"/>
          <w:sz w:val="24"/>
          <w:szCs w:val="24"/>
        </w:rPr>
        <w:t xml:space="preserve">, con un focus in relazione a quando effettuare tale scelta, e </w:t>
      </w:r>
      <w:r w:rsidR="001D7FC8">
        <w:rPr>
          <w:rFonts w:ascii="Arial" w:hAnsi="Arial" w:cs="Arial"/>
          <w:sz w:val="24"/>
          <w:szCs w:val="24"/>
        </w:rPr>
        <w:t>quello del</w:t>
      </w:r>
      <w:r w:rsidRPr="00E7723F">
        <w:rPr>
          <w:rFonts w:ascii="Arial" w:hAnsi="Arial" w:cs="Arial"/>
          <w:sz w:val="24"/>
          <w:szCs w:val="24"/>
        </w:rPr>
        <w:t xml:space="preserve">le </w:t>
      </w:r>
      <w:r w:rsidRPr="00464E33">
        <w:rPr>
          <w:rFonts w:ascii="Arial" w:hAnsi="Arial" w:cs="Arial"/>
          <w:b/>
          <w:bCs/>
          <w:sz w:val="24"/>
          <w:szCs w:val="24"/>
        </w:rPr>
        <w:t>Onlus che</w:t>
      </w:r>
      <w:r w:rsidRPr="00E7723F">
        <w:rPr>
          <w:rFonts w:ascii="Arial" w:hAnsi="Arial" w:cs="Arial"/>
          <w:sz w:val="24"/>
          <w:szCs w:val="24"/>
        </w:rPr>
        <w:t xml:space="preserve">, per scelta o per specifica previsione, </w:t>
      </w:r>
      <w:r w:rsidRPr="00464E33">
        <w:rPr>
          <w:rFonts w:ascii="Arial" w:hAnsi="Arial" w:cs="Arial"/>
          <w:b/>
          <w:bCs/>
          <w:sz w:val="24"/>
          <w:szCs w:val="24"/>
        </w:rPr>
        <w:t>non si iscriveranno o non potranno iscriversi al R</w:t>
      </w:r>
      <w:r w:rsidR="001D7FC8" w:rsidRPr="00464E33">
        <w:rPr>
          <w:rFonts w:ascii="Arial" w:hAnsi="Arial" w:cs="Arial"/>
          <w:b/>
          <w:bCs/>
          <w:sz w:val="24"/>
          <w:szCs w:val="24"/>
        </w:rPr>
        <w:t>egistro Unico</w:t>
      </w:r>
      <w:r w:rsidRPr="00E7723F">
        <w:rPr>
          <w:rFonts w:ascii="Arial" w:hAnsi="Arial" w:cs="Arial"/>
          <w:sz w:val="24"/>
          <w:szCs w:val="24"/>
        </w:rPr>
        <w:t>, approfondendone le motivazioni e le conseguenze derivanti dalla mancata iscrizione.</w:t>
      </w:r>
    </w:p>
    <w:p w14:paraId="49ADB621" w14:textId="77777777" w:rsidR="00E7723F" w:rsidRDefault="00E7723F" w:rsidP="00204B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146AC3" w14:textId="190EA2CE" w:rsidR="00204BCA" w:rsidRDefault="007870B2" w:rsidP="00204B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</w:t>
      </w:r>
      <w:r w:rsidRPr="00D10D56">
        <w:rPr>
          <w:rFonts w:ascii="Arial" w:hAnsi="Arial" w:cs="Arial"/>
          <w:b/>
          <w:bCs/>
          <w:sz w:val="24"/>
          <w:szCs w:val="24"/>
        </w:rPr>
        <w:t>Codice del Terzo Settore</w:t>
      </w:r>
      <w:r>
        <w:rPr>
          <w:rFonts w:ascii="Arial" w:hAnsi="Arial" w:cs="Arial"/>
          <w:sz w:val="24"/>
          <w:szCs w:val="24"/>
        </w:rPr>
        <w:t xml:space="preserve"> (CTS)</w:t>
      </w:r>
      <w:r w:rsidR="00E7723F">
        <w:rPr>
          <w:rFonts w:ascii="Arial" w:hAnsi="Arial" w:cs="Arial"/>
          <w:sz w:val="24"/>
          <w:szCs w:val="24"/>
        </w:rPr>
        <w:t>, infatti,</w:t>
      </w:r>
      <w:r>
        <w:rPr>
          <w:rFonts w:ascii="Arial" w:hAnsi="Arial" w:cs="Arial"/>
          <w:sz w:val="24"/>
          <w:szCs w:val="24"/>
        </w:rPr>
        <w:t xml:space="preserve"> </w:t>
      </w:r>
      <w:r w:rsidR="00204BCA" w:rsidRPr="00464E33">
        <w:rPr>
          <w:rFonts w:ascii="Arial" w:hAnsi="Arial" w:cs="Arial"/>
          <w:b/>
          <w:bCs/>
          <w:sz w:val="24"/>
          <w:szCs w:val="24"/>
        </w:rPr>
        <w:t>abroga</w:t>
      </w:r>
      <w:r w:rsidR="00204BCA" w:rsidRPr="00204BCA">
        <w:rPr>
          <w:rFonts w:ascii="Arial" w:hAnsi="Arial" w:cs="Arial"/>
          <w:sz w:val="24"/>
          <w:szCs w:val="24"/>
        </w:rPr>
        <w:t xml:space="preserve"> con effetto “posticipato” </w:t>
      </w:r>
      <w:r w:rsidR="00204BCA" w:rsidRPr="00464E33">
        <w:rPr>
          <w:rFonts w:ascii="Arial" w:hAnsi="Arial" w:cs="Arial"/>
          <w:sz w:val="24"/>
          <w:szCs w:val="24"/>
        </w:rPr>
        <w:t>gli art</w:t>
      </w:r>
      <w:r w:rsidRPr="00464E33">
        <w:rPr>
          <w:rFonts w:ascii="Arial" w:hAnsi="Arial" w:cs="Arial"/>
          <w:sz w:val="24"/>
          <w:szCs w:val="24"/>
        </w:rPr>
        <w:t xml:space="preserve">icoli </w:t>
      </w:r>
      <w:r w:rsidR="00204BCA" w:rsidRPr="00464E33">
        <w:rPr>
          <w:rFonts w:ascii="Arial" w:hAnsi="Arial" w:cs="Arial"/>
          <w:sz w:val="24"/>
          <w:szCs w:val="24"/>
        </w:rPr>
        <w:t xml:space="preserve">da 10 a 29 del D.lgs. </w:t>
      </w:r>
      <w:r w:rsidRPr="00464E33">
        <w:rPr>
          <w:rFonts w:ascii="Arial" w:hAnsi="Arial" w:cs="Arial"/>
          <w:sz w:val="24"/>
          <w:szCs w:val="24"/>
        </w:rPr>
        <w:t>n. 460/</w:t>
      </w:r>
      <w:r w:rsidR="00204BCA" w:rsidRPr="00464E33">
        <w:rPr>
          <w:rFonts w:ascii="Arial" w:hAnsi="Arial" w:cs="Arial"/>
          <w:sz w:val="24"/>
          <w:szCs w:val="24"/>
        </w:rPr>
        <w:t>1997 istitutivo delle</w:t>
      </w:r>
      <w:r w:rsidR="00204BCA" w:rsidRPr="00464E33">
        <w:rPr>
          <w:rFonts w:ascii="Arial" w:hAnsi="Arial" w:cs="Arial"/>
          <w:b/>
          <w:bCs/>
          <w:sz w:val="24"/>
          <w:szCs w:val="24"/>
        </w:rPr>
        <w:t xml:space="preserve"> </w:t>
      </w:r>
      <w:r w:rsidR="00E7723F" w:rsidRPr="00464E33">
        <w:rPr>
          <w:rFonts w:ascii="Arial" w:hAnsi="Arial" w:cs="Arial"/>
          <w:b/>
          <w:bCs/>
          <w:sz w:val="24"/>
          <w:szCs w:val="24"/>
        </w:rPr>
        <w:t>Onlus</w:t>
      </w:r>
      <w:r>
        <w:rPr>
          <w:rFonts w:ascii="Arial" w:hAnsi="Arial" w:cs="Arial"/>
          <w:sz w:val="24"/>
          <w:szCs w:val="24"/>
        </w:rPr>
        <w:t>,</w:t>
      </w:r>
      <w:r w:rsidR="00204BCA" w:rsidRPr="00204BCA">
        <w:rPr>
          <w:rFonts w:ascii="Arial" w:hAnsi="Arial" w:cs="Arial"/>
          <w:sz w:val="24"/>
          <w:szCs w:val="24"/>
        </w:rPr>
        <w:t xml:space="preserve"> individuandone la decorrenza</w:t>
      </w:r>
      <w:r>
        <w:rPr>
          <w:rFonts w:ascii="Arial" w:hAnsi="Arial" w:cs="Arial"/>
          <w:sz w:val="24"/>
          <w:szCs w:val="24"/>
        </w:rPr>
        <w:t xml:space="preserve"> (al successivo articolo 104)</w:t>
      </w:r>
      <w:r w:rsidR="00204BCA" w:rsidRPr="00204BCA">
        <w:rPr>
          <w:rFonts w:ascii="Arial" w:hAnsi="Arial" w:cs="Arial"/>
          <w:sz w:val="24"/>
          <w:szCs w:val="24"/>
        </w:rPr>
        <w:t xml:space="preserve"> </w:t>
      </w:r>
      <w:r w:rsidR="00204BCA" w:rsidRPr="00464E33">
        <w:rPr>
          <w:rFonts w:ascii="Arial" w:hAnsi="Arial" w:cs="Arial"/>
          <w:b/>
          <w:bCs/>
          <w:sz w:val="24"/>
          <w:szCs w:val="24"/>
        </w:rPr>
        <w:t>a partire dal periodo di imposta successivo all</w:t>
      </w:r>
      <w:r w:rsidRPr="00464E33">
        <w:rPr>
          <w:rFonts w:ascii="Arial" w:hAnsi="Arial" w:cs="Arial"/>
          <w:b/>
          <w:bCs/>
          <w:sz w:val="24"/>
          <w:szCs w:val="24"/>
        </w:rPr>
        <w:t>’</w:t>
      </w:r>
      <w:r w:rsidR="00204BCA" w:rsidRPr="00464E33">
        <w:rPr>
          <w:rFonts w:ascii="Arial" w:hAnsi="Arial" w:cs="Arial"/>
          <w:b/>
          <w:bCs/>
          <w:sz w:val="24"/>
          <w:szCs w:val="24"/>
        </w:rPr>
        <w:t>autorizzazione della Commissione europea</w:t>
      </w:r>
      <w:r>
        <w:rPr>
          <w:rFonts w:ascii="Arial" w:hAnsi="Arial" w:cs="Arial"/>
          <w:sz w:val="24"/>
          <w:szCs w:val="24"/>
        </w:rPr>
        <w:t xml:space="preserve"> (</w:t>
      </w:r>
      <w:r w:rsidR="00204BCA" w:rsidRPr="00204BCA">
        <w:rPr>
          <w:rFonts w:ascii="Arial" w:hAnsi="Arial" w:cs="Arial"/>
          <w:sz w:val="24"/>
          <w:szCs w:val="24"/>
        </w:rPr>
        <w:t>art. 101, comma 10 del CTS</w:t>
      </w:r>
      <w:r>
        <w:rPr>
          <w:rFonts w:ascii="Arial" w:hAnsi="Arial" w:cs="Arial"/>
          <w:sz w:val="24"/>
          <w:szCs w:val="24"/>
        </w:rPr>
        <w:t>)</w:t>
      </w:r>
      <w:r w:rsidR="00204BCA" w:rsidRPr="00204BCA">
        <w:rPr>
          <w:rFonts w:ascii="Arial" w:hAnsi="Arial" w:cs="Arial"/>
          <w:sz w:val="24"/>
          <w:szCs w:val="24"/>
        </w:rPr>
        <w:t xml:space="preserve"> e, comunque</w:t>
      </w:r>
      <w:r w:rsidR="00204BCA" w:rsidRPr="00464E33">
        <w:rPr>
          <w:rFonts w:ascii="Arial" w:hAnsi="Arial" w:cs="Arial"/>
          <w:b/>
          <w:bCs/>
          <w:sz w:val="24"/>
          <w:szCs w:val="24"/>
        </w:rPr>
        <w:t>, non prima del periodo di imposta successivo di operatività del RUNTS</w:t>
      </w:r>
      <w:r w:rsidR="00204BCA" w:rsidRPr="00204BCA">
        <w:rPr>
          <w:rFonts w:ascii="Arial" w:hAnsi="Arial" w:cs="Arial"/>
          <w:sz w:val="24"/>
          <w:szCs w:val="24"/>
        </w:rPr>
        <w:t>.</w:t>
      </w:r>
    </w:p>
    <w:p w14:paraId="7522C5C0" w14:textId="77777777" w:rsidR="00204BCA" w:rsidRDefault="00204BCA" w:rsidP="00204B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6BBED8" w14:textId="45D9BDA1" w:rsidR="00204BCA" w:rsidRPr="00204BCA" w:rsidRDefault="00204BCA" w:rsidP="00204B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4BCA">
        <w:rPr>
          <w:rFonts w:ascii="Arial" w:hAnsi="Arial" w:cs="Arial"/>
          <w:sz w:val="24"/>
          <w:szCs w:val="24"/>
        </w:rPr>
        <w:t xml:space="preserve">La previsione </w:t>
      </w:r>
      <w:r w:rsidR="007870B2">
        <w:rPr>
          <w:rFonts w:ascii="Arial" w:hAnsi="Arial" w:cs="Arial"/>
          <w:sz w:val="24"/>
          <w:szCs w:val="24"/>
        </w:rPr>
        <w:t>c</w:t>
      </w:r>
      <w:r w:rsidRPr="00204BCA">
        <w:rPr>
          <w:rFonts w:ascii="Arial" w:hAnsi="Arial" w:cs="Arial"/>
          <w:sz w:val="24"/>
          <w:szCs w:val="24"/>
        </w:rPr>
        <w:t>onsente alle Onlus di continuare</w:t>
      </w:r>
      <w:r w:rsidRPr="00464E33">
        <w:rPr>
          <w:rFonts w:ascii="Arial" w:hAnsi="Arial" w:cs="Arial"/>
          <w:sz w:val="24"/>
          <w:szCs w:val="24"/>
        </w:rPr>
        <w:t xml:space="preserve"> ad</w:t>
      </w:r>
      <w:r w:rsidRPr="00464E33">
        <w:rPr>
          <w:rFonts w:ascii="Arial" w:hAnsi="Arial" w:cs="Arial"/>
          <w:b/>
          <w:bCs/>
          <w:sz w:val="24"/>
          <w:szCs w:val="24"/>
        </w:rPr>
        <w:t xml:space="preserve"> operare </w:t>
      </w:r>
      <w:r w:rsidR="007870B2" w:rsidRPr="00464E33">
        <w:rPr>
          <w:rFonts w:ascii="Arial" w:hAnsi="Arial" w:cs="Arial"/>
          <w:b/>
          <w:bCs/>
          <w:sz w:val="24"/>
          <w:szCs w:val="24"/>
        </w:rPr>
        <w:t>f</w:t>
      </w:r>
      <w:r w:rsidRPr="00464E33">
        <w:rPr>
          <w:rFonts w:ascii="Arial" w:hAnsi="Arial" w:cs="Arial"/>
          <w:b/>
          <w:bCs/>
          <w:sz w:val="24"/>
          <w:szCs w:val="24"/>
        </w:rPr>
        <w:t>ino al 31 dicembre del periodo di imposta in cui verrà reso il parere della Commissione europea</w:t>
      </w:r>
      <w:r w:rsidR="007870B2">
        <w:rPr>
          <w:rFonts w:ascii="Arial" w:hAnsi="Arial" w:cs="Arial"/>
          <w:sz w:val="24"/>
          <w:szCs w:val="24"/>
        </w:rPr>
        <w:t>, es</w:t>
      </w:r>
      <w:r w:rsidRPr="00204BCA">
        <w:rPr>
          <w:rFonts w:ascii="Arial" w:hAnsi="Arial" w:cs="Arial"/>
          <w:sz w:val="24"/>
          <w:szCs w:val="24"/>
        </w:rPr>
        <w:t xml:space="preserve">sendosi già verificata, a partire da novembre 2021, la seconda condizione prevista </w:t>
      </w:r>
      <w:r w:rsidR="00097116">
        <w:rPr>
          <w:rFonts w:ascii="Arial" w:hAnsi="Arial" w:cs="Arial"/>
          <w:sz w:val="24"/>
          <w:szCs w:val="24"/>
        </w:rPr>
        <w:t>d</w:t>
      </w:r>
      <w:r w:rsidRPr="00204BCA">
        <w:rPr>
          <w:rFonts w:ascii="Arial" w:hAnsi="Arial" w:cs="Arial"/>
          <w:sz w:val="24"/>
          <w:szCs w:val="24"/>
        </w:rPr>
        <w:t xml:space="preserve">al citato art. 104 </w:t>
      </w:r>
      <w:r w:rsidR="00097116">
        <w:rPr>
          <w:rFonts w:ascii="Arial" w:hAnsi="Arial" w:cs="Arial"/>
          <w:sz w:val="24"/>
          <w:szCs w:val="24"/>
        </w:rPr>
        <w:t>del Codice del Terzo Settore</w:t>
      </w:r>
      <w:r w:rsidRPr="00204BCA">
        <w:rPr>
          <w:rFonts w:ascii="Arial" w:hAnsi="Arial" w:cs="Arial"/>
          <w:sz w:val="24"/>
          <w:szCs w:val="24"/>
        </w:rPr>
        <w:t xml:space="preserve"> con l’avvio del RUNTS.</w:t>
      </w:r>
    </w:p>
    <w:p w14:paraId="4ABE675F" w14:textId="77777777" w:rsidR="00204BCA" w:rsidRDefault="00204BCA" w:rsidP="00204B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8569EB" w14:textId="1D0994C9" w:rsidR="00204BCA" w:rsidRPr="00204BCA" w:rsidRDefault="00204BCA" w:rsidP="00204B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4BCA">
        <w:rPr>
          <w:rFonts w:ascii="Arial" w:hAnsi="Arial" w:cs="Arial"/>
          <w:sz w:val="24"/>
          <w:szCs w:val="24"/>
        </w:rPr>
        <w:t xml:space="preserve">Alla luce di questa previsione legislativa, gli enti attualmente titolari della qualifica fiscale di Onlus per effetto dell’iscrizione all’Anagrafe tenuta dall’Agenzia delle Entrate saranno chiamati, </w:t>
      </w:r>
      <w:r w:rsidRPr="00097116">
        <w:rPr>
          <w:rFonts w:ascii="Arial" w:hAnsi="Arial" w:cs="Arial"/>
          <w:b/>
          <w:bCs/>
          <w:sz w:val="24"/>
          <w:szCs w:val="24"/>
        </w:rPr>
        <w:t xml:space="preserve">entro </w:t>
      </w:r>
      <w:r w:rsidR="00097116" w:rsidRPr="00097116">
        <w:rPr>
          <w:rFonts w:ascii="Arial" w:hAnsi="Arial" w:cs="Arial"/>
          <w:b/>
          <w:bCs/>
          <w:sz w:val="24"/>
          <w:szCs w:val="24"/>
        </w:rPr>
        <w:t>il</w:t>
      </w:r>
      <w:r w:rsidRPr="00097116">
        <w:rPr>
          <w:rFonts w:ascii="Arial" w:hAnsi="Arial" w:cs="Arial"/>
          <w:b/>
          <w:bCs/>
          <w:sz w:val="24"/>
          <w:szCs w:val="24"/>
        </w:rPr>
        <w:t xml:space="preserve"> 31 marzo dell’esercizio successivo</w:t>
      </w:r>
      <w:r w:rsidRPr="00204BCA">
        <w:rPr>
          <w:rFonts w:ascii="Arial" w:hAnsi="Arial" w:cs="Arial"/>
          <w:sz w:val="24"/>
          <w:szCs w:val="24"/>
        </w:rPr>
        <w:t xml:space="preserve"> al verificarsi delle due fattispecie sopra richiamate, ad </w:t>
      </w:r>
      <w:r w:rsidRPr="00097116">
        <w:rPr>
          <w:rFonts w:ascii="Arial" w:hAnsi="Arial" w:cs="Arial"/>
          <w:b/>
          <w:bCs/>
          <w:sz w:val="24"/>
          <w:szCs w:val="24"/>
        </w:rPr>
        <w:t>effettuare una scelta</w:t>
      </w:r>
      <w:r w:rsidRPr="00204BCA">
        <w:rPr>
          <w:rFonts w:ascii="Arial" w:hAnsi="Arial" w:cs="Arial"/>
          <w:sz w:val="24"/>
          <w:szCs w:val="24"/>
        </w:rPr>
        <w:t xml:space="preserve"> e a prevedere conseguenti ipotesi di cambiamento.</w:t>
      </w:r>
    </w:p>
    <w:p w14:paraId="7AC35F50" w14:textId="77777777" w:rsidR="00204BCA" w:rsidRPr="00204BCA" w:rsidRDefault="00204BCA" w:rsidP="00204B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7EA7F6" w14:textId="479298EF" w:rsidR="00607512" w:rsidRPr="00637D48" w:rsidRDefault="00204BCA" w:rsidP="00204B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4BCA">
        <w:rPr>
          <w:rFonts w:ascii="Arial" w:hAnsi="Arial" w:cs="Arial"/>
          <w:sz w:val="24"/>
          <w:szCs w:val="24"/>
        </w:rPr>
        <w:t xml:space="preserve">Per poter cogliere </w:t>
      </w:r>
      <w:r w:rsidR="00464E33" w:rsidRPr="00204BCA">
        <w:rPr>
          <w:rFonts w:ascii="Arial" w:hAnsi="Arial" w:cs="Arial"/>
          <w:sz w:val="24"/>
          <w:szCs w:val="24"/>
        </w:rPr>
        <w:t>pienamente</w:t>
      </w:r>
      <w:r w:rsidRPr="00204BCA">
        <w:rPr>
          <w:rFonts w:ascii="Arial" w:hAnsi="Arial" w:cs="Arial"/>
          <w:sz w:val="24"/>
          <w:szCs w:val="24"/>
        </w:rPr>
        <w:t xml:space="preserve"> le diverse possibilità e le motivazioni </w:t>
      </w:r>
      <w:r w:rsidR="00097116">
        <w:rPr>
          <w:rFonts w:ascii="Arial" w:hAnsi="Arial" w:cs="Arial"/>
          <w:sz w:val="24"/>
          <w:szCs w:val="24"/>
        </w:rPr>
        <w:t xml:space="preserve">che ne sono </w:t>
      </w:r>
      <w:r w:rsidRPr="00204BCA">
        <w:rPr>
          <w:rFonts w:ascii="Arial" w:hAnsi="Arial" w:cs="Arial"/>
          <w:sz w:val="24"/>
          <w:szCs w:val="24"/>
        </w:rPr>
        <w:t>alla base</w:t>
      </w:r>
      <w:r w:rsidR="00D10D56">
        <w:rPr>
          <w:rFonts w:ascii="Arial" w:hAnsi="Arial" w:cs="Arial"/>
          <w:sz w:val="24"/>
          <w:szCs w:val="24"/>
        </w:rPr>
        <w:t xml:space="preserve">, </w:t>
      </w:r>
      <w:r w:rsidR="00E7723F">
        <w:rPr>
          <w:rFonts w:ascii="Arial" w:hAnsi="Arial" w:cs="Arial"/>
          <w:sz w:val="24"/>
          <w:szCs w:val="24"/>
        </w:rPr>
        <w:t>la pubblicazione</w:t>
      </w:r>
      <w:r w:rsidR="00D10D56">
        <w:rPr>
          <w:rFonts w:ascii="Arial" w:hAnsi="Arial" w:cs="Arial"/>
          <w:sz w:val="24"/>
          <w:szCs w:val="24"/>
        </w:rPr>
        <w:t xml:space="preserve"> ripercorre </w:t>
      </w:r>
      <w:r w:rsidR="00D10D56" w:rsidRPr="00D10D56">
        <w:rPr>
          <w:rFonts w:ascii="Arial" w:hAnsi="Arial" w:cs="Arial"/>
          <w:b/>
          <w:bCs/>
          <w:sz w:val="24"/>
          <w:szCs w:val="24"/>
        </w:rPr>
        <w:t>la</w:t>
      </w:r>
      <w:r w:rsidRPr="00D10D56">
        <w:rPr>
          <w:rFonts w:ascii="Arial" w:hAnsi="Arial" w:cs="Arial"/>
          <w:b/>
          <w:bCs/>
          <w:sz w:val="24"/>
          <w:szCs w:val="24"/>
        </w:rPr>
        <w:t xml:space="preserve"> normativa regolante le Onlus</w:t>
      </w:r>
      <w:r w:rsidR="005F2B6E">
        <w:rPr>
          <w:rFonts w:ascii="Arial" w:hAnsi="Arial" w:cs="Arial"/>
          <w:sz w:val="24"/>
          <w:szCs w:val="24"/>
        </w:rPr>
        <w:t>,</w:t>
      </w:r>
      <w:r w:rsidRPr="00204BCA">
        <w:rPr>
          <w:rFonts w:ascii="Arial" w:hAnsi="Arial" w:cs="Arial"/>
          <w:sz w:val="24"/>
          <w:szCs w:val="24"/>
        </w:rPr>
        <w:t xml:space="preserve"> </w:t>
      </w:r>
      <w:r w:rsidR="005F2B6E" w:rsidRPr="005F2B6E">
        <w:rPr>
          <w:rFonts w:ascii="Arial" w:hAnsi="Arial" w:cs="Arial"/>
          <w:sz w:val="24"/>
          <w:szCs w:val="24"/>
        </w:rPr>
        <w:t>fornendo ai commercialisti le principali indicazioni per consentire un passaggio consapevole nel mondo del Terzo settore</w:t>
      </w:r>
      <w:r w:rsidR="005F2B6E">
        <w:rPr>
          <w:rFonts w:ascii="Arial" w:hAnsi="Arial" w:cs="Arial"/>
          <w:sz w:val="24"/>
          <w:szCs w:val="24"/>
        </w:rPr>
        <w:t>.</w:t>
      </w:r>
    </w:p>
    <w:sectPr w:rsidR="00607512" w:rsidRPr="00637D4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76C0B" w14:textId="77777777" w:rsidR="00893F8D" w:rsidRDefault="00893F8D" w:rsidP="00637D48">
      <w:pPr>
        <w:spacing w:after="0" w:line="240" w:lineRule="auto"/>
      </w:pPr>
      <w:r>
        <w:separator/>
      </w:r>
    </w:p>
  </w:endnote>
  <w:endnote w:type="continuationSeparator" w:id="0">
    <w:p w14:paraId="19B06AE6" w14:textId="77777777" w:rsidR="00893F8D" w:rsidRDefault="00893F8D" w:rsidP="0063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F3DE0" w14:textId="77777777" w:rsidR="00893F8D" w:rsidRDefault="00893F8D" w:rsidP="00637D48">
      <w:pPr>
        <w:spacing w:after="0" w:line="240" w:lineRule="auto"/>
      </w:pPr>
      <w:r>
        <w:separator/>
      </w:r>
    </w:p>
  </w:footnote>
  <w:footnote w:type="continuationSeparator" w:id="0">
    <w:p w14:paraId="09185A53" w14:textId="77777777" w:rsidR="00893F8D" w:rsidRDefault="00893F8D" w:rsidP="0063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23AA5" w14:textId="7788B2F0" w:rsidR="00637D48" w:rsidRPr="00637D48" w:rsidRDefault="00637D48" w:rsidP="00637D48">
    <w:pPr>
      <w:pStyle w:val="Intestazione"/>
      <w:jc w:val="center"/>
    </w:pPr>
    <w:r>
      <w:rPr>
        <w:noProof/>
      </w:rPr>
      <w:drawing>
        <wp:inline distT="0" distB="0" distL="0" distR="0" wp14:anchorId="5245879D" wp14:editId="50707790">
          <wp:extent cx="2314575" cy="78613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48"/>
    <w:rsid w:val="00050C86"/>
    <w:rsid w:val="00097116"/>
    <w:rsid w:val="001D7FC8"/>
    <w:rsid w:val="00204BCA"/>
    <w:rsid w:val="00464E33"/>
    <w:rsid w:val="004B690F"/>
    <w:rsid w:val="0056121D"/>
    <w:rsid w:val="005F2B6E"/>
    <w:rsid w:val="00607512"/>
    <w:rsid w:val="00637D48"/>
    <w:rsid w:val="007870B2"/>
    <w:rsid w:val="00795D48"/>
    <w:rsid w:val="00852CF2"/>
    <w:rsid w:val="00875245"/>
    <w:rsid w:val="00893F8D"/>
    <w:rsid w:val="00B947AD"/>
    <w:rsid w:val="00C1267B"/>
    <w:rsid w:val="00C466D3"/>
    <w:rsid w:val="00D05847"/>
    <w:rsid w:val="00D10D56"/>
    <w:rsid w:val="00E7723F"/>
    <w:rsid w:val="00EB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0618"/>
  <w15:chartTrackingRefBased/>
  <w15:docId w15:val="{11B59A0F-72D0-4734-86D8-EB79B4FD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7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7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7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7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7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7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7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7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7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7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7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7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7D4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7D4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7D4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7D4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7D4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7D4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7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7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7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7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7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7D4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7D4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7D4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7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7D4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7D4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7D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D48"/>
  </w:style>
  <w:style w:type="paragraph" w:styleId="Pidipagina">
    <w:name w:val="footer"/>
    <w:basedOn w:val="Normale"/>
    <w:link w:val="PidipaginaCarattere"/>
    <w:uiPriority w:val="99"/>
    <w:unhideWhenUsed/>
    <w:rsid w:val="00637D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11</cp:revision>
  <dcterms:created xsi:type="dcterms:W3CDTF">2024-08-07T17:57:00Z</dcterms:created>
  <dcterms:modified xsi:type="dcterms:W3CDTF">2024-08-09T08:33:00Z</dcterms:modified>
</cp:coreProperties>
</file>