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3833CA" w14:textId="3DA6EE4E" w:rsidR="009F6E3E" w:rsidRPr="00D80990" w:rsidRDefault="007F766F">
      <w:pPr>
        <w:pStyle w:val="cpv"/>
        <w:widowControl/>
        <w:spacing w:before="220"/>
        <w:jc w:val="center"/>
        <w:rPr>
          <w:rFonts w:ascii="Arial" w:hAnsi="Arial" w:cs="Arial"/>
          <w:smallCaps/>
          <w:noProof/>
          <w:sz w:val="36"/>
        </w:rPr>
      </w:pPr>
      <w:r w:rsidRPr="00D80990">
        <w:rPr>
          <w:rFonts w:ascii="Arial" w:hAnsi="Arial" w:cs="Arial"/>
          <w:noProof/>
        </w:rPr>
        <w:drawing>
          <wp:anchor distT="0" distB="0" distL="114300" distR="114300" simplePos="0" relativeHeight="251666432" behindDoc="0" locked="0" layoutInCell="1" allowOverlap="1" wp14:anchorId="29A6E8EA" wp14:editId="034210FC">
            <wp:simplePos x="0" y="0"/>
            <wp:positionH relativeFrom="column">
              <wp:posOffset>0</wp:posOffset>
            </wp:positionH>
            <wp:positionV relativeFrom="paragraph">
              <wp:posOffset>0</wp:posOffset>
            </wp:positionV>
            <wp:extent cx="2196000" cy="744128"/>
            <wp:effectExtent l="0" t="0" r="0" b="0"/>
            <wp:wrapNone/>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196000" cy="744128"/>
                    </a:xfrm>
                    <a:prstGeom prst="rect">
                      <a:avLst/>
                    </a:prstGeom>
                  </pic:spPr>
                </pic:pic>
              </a:graphicData>
            </a:graphic>
          </wp:anchor>
        </w:drawing>
      </w:r>
      <w:r w:rsidRPr="00D80990">
        <w:rPr>
          <w:rFonts w:ascii="Arial" w:hAnsi="Arial" w:cs="Arial"/>
          <w:b/>
          <w:i/>
          <w:color w:val="0070C0"/>
          <w:sz w:val="32"/>
        </w:rPr>
        <w:tab/>
      </w:r>
      <w:r w:rsidR="00B66D7D">
        <w:rPr>
          <w:rFonts w:ascii="Arial" w:hAnsi="Arial" w:cs="Arial"/>
          <w:noProof/>
        </w:rPr>
        <mc:AlternateContent>
          <mc:Choice Requires="wps">
            <w:drawing>
              <wp:inline distT="0" distB="0" distL="0" distR="0" wp14:anchorId="18923AF6" wp14:editId="4D793304">
                <wp:extent cx="304800" cy="304800"/>
                <wp:effectExtent l="0" t="1270" r="3810" b="0"/>
                <wp:docPr id="694452243" name="Rettangolo 2" descr="http://www.clubdeirevisori.it/Skin/Ancrel/Images/ImmagineHomeAncrel.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9EDC52" id="Rettangolo 2" o:spid="_x0000_s1026" alt="http://www.clubdeirevisori.it/Skin/Ancrel/Images/ImmagineHomeAncrel.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noProof/>
          <w:sz w:val="36"/>
        </w:rPr>
        <w:drawing>
          <wp:inline distT="0" distB="0" distL="0" distR="0" wp14:anchorId="604F3D30" wp14:editId="5AEB565E">
            <wp:extent cx="1494155" cy="314325"/>
            <wp:effectExtent l="0" t="0" r="0"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687" cy="327269"/>
                    </a:xfrm>
                    <a:prstGeom prst="rect">
                      <a:avLst/>
                    </a:prstGeom>
                    <a:noFill/>
                    <a:ln>
                      <a:noFill/>
                    </a:ln>
                  </pic:spPr>
                </pic:pic>
              </a:graphicData>
            </a:graphic>
          </wp:inline>
        </w:drawing>
      </w:r>
    </w:p>
    <w:p w14:paraId="4E27CB29" w14:textId="71E97FCB" w:rsidR="009F6E3E" w:rsidRPr="00D80990" w:rsidRDefault="00B66D7D">
      <w:pPr>
        <w:pStyle w:val="cpv"/>
        <w:widowControl/>
        <w:spacing w:before="220"/>
        <w:jc w:val="center"/>
        <w:rPr>
          <w:rFonts w:ascii="Arial" w:hAnsi="Arial" w:cs="Arial"/>
          <w:smallCaps/>
          <w:sz w:val="36"/>
        </w:rPr>
      </w:pPr>
      <w:r>
        <w:rPr>
          <w:rFonts w:ascii="Arial" w:hAnsi="Arial" w:cs="Arial"/>
          <w:smallCaps/>
          <w:noProof/>
          <w:color w:val="C00000"/>
          <w:sz w:val="36"/>
        </w:rPr>
        <mc:AlternateContent>
          <mc:Choice Requires="wps">
            <w:drawing>
              <wp:anchor distT="0" distB="0" distL="114300" distR="114300" simplePos="0" relativeHeight="251667456" behindDoc="0" locked="0" layoutInCell="1" allowOverlap="1" wp14:anchorId="115D3EA0" wp14:editId="74837341">
                <wp:simplePos x="0" y="0"/>
                <wp:positionH relativeFrom="margin">
                  <wp:posOffset>80010</wp:posOffset>
                </wp:positionH>
                <wp:positionV relativeFrom="paragraph">
                  <wp:posOffset>332105</wp:posOffset>
                </wp:positionV>
                <wp:extent cx="5791200" cy="9525"/>
                <wp:effectExtent l="19050" t="19050" r="0" b="9525"/>
                <wp:wrapSquare wrapText="bothSides"/>
                <wp:docPr id="1" name="Connettore dirit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91200" cy="95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6539B" id="Connettore diritto 2" o:spid="_x0000_s1026" style="position:absolute;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3pt,26.15pt" to="462.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" strokecolor="red" strokeweight="2.25pt">
                <o:lock v:ext="edit" shapetype="f"/>
                <w10:wrap type="square" anchorx="margin"/>
              </v:line>
            </w:pict>
          </mc:Fallback>
        </mc:AlternateContent>
      </w:r>
      <w:r w:rsidR="007F766F" w:rsidRPr="00D80990">
        <w:rPr>
          <w:rFonts w:ascii="Arial" w:hAnsi="Arial" w:cs="Arial"/>
          <w:smallCaps/>
          <w:sz w:val="36"/>
        </w:rPr>
        <w:tab/>
      </w:r>
      <w:r w:rsidR="007F766F" w:rsidRPr="00D80990">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t>D</w:t>
      </w:r>
      <w:r w:rsidR="007F766F" w:rsidRPr="00D80990">
        <w:rPr>
          <w:rFonts w:ascii="Arial" w:hAnsi="Arial" w:cs="Arial"/>
          <w:smallCaps/>
          <w:sz w:val="36"/>
        </w:rPr>
        <w:t>ocumento</w:t>
      </w:r>
      <w:r w:rsidR="007F766F" w:rsidRPr="00D80990">
        <w:rPr>
          <w:rFonts w:ascii="Arial" w:hAnsi="Arial" w:cs="Arial"/>
          <w:smallCaps/>
          <w:sz w:val="36"/>
        </w:rPr>
        <w:tab/>
      </w:r>
    </w:p>
    <w:p w14:paraId="67A9CA9E" w14:textId="77777777" w:rsidR="009F6E3E" w:rsidRPr="00D80990" w:rsidRDefault="009F6E3E">
      <w:pPr>
        <w:pStyle w:val="cpv"/>
        <w:widowControl/>
        <w:spacing w:before="220"/>
        <w:jc w:val="center"/>
        <w:rPr>
          <w:rFonts w:ascii="Arial" w:hAnsi="Arial" w:cs="Arial"/>
          <w:b/>
          <w:i/>
          <w:color w:val="0070C0"/>
          <w:sz w:val="32"/>
        </w:rPr>
      </w:pPr>
    </w:p>
    <w:p w14:paraId="77CF10B9" w14:textId="77777777" w:rsidR="009F6E3E" w:rsidRPr="00D80990" w:rsidRDefault="007F766F">
      <w:pPr>
        <w:pStyle w:val="Titolo"/>
        <w:rPr>
          <w:b w:val="0"/>
          <w:i w:val="0"/>
          <w:smallCaps/>
          <w:szCs w:val="20"/>
        </w:rPr>
      </w:pPr>
      <w:r w:rsidRPr="00D80990">
        <w:rPr>
          <w:b w:val="0"/>
          <w:i w:val="0"/>
          <w:smallCaps/>
          <w:szCs w:val="20"/>
        </w:rPr>
        <w:t xml:space="preserve">Parere dell’organo di revisione sulla proposta di </w:t>
      </w:r>
    </w:p>
    <w:p w14:paraId="5DC176AD" w14:textId="77777777" w:rsidR="009F6E3E" w:rsidRPr="00D80990" w:rsidRDefault="007F766F">
      <w:pPr>
        <w:pStyle w:val="Titolo"/>
        <w:rPr>
          <w:b w:val="0"/>
          <w:i w:val="0"/>
          <w:smallCaps/>
          <w:szCs w:val="20"/>
        </w:rPr>
      </w:pPr>
      <w:r w:rsidRPr="00D80990">
        <w:rPr>
          <w:b w:val="0"/>
          <w:i w:val="0"/>
          <w:smallCaps/>
          <w:szCs w:val="20"/>
        </w:rPr>
        <w:t>BILANCIO DI PREVISIONE 201</w:t>
      </w:r>
      <w:r w:rsidR="008C6354" w:rsidRPr="00D80990">
        <w:rPr>
          <w:b w:val="0"/>
          <w:i w:val="0"/>
          <w:smallCaps/>
          <w:szCs w:val="20"/>
        </w:rPr>
        <w:t>9 – 2021</w:t>
      </w:r>
    </w:p>
    <w:p w14:paraId="61F2B339" w14:textId="77777777" w:rsidR="009F6E3E" w:rsidRPr="00D80990" w:rsidRDefault="007F766F">
      <w:pPr>
        <w:pStyle w:val="cpv"/>
        <w:widowControl/>
        <w:spacing w:before="220"/>
        <w:jc w:val="center"/>
        <w:rPr>
          <w:rFonts w:ascii="Arial" w:hAnsi="Arial" w:cs="Arial"/>
          <w:smallCaps/>
          <w:sz w:val="36"/>
        </w:rPr>
      </w:pPr>
      <w:r w:rsidRPr="00D80990">
        <w:rPr>
          <w:rFonts w:ascii="Arial" w:hAnsi="Arial" w:cs="Arial"/>
          <w:smallCaps/>
          <w:sz w:val="36"/>
        </w:rPr>
        <w:t>e documenti allegati</w:t>
      </w:r>
    </w:p>
    <w:p w14:paraId="36D26C85" w14:textId="77777777" w:rsidR="009F6E3E" w:rsidRPr="00D80990" w:rsidRDefault="009F6E3E">
      <w:pPr>
        <w:pStyle w:val="cpv"/>
        <w:widowControl/>
        <w:spacing w:before="220"/>
        <w:rPr>
          <w:rFonts w:ascii="Arial" w:hAnsi="Arial" w:cs="Arial"/>
          <w:smallCaps/>
          <w:sz w:val="36"/>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5403"/>
        <w:gridCol w:w="3485"/>
      </w:tblGrid>
      <w:tr w:rsidR="009F6E3E" w:rsidRPr="00D80990" w14:paraId="31FAEA85" w14:textId="77777777" w:rsidTr="00291B59">
        <w:trPr>
          <w:trHeight w:val="1812"/>
        </w:trPr>
        <w:tc>
          <w:tcPr>
            <w:tcW w:w="5403" w:type="dxa"/>
          </w:tcPr>
          <w:p w14:paraId="419A09DA" w14:textId="77777777" w:rsidR="009F6E3E" w:rsidRPr="00985C1A" w:rsidRDefault="009F6E3E">
            <w:pPr>
              <w:autoSpaceDE w:val="0"/>
              <w:autoSpaceDN w:val="0"/>
              <w:adjustRightInd w:val="0"/>
              <w:rPr>
                <w:rFonts w:ascii="Arial" w:hAnsi="Arial" w:cs="Arial"/>
                <w:color w:val="000000"/>
                <w:sz w:val="20"/>
                <w:szCs w:val="20"/>
              </w:rPr>
            </w:pPr>
          </w:p>
          <w:p w14:paraId="4D78BA60" w14:textId="77777777" w:rsidR="009F6E3E" w:rsidRPr="00985C1A" w:rsidRDefault="007F766F">
            <w:pPr>
              <w:autoSpaceDE w:val="0"/>
              <w:autoSpaceDN w:val="0"/>
              <w:adjustRightInd w:val="0"/>
              <w:rPr>
                <w:rFonts w:ascii="Arial" w:hAnsi="Arial" w:cs="Arial"/>
                <w:color w:val="000000"/>
                <w:sz w:val="20"/>
                <w:szCs w:val="20"/>
              </w:rPr>
            </w:pPr>
            <w:r w:rsidRPr="00985C1A">
              <w:rPr>
                <w:rFonts w:ascii="Arial" w:hAnsi="Arial" w:cs="Arial"/>
                <w:color w:val="000000"/>
                <w:sz w:val="20"/>
                <w:szCs w:val="20"/>
              </w:rPr>
              <w:t xml:space="preserve">Area “Economia degli Enti locali” </w:t>
            </w:r>
          </w:p>
        </w:tc>
        <w:tc>
          <w:tcPr>
            <w:tcW w:w="3485" w:type="dxa"/>
          </w:tcPr>
          <w:p w14:paraId="2B92C7F9" w14:textId="77777777" w:rsidR="009F6E3E" w:rsidRPr="005D790B" w:rsidRDefault="009F6E3E">
            <w:pPr>
              <w:autoSpaceDE w:val="0"/>
              <w:autoSpaceDN w:val="0"/>
              <w:adjustRightInd w:val="0"/>
              <w:rPr>
                <w:rFonts w:ascii="Arial" w:hAnsi="Arial" w:cs="Arial"/>
                <w:color w:val="000000"/>
                <w:sz w:val="20"/>
                <w:szCs w:val="20"/>
              </w:rPr>
            </w:pPr>
          </w:p>
          <w:p w14:paraId="390E5FCB"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 xml:space="preserve">CONSIGLIERI DELEGATI </w:t>
            </w:r>
            <w:r w:rsidR="00985C1A" w:rsidRPr="005D790B">
              <w:rPr>
                <w:rFonts w:ascii="Arial" w:hAnsi="Arial" w:cs="Arial"/>
                <w:color w:val="000000"/>
                <w:sz w:val="20"/>
                <w:szCs w:val="20"/>
              </w:rPr>
              <w:t>CNDCEC</w:t>
            </w:r>
          </w:p>
          <w:p w14:paraId="777DBB65"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Davide Di Russo – Vice Presidente</w:t>
            </w:r>
          </w:p>
          <w:p w14:paraId="2D8B0AED"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Remigio E.M. Sequi - Consigliere</w:t>
            </w:r>
          </w:p>
          <w:p w14:paraId="4A2EFC0A" w14:textId="77777777" w:rsidR="00985C1A" w:rsidRPr="005D790B" w:rsidRDefault="00985C1A" w:rsidP="00291B59">
            <w:pPr>
              <w:autoSpaceDE w:val="0"/>
              <w:autoSpaceDN w:val="0"/>
              <w:adjustRightInd w:val="0"/>
              <w:rPr>
                <w:rFonts w:ascii="Arial" w:hAnsi="Arial" w:cs="Arial"/>
                <w:color w:val="000000"/>
                <w:sz w:val="20"/>
                <w:szCs w:val="20"/>
              </w:rPr>
            </w:pPr>
          </w:p>
          <w:p w14:paraId="0787F297" w14:textId="77777777" w:rsidR="00985C1A" w:rsidRPr="005D790B" w:rsidRDefault="00985C1A" w:rsidP="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PRESIDENTE ANCREL</w:t>
            </w:r>
          </w:p>
          <w:p w14:paraId="05722E00" w14:textId="77777777" w:rsidR="00291B59" w:rsidRPr="005D790B" w:rsidRDefault="00291B59" w:rsidP="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Marco Castellani</w:t>
            </w:r>
          </w:p>
          <w:p w14:paraId="085B70BF" w14:textId="77777777" w:rsidR="009F6E3E" w:rsidRPr="005D790B" w:rsidRDefault="009F6E3E">
            <w:pPr>
              <w:autoSpaceDE w:val="0"/>
              <w:autoSpaceDN w:val="0"/>
              <w:adjustRightInd w:val="0"/>
              <w:rPr>
                <w:rFonts w:ascii="Arial" w:hAnsi="Arial" w:cs="Arial"/>
                <w:color w:val="000000"/>
                <w:sz w:val="20"/>
                <w:szCs w:val="20"/>
              </w:rPr>
            </w:pPr>
          </w:p>
          <w:p w14:paraId="37011273" w14:textId="77777777" w:rsidR="009F6E3E" w:rsidRPr="005D790B" w:rsidRDefault="009F6E3E">
            <w:pPr>
              <w:autoSpaceDE w:val="0"/>
              <w:autoSpaceDN w:val="0"/>
              <w:adjustRightInd w:val="0"/>
              <w:rPr>
                <w:rFonts w:ascii="Arial" w:hAnsi="Arial" w:cs="Arial"/>
                <w:color w:val="000000"/>
                <w:sz w:val="20"/>
                <w:szCs w:val="20"/>
              </w:rPr>
            </w:pPr>
          </w:p>
          <w:p w14:paraId="3F2D8F0F"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 xml:space="preserve">COMPONENTI </w:t>
            </w:r>
          </w:p>
          <w:p w14:paraId="51D5FEA7"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Patrizio Battisti</w:t>
            </w:r>
          </w:p>
          <w:p w14:paraId="19971C18"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Elena Brunetto</w:t>
            </w:r>
          </w:p>
          <w:p w14:paraId="551D8CE0"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Luciano Fazzi</w:t>
            </w:r>
          </w:p>
          <w:p w14:paraId="69B24424"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Sergio Moretti</w:t>
            </w:r>
          </w:p>
          <w:p w14:paraId="76ECFFF4" w14:textId="77777777" w:rsidR="009F6E3E" w:rsidRPr="005D790B" w:rsidRDefault="005D790B">
            <w:pPr>
              <w:autoSpaceDE w:val="0"/>
              <w:autoSpaceDN w:val="0"/>
              <w:adjustRightInd w:val="0"/>
              <w:rPr>
                <w:rFonts w:ascii="Arial" w:hAnsi="Arial" w:cs="Arial"/>
                <w:color w:val="000000"/>
                <w:sz w:val="20"/>
                <w:szCs w:val="20"/>
              </w:rPr>
            </w:pPr>
            <w:r>
              <w:rPr>
                <w:rFonts w:ascii="Arial" w:hAnsi="Arial" w:cs="Arial"/>
                <w:color w:val="000000"/>
                <w:sz w:val="20"/>
                <w:szCs w:val="20"/>
              </w:rPr>
              <w:t>Giuseppe Munafò</w:t>
            </w:r>
          </w:p>
          <w:p w14:paraId="7D241C89"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Gabriella Nardelli</w:t>
            </w:r>
          </w:p>
          <w:p w14:paraId="6D67BF5C"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Tommaso Pazzaglini</w:t>
            </w:r>
          </w:p>
          <w:p w14:paraId="4025158C"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Rosa Ricciardi</w:t>
            </w:r>
          </w:p>
          <w:p w14:paraId="69B86FB4"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Marco Rossi</w:t>
            </w:r>
          </w:p>
          <w:p w14:paraId="63A2300B"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Patrizia Ruffini</w:t>
            </w:r>
          </w:p>
          <w:p w14:paraId="601A062A" w14:textId="77777777"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Grazia Zeppa</w:t>
            </w:r>
          </w:p>
          <w:p w14:paraId="616B4FE0" w14:textId="77777777" w:rsidR="009F6E3E" w:rsidRPr="005D790B" w:rsidRDefault="009F6E3E">
            <w:pPr>
              <w:autoSpaceDE w:val="0"/>
              <w:autoSpaceDN w:val="0"/>
              <w:adjustRightInd w:val="0"/>
              <w:rPr>
                <w:rFonts w:ascii="Arial" w:hAnsi="Arial" w:cs="Arial"/>
                <w:color w:val="000000"/>
                <w:sz w:val="20"/>
                <w:szCs w:val="20"/>
              </w:rPr>
            </w:pPr>
          </w:p>
          <w:p w14:paraId="6CE41D50"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RICERCATRICE</w:t>
            </w:r>
          </w:p>
          <w:p w14:paraId="06457735" w14:textId="77777777"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Anna De Toni</w:t>
            </w:r>
          </w:p>
        </w:tc>
      </w:tr>
      <w:tr w:rsidR="009F6E3E" w:rsidRPr="00D80990" w14:paraId="54EBCF74" w14:textId="77777777" w:rsidTr="00291B59">
        <w:trPr>
          <w:trHeight w:val="1812"/>
        </w:trPr>
        <w:tc>
          <w:tcPr>
            <w:tcW w:w="5403" w:type="dxa"/>
          </w:tcPr>
          <w:p w14:paraId="0203C7FD" w14:textId="77777777" w:rsidR="009F6E3E" w:rsidRPr="00D80990" w:rsidRDefault="009F6E3E">
            <w:pPr>
              <w:autoSpaceDE w:val="0"/>
              <w:autoSpaceDN w:val="0"/>
              <w:adjustRightInd w:val="0"/>
              <w:rPr>
                <w:rFonts w:ascii="Arial" w:hAnsi="Arial" w:cs="Arial"/>
                <w:color w:val="000000"/>
                <w:sz w:val="23"/>
                <w:szCs w:val="23"/>
              </w:rPr>
            </w:pPr>
          </w:p>
        </w:tc>
        <w:tc>
          <w:tcPr>
            <w:tcW w:w="3485" w:type="dxa"/>
          </w:tcPr>
          <w:p w14:paraId="661BD5F4" w14:textId="77777777" w:rsidR="009F6E3E" w:rsidRPr="00D80990" w:rsidRDefault="009F6E3E">
            <w:pPr>
              <w:autoSpaceDE w:val="0"/>
              <w:autoSpaceDN w:val="0"/>
              <w:adjustRightInd w:val="0"/>
              <w:rPr>
                <w:rFonts w:ascii="Arial" w:hAnsi="Arial" w:cs="Arial"/>
                <w:color w:val="000000"/>
                <w:sz w:val="23"/>
                <w:szCs w:val="23"/>
              </w:rPr>
            </w:pPr>
          </w:p>
        </w:tc>
      </w:tr>
    </w:tbl>
    <w:p w14:paraId="75826F80" w14:textId="77777777" w:rsidR="00291B59" w:rsidRPr="00193C38" w:rsidRDefault="00291B59" w:rsidP="00291B59">
      <w:pPr>
        <w:pStyle w:val="cpv"/>
        <w:widowControl/>
        <w:spacing w:before="220"/>
        <w:rPr>
          <w:rFonts w:ascii="Arial" w:hAnsi="Arial" w:cs="Arial"/>
          <w:color w:val="FF0000"/>
          <w:sz w:val="26"/>
          <w:szCs w:val="26"/>
        </w:rPr>
      </w:pP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sidR="00EA4A99">
        <w:rPr>
          <w:rFonts w:ascii="Arial" w:hAnsi="Arial" w:cs="Arial"/>
          <w:color w:val="000000" w:themeColor="text1"/>
          <w:sz w:val="26"/>
          <w:szCs w:val="26"/>
        </w:rPr>
        <w:t>Febbrai</w:t>
      </w:r>
      <w:r w:rsidR="00193C38" w:rsidRPr="00310840">
        <w:rPr>
          <w:rFonts w:ascii="Arial" w:hAnsi="Arial" w:cs="Arial"/>
          <w:color w:val="000000" w:themeColor="text1"/>
          <w:sz w:val="26"/>
          <w:szCs w:val="26"/>
        </w:rPr>
        <w:t>o</w:t>
      </w:r>
      <w:r w:rsidR="008C6354" w:rsidRPr="00310840">
        <w:rPr>
          <w:rFonts w:ascii="Arial" w:hAnsi="Arial" w:cs="Arial"/>
          <w:color w:val="000000" w:themeColor="text1"/>
          <w:sz w:val="26"/>
          <w:szCs w:val="26"/>
        </w:rPr>
        <w:t xml:space="preserve"> 201</w:t>
      </w:r>
      <w:r w:rsidR="00193C38" w:rsidRPr="00310840">
        <w:rPr>
          <w:rFonts w:ascii="Arial" w:hAnsi="Arial" w:cs="Arial"/>
          <w:color w:val="000000" w:themeColor="text1"/>
          <w:sz w:val="26"/>
          <w:szCs w:val="26"/>
        </w:rPr>
        <w:t>9</w:t>
      </w:r>
      <w:r w:rsidRPr="00193C38">
        <w:rPr>
          <w:rFonts w:ascii="Arial" w:hAnsi="Arial" w:cs="Arial"/>
          <w:color w:val="FF0000"/>
          <w:sz w:val="26"/>
          <w:szCs w:val="26"/>
        </w:rPr>
        <w:br w:type="page"/>
      </w:r>
    </w:p>
    <w:p w14:paraId="27FC83F4" w14:textId="77777777" w:rsidR="009F6E3E" w:rsidRPr="00D80990" w:rsidRDefault="009F6E3E">
      <w:pPr>
        <w:pStyle w:val="cpv"/>
        <w:widowControl/>
        <w:spacing w:before="220"/>
        <w:rPr>
          <w:rFonts w:ascii="Arial" w:hAnsi="Arial" w:cs="Arial"/>
          <w:color w:val="000000"/>
          <w:sz w:val="26"/>
          <w:szCs w:val="26"/>
        </w:rPr>
      </w:pPr>
    </w:p>
    <w:p w14:paraId="1D5EE443" w14:textId="77777777" w:rsidR="009F6E3E" w:rsidRPr="00D80990" w:rsidRDefault="007F766F">
      <w:pPr>
        <w:pStyle w:val="cpv"/>
        <w:widowControl/>
        <w:spacing w:before="220"/>
        <w:jc w:val="center"/>
        <w:rPr>
          <w:rFonts w:ascii="Arial" w:hAnsi="Arial" w:cs="Arial"/>
          <w:b/>
          <w:i/>
          <w:sz w:val="32"/>
        </w:rPr>
      </w:pPr>
      <w:r w:rsidRPr="00D80990">
        <w:rPr>
          <w:rFonts w:ascii="Arial" w:hAnsi="Arial" w:cs="Arial"/>
          <w:b/>
          <w:i/>
          <w:sz w:val="32"/>
        </w:rPr>
        <w:t>Premessa</w:t>
      </w:r>
    </w:p>
    <w:p w14:paraId="5C678FCB" w14:textId="77777777" w:rsidR="009F6E3E" w:rsidRPr="00D80990" w:rsidRDefault="009F6E3E">
      <w:pPr>
        <w:pStyle w:val="cpv"/>
        <w:widowControl/>
        <w:spacing w:before="220"/>
        <w:rPr>
          <w:rFonts w:ascii="Arial" w:hAnsi="Arial" w:cs="Arial"/>
          <w:i/>
          <w:sz w:val="22"/>
          <w:szCs w:val="22"/>
        </w:rPr>
      </w:pPr>
    </w:p>
    <w:p w14:paraId="0C043418" w14:textId="77777777"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Lo schema di parere che viene presentato è predisposto nel rispetto della parte II “Ordinamento finanziario e contabile del D. Lgs. n.267/2000 «Testo unico delle leggi sull'ordinamento degli enti locali» (TUEL), dei principi contabili generali e del principio contabile applicato 4/2, allegati al D.Lgs. 118/2011.</w:t>
      </w:r>
    </w:p>
    <w:p w14:paraId="184F2BED" w14:textId="77777777"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Per la formulazione del parere e per l’esercizio delle sue funzioni l’organo di revisione può avvalersi dei primi tre principi di vigilanza e controllo emanati dal CNDCEC.</w:t>
      </w:r>
    </w:p>
    <w:p w14:paraId="3054E735" w14:textId="77777777"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Per il riferimento all’anno precedente sono indicate le previsioni definitive 201</w:t>
      </w:r>
      <w:r w:rsidR="008C6354" w:rsidRPr="00D80990">
        <w:rPr>
          <w:rFonts w:ascii="Arial" w:hAnsi="Arial" w:cs="Arial"/>
          <w:i/>
          <w:sz w:val="22"/>
          <w:szCs w:val="22"/>
        </w:rPr>
        <w:t>8</w:t>
      </w:r>
      <w:r w:rsidRPr="00D80990">
        <w:rPr>
          <w:rFonts w:ascii="Arial" w:hAnsi="Arial" w:cs="Arial"/>
          <w:i/>
          <w:sz w:val="22"/>
          <w:szCs w:val="22"/>
        </w:rPr>
        <w:t>.</w:t>
      </w:r>
    </w:p>
    <w:p w14:paraId="4436BA5D" w14:textId="77777777" w:rsidR="00EA4A99" w:rsidRDefault="008163FB">
      <w:pPr>
        <w:pStyle w:val="cpv"/>
        <w:widowControl/>
        <w:spacing w:before="220"/>
        <w:rPr>
          <w:rFonts w:ascii="Arial" w:hAnsi="Arial" w:cs="Arial"/>
          <w:i/>
          <w:sz w:val="22"/>
          <w:szCs w:val="22"/>
        </w:rPr>
      </w:pPr>
      <w:r>
        <w:rPr>
          <w:rFonts w:ascii="Arial" w:hAnsi="Arial" w:cs="Arial"/>
          <w:i/>
          <w:sz w:val="22"/>
          <w:szCs w:val="22"/>
        </w:rPr>
        <w:t>Il presente documento</w:t>
      </w:r>
      <w:r w:rsidR="007F766F" w:rsidRPr="00D80990">
        <w:rPr>
          <w:rFonts w:ascii="Arial" w:hAnsi="Arial" w:cs="Arial"/>
          <w:i/>
          <w:sz w:val="22"/>
          <w:szCs w:val="22"/>
        </w:rPr>
        <w:t xml:space="preserve"> tiene conto delle norme emanate fino </w:t>
      </w:r>
      <w:r>
        <w:rPr>
          <w:rFonts w:ascii="Arial" w:hAnsi="Arial" w:cs="Arial"/>
          <w:i/>
          <w:sz w:val="22"/>
          <w:szCs w:val="22"/>
        </w:rPr>
        <w:t>alla data di pubblicazione</w:t>
      </w:r>
      <w:r w:rsidR="008422E1">
        <w:rPr>
          <w:rFonts w:ascii="Arial" w:hAnsi="Arial" w:cs="Arial"/>
          <w:i/>
          <w:sz w:val="22"/>
          <w:szCs w:val="22"/>
        </w:rPr>
        <w:t xml:space="preserve"> dello stesso</w:t>
      </w:r>
      <w:r w:rsidR="00EA4A99">
        <w:rPr>
          <w:rFonts w:ascii="Arial" w:hAnsi="Arial" w:cs="Arial"/>
          <w:i/>
          <w:sz w:val="22"/>
          <w:szCs w:val="22"/>
        </w:rPr>
        <w:t>.</w:t>
      </w:r>
    </w:p>
    <w:p w14:paraId="02986106" w14:textId="77777777" w:rsidR="00EA4A99" w:rsidRPr="00D80990" w:rsidRDefault="00EA4A99">
      <w:pPr>
        <w:pStyle w:val="cpv"/>
        <w:widowControl/>
        <w:spacing w:before="220"/>
        <w:rPr>
          <w:rFonts w:ascii="Arial" w:hAnsi="Arial" w:cs="Arial"/>
          <w:i/>
          <w:sz w:val="22"/>
          <w:szCs w:val="22"/>
        </w:rPr>
      </w:pPr>
    </w:p>
    <w:p w14:paraId="2ACED17D" w14:textId="77777777" w:rsidR="009F6E3E" w:rsidRPr="00D80990" w:rsidRDefault="008163FB">
      <w:pPr>
        <w:pStyle w:val="Titolo"/>
        <w:jc w:val="both"/>
        <w:rPr>
          <w:b w:val="0"/>
          <w:sz w:val="22"/>
          <w:szCs w:val="22"/>
        </w:rPr>
      </w:pPr>
      <w:r>
        <w:rPr>
          <w:b w:val="0"/>
          <w:sz w:val="22"/>
          <w:szCs w:val="22"/>
        </w:rPr>
        <w:t xml:space="preserve">Lo schema </w:t>
      </w:r>
      <w:r w:rsidR="007F766F" w:rsidRPr="00D80990">
        <w:rPr>
          <w:b w:val="0"/>
          <w:sz w:val="22"/>
          <w:szCs w:val="22"/>
        </w:rPr>
        <w:t>è composto da un testo word con traccia del parere de</w:t>
      </w:r>
      <w:r w:rsidR="00F63AA2">
        <w:rPr>
          <w:b w:val="0"/>
          <w:sz w:val="22"/>
          <w:szCs w:val="22"/>
        </w:rPr>
        <w:t>ll’organo di revisione corredata</w:t>
      </w:r>
      <w:r w:rsidR="007F766F" w:rsidRPr="00D80990">
        <w:rPr>
          <w:b w:val="0"/>
          <w:sz w:val="22"/>
          <w:szCs w:val="22"/>
        </w:rPr>
        <w:t xml:space="preserve"> da commenti in corsivetto di colore azzurro e da tabelle in formato excel</w:t>
      </w:r>
      <w:r w:rsidR="00B87215">
        <w:rPr>
          <w:b w:val="0"/>
          <w:sz w:val="22"/>
          <w:szCs w:val="22"/>
        </w:rPr>
        <w:t xml:space="preserve"> che sono editabili sia direttamente nel file del parere che compilabili nel file excel allegato</w:t>
      </w:r>
      <w:r w:rsidR="007F766F" w:rsidRPr="00D80990">
        <w:rPr>
          <w:b w:val="0"/>
          <w:sz w:val="22"/>
          <w:szCs w:val="22"/>
        </w:rPr>
        <w:t xml:space="preserve">. </w:t>
      </w:r>
    </w:p>
    <w:p w14:paraId="5B4765A1" w14:textId="77777777" w:rsidR="009F6E3E" w:rsidRPr="00D80990" w:rsidRDefault="007F766F">
      <w:pPr>
        <w:pStyle w:val="Titolo"/>
        <w:jc w:val="both"/>
        <w:rPr>
          <w:b w:val="0"/>
          <w:sz w:val="22"/>
          <w:szCs w:val="22"/>
        </w:rPr>
      </w:pPr>
      <w:r w:rsidRPr="00D80990">
        <w:rPr>
          <w:b w:val="0"/>
          <w:sz w:val="22"/>
          <w:szCs w:val="22"/>
        </w:rPr>
        <w:t xml:space="preserve">Il </w:t>
      </w:r>
      <w:r w:rsidR="008163FB">
        <w:rPr>
          <w:b w:val="0"/>
          <w:sz w:val="22"/>
          <w:szCs w:val="22"/>
        </w:rPr>
        <w:t>testo</w:t>
      </w:r>
      <w:r w:rsidRPr="00D80990">
        <w:rPr>
          <w:b w:val="0"/>
          <w:sz w:val="22"/>
          <w:szCs w:val="22"/>
        </w:rPr>
        <w:t>costituisce soltanto una traccia per la formazione del parere da parte dell’organo di revisione, il quale resta esclusivo responsabile nei rapporti con tutti i soggetti dello stesso destinatari.</w:t>
      </w:r>
    </w:p>
    <w:p w14:paraId="5D12AB53" w14:textId="77777777" w:rsidR="009F6E3E" w:rsidRPr="00D80990" w:rsidRDefault="007F766F">
      <w:pPr>
        <w:pStyle w:val="Titolo"/>
        <w:jc w:val="both"/>
        <w:rPr>
          <w:b w:val="0"/>
          <w:sz w:val="22"/>
          <w:szCs w:val="22"/>
        </w:rPr>
      </w:pPr>
      <w:r w:rsidRPr="00D80990">
        <w:rPr>
          <w:b w:val="0"/>
          <w:sz w:val="22"/>
          <w:szCs w:val="22"/>
        </w:rPr>
        <w:t xml:space="preserve">Si declina ogni responsabilità per eventuali errori nel contenuto del testo del parere ovvero nella formazione delle tabelle excel. </w:t>
      </w:r>
    </w:p>
    <w:p w14:paraId="30438730" w14:textId="77777777" w:rsidR="009F6E3E" w:rsidRPr="00D80990" w:rsidRDefault="009F6E3E">
      <w:pPr>
        <w:pStyle w:val="cpv"/>
        <w:widowControl/>
        <w:spacing w:before="220"/>
        <w:rPr>
          <w:rFonts w:ascii="Arial" w:hAnsi="Arial" w:cs="Arial"/>
          <w:i/>
          <w:color w:val="0070C0"/>
          <w:sz w:val="22"/>
          <w:szCs w:val="22"/>
        </w:rPr>
      </w:pPr>
    </w:p>
    <w:p w14:paraId="29A615D4" w14:textId="77777777" w:rsidR="009F6E3E" w:rsidRPr="00D80990" w:rsidRDefault="009F6E3E">
      <w:pPr>
        <w:pStyle w:val="Titolo"/>
        <w:rPr>
          <w:b w:val="0"/>
          <w:i w:val="0"/>
          <w:sz w:val="40"/>
        </w:rPr>
      </w:pPr>
    </w:p>
    <w:p w14:paraId="63A0343D" w14:textId="77777777" w:rsidR="009F6E3E" w:rsidRPr="00D80990" w:rsidRDefault="009F6E3E">
      <w:pPr>
        <w:pStyle w:val="Titolo"/>
        <w:rPr>
          <w:b w:val="0"/>
          <w:i w:val="0"/>
          <w:sz w:val="40"/>
        </w:rPr>
      </w:pPr>
    </w:p>
    <w:p w14:paraId="1400FA47" w14:textId="77777777" w:rsidR="00291B59" w:rsidRDefault="00291B59">
      <w:pPr>
        <w:rPr>
          <w:rFonts w:ascii="Arial" w:hAnsi="Arial" w:cs="Arial"/>
          <w:sz w:val="40"/>
        </w:rPr>
      </w:pPr>
    </w:p>
    <w:p w14:paraId="048E41C6" w14:textId="77777777" w:rsidR="00FC302C" w:rsidRDefault="00FC302C">
      <w:pPr>
        <w:rPr>
          <w:rFonts w:ascii="Arial" w:hAnsi="Arial" w:cs="Arial"/>
          <w:sz w:val="40"/>
        </w:rPr>
      </w:pPr>
    </w:p>
    <w:p w14:paraId="607E0372" w14:textId="77777777" w:rsidR="00FC302C" w:rsidRDefault="00FC302C">
      <w:pPr>
        <w:rPr>
          <w:rFonts w:ascii="Arial" w:hAnsi="Arial" w:cs="Arial"/>
          <w:sz w:val="40"/>
        </w:rPr>
      </w:pPr>
    </w:p>
    <w:p w14:paraId="5D57274C" w14:textId="77777777" w:rsidR="00FC302C" w:rsidRDefault="00FC302C">
      <w:pPr>
        <w:rPr>
          <w:rFonts w:ascii="Arial" w:hAnsi="Arial" w:cs="Arial"/>
          <w:sz w:val="40"/>
        </w:rPr>
      </w:pPr>
    </w:p>
    <w:p w14:paraId="738B6440" w14:textId="77777777" w:rsidR="00FC302C" w:rsidRDefault="00FC302C">
      <w:pPr>
        <w:rPr>
          <w:rFonts w:ascii="Arial" w:hAnsi="Arial" w:cs="Arial"/>
          <w:sz w:val="40"/>
        </w:rPr>
      </w:pPr>
    </w:p>
    <w:p w14:paraId="4591DCB1" w14:textId="77777777" w:rsidR="00FC302C" w:rsidRDefault="00FC302C">
      <w:pPr>
        <w:rPr>
          <w:rFonts w:ascii="Arial" w:hAnsi="Arial" w:cs="Arial"/>
          <w:sz w:val="40"/>
        </w:rPr>
      </w:pPr>
    </w:p>
    <w:p w14:paraId="07CC4C71" w14:textId="77777777" w:rsidR="00FC302C" w:rsidRDefault="00FC302C">
      <w:pPr>
        <w:rPr>
          <w:rFonts w:ascii="Arial" w:hAnsi="Arial" w:cs="Arial"/>
          <w:sz w:val="40"/>
        </w:rPr>
      </w:pPr>
    </w:p>
    <w:p w14:paraId="439D523C" w14:textId="77777777" w:rsidR="00FC302C" w:rsidRDefault="00FC302C">
      <w:pPr>
        <w:rPr>
          <w:rFonts w:ascii="Arial" w:hAnsi="Arial" w:cs="Arial"/>
          <w:sz w:val="40"/>
        </w:rPr>
      </w:pPr>
      <w:r>
        <w:rPr>
          <w:rFonts w:ascii="Arial" w:hAnsi="Arial" w:cs="Arial"/>
          <w:sz w:val="40"/>
        </w:rPr>
        <w:br w:type="page"/>
      </w:r>
    </w:p>
    <w:p w14:paraId="056890B5" w14:textId="77777777" w:rsidR="00FC302C" w:rsidRDefault="00FC302C">
      <w:pPr>
        <w:rPr>
          <w:rFonts w:ascii="Arial" w:hAnsi="Arial" w:cs="Arial"/>
          <w:sz w:val="40"/>
        </w:rPr>
      </w:pPr>
    </w:p>
    <w:p w14:paraId="1784191E" w14:textId="77777777" w:rsidR="009F6E3E" w:rsidRPr="00D80990" w:rsidRDefault="007F766F">
      <w:pPr>
        <w:pStyle w:val="Titolo"/>
        <w:rPr>
          <w:b w:val="0"/>
          <w:i w:val="0"/>
          <w:sz w:val="40"/>
        </w:rPr>
      </w:pPr>
      <w:r w:rsidRPr="00D80990">
        <w:rPr>
          <w:b w:val="0"/>
          <w:i w:val="0"/>
          <w:sz w:val="40"/>
        </w:rPr>
        <w:t>COMUNE DI …………….</w:t>
      </w:r>
    </w:p>
    <w:p w14:paraId="41C45191" w14:textId="77777777" w:rsidR="009F6E3E" w:rsidRPr="00D80990" w:rsidRDefault="007F766F">
      <w:pPr>
        <w:pStyle w:val="Titolo"/>
        <w:rPr>
          <w:b w:val="0"/>
          <w:i w:val="0"/>
          <w:sz w:val="40"/>
        </w:rPr>
      </w:pPr>
      <w:r w:rsidRPr="00D80990">
        <w:rPr>
          <w:b w:val="0"/>
          <w:i w:val="0"/>
          <w:sz w:val="40"/>
        </w:rPr>
        <w:t>Provincia di ……..</w:t>
      </w:r>
    </w:p>
    <w:p w14:paraId="2379EDF6" w14:textId="77777777" w:rsidR="009F6E3E" w:rsidRPr="00D80990" w:rsidRDefault="009F6E3E">
      <w:pPr>
        <w:pStyle w:val="Titolo"/>
        <w:rPr>
          <w:b w:val="0"/>
          <w:i w:val="0"/>
          <w:sz w:val="40"/>
        </w:rPr>
      </w:pPr>
    </w:p>
    <w:p w14:paraId="17AAB862" w14:textId="77777777" w:rsidR="009F6E3E" w:rsidRPr="00D80990" w:rsidRDefault="009F6E3E">
      <w:pPr>
        <w:pStyle w:val="Titolo"/>
        <w:rPr>
          <w:b w:val="0"/>
          <w:i w:val="0"/>
          <w:sz w:val="40"/>
        </w:rPr>
      </w:pPr>
    </w:p>
    <w:p w14:paraId="0B703C0E" w14:textId="77777777" w:rsidR="009F6E3E" w:rsidRPr="00D80990" w:rsidRDefault="007F766F">
      <w:pPr>
        <w:pStyle w:val="Titolo"/>
        <w:rPr>
          <w:sz w:val="40"/>
        </w:rPr>
      </w:pPr>
      <w:r w:rsidRPr="00D80990">
        <w:rPr>
          <w:sz w:val="40"/>
        </w:rPr>
        <w:t xml:space="preserve">Parere dell’organo di revisione sulla proposta di </w:t>
      </w:r>
    </w:p>
    <w:p w14:paraId="6BBC9E41" w14:textId="77777777" w:rsidR="009F6E3E" w:rsidRPr="00D80990" w:rsidRDefault="007F766F">
      <w:pPr>
        <w:pStyle w:val="Titolo"/>
        <w:rPr>
          <w:sz w:val="40"/>
        </w:rPr>
      </w:pPr>
      <w:r w:rsidRPr="00D80990">
        <w:rPr>
          <w:sz w:val="40"/>
        </w:rPr>
        <w:t>BILANCIO DI PREVISIONE 201</w:t>
      </w:r>
      <w:r w:rsidR="008C6354" w:rsidRPr="00D80990">
        <w:rPr>
          <w:sz w:val="40"/>
        </w:rPr>
        <w:t>9</w:t>
      </w:r>
      <w:r w:rsidRPr="00D80990">
        <w:rPr>
          <w:sz w:val="40"/>
        </w:rPr>
        <w:t xml:space="preserve"> – 202</w:t>
      </w:r>
      <w:r w:rsidR="008C6354" w:rsidRPr="00D80990">
        <w:rPr>
          <w:sz w:val="40"/>
        </w:rPr>
        <w:t>1</w:t>
      </w:r>
    </w:p>
    <w:p w14:paraId="3E101428" w14:textId="77777777" w:rsidR="009F6E3E" w:rsidRPr="00D80990" w:rsidRDefault="007F766F">
      <w:pPr>
        <w:pStyle w:val="Titolo"/>
        <w:rPr>
          <w:b w:val="0"/>
          <w:i w:val="0"/>
          <w:sz w:val="40"/>
        </w:rPr>
      </w:pPr>
      <w:r w:rsidRPr="00D80990">
        <w:rPr>
          <w:sz w:val="40"/>
        </w:rPr>
        <w:t>e documenti allegati</w:t>
      </w:r>
    </w:p>
    <w:p w14:paraId="09E215C8" w14:textId="77777777" w:rsidR="009F6E3E" w:rsidRPr="00D80990" w:rsidRDefault="009F6E3E">
      <w:pPr>
        <w:pStyle w:val="Titolo"/>
        <w:rPr>
          <w:i w:val="0"/>
          <w:sz w:val="28"/>
        </w:rPr>
      </w:pPr>
    </w:p>
    <w:p w14:paraId="416A4591" w14:textId="77777777" w:rsidR="009F6E3E" w:rsidRPr="00D80990" w:rsidRDefault="007F766F">
      <w:pPr>
        <w:pStyle w:val="Titolo"/>
        <w:rPr>
          <w:b w:val="0"/>
          <w:sz w:val="28"/>
        </w:rPr>
      </w:pPr>
      <w:r w:rsidRPr="00D80990">
        <w:rPr>
          <w:b w:val="0"/>
          <w:sz w:val="28"/>
        </w:rPr>
        <w:t>L’ORGANO DI REVISIONE</w:t>
      </w:r>
    </w:p>
    <w:p w14:paraId="24FB9016" w14:textId="77777777" w:rsidR="009F6E3E" w:rsidRPr="00D80990" w:rsidRDefault="007F766F">
      <w:pPr>
        <w:pStyle w:val="Titolo"/>
        <w:rPr>
          <w:b w:val="0"/>
          <w:sz w:val="28"/>
        </w:rPr>
      </w:pPr>
      <w:r w:rsidRPr="00D80990">
        <w:rPr>
          <w:b w:val="0"/>
          <w:sz w:val="28"/>
        </w:rPr>
        <w:t xml:space="preserve"> _________________</w:t>
      </w:r>
    </w:p>
    <w:p w14:paraId="61D36F9C" w14:textId="77777777" w:rsidR="009F6E3E" w:rsidRPr="00D80990" w:rsidRDefault="007F766F">
      <w:pPr>
        <w:pStyle w:val="Titolo"/>
        <w:rPr>
          <w:b w:val="0"/>
          <w:sz w:val="28"/>
        </w:rPr>
      </w:pPr>
      <w:r w:rsidRPr="00D80990">
        <w:rPr>
          <w:b w:val="0"/>
          <w:sz w:val="28"/>
        </w:rPr>
        <w:t>_________________</w:t>
      </w:r>
    </w:p>
    <w:p w14:paraId="076DA8CA" w14:textId="77777777" w:rsidR="009F6E3E" w:rsidRPr="00D80990" w:rsidRDefault="007F766F">
      <w:pPr>
        <w:pStyle w:val="Titolo"/>
        <w:rPr>
          <w:b w:val="0"/>
          <w:sz w:val="28"/>
        </w:rPr>
      </w:pPr>
      <w:r w:rsidRPr="00D80990">
        <w:rPr>
          <w:b w:val="0"/>
          <w:sz w:val="28"/>
        </w:rPr>
        <w:t>_________________</w:t>
      </w:r>
    </w:p>
    <w:p w14:paraId="14F0FD31" w14:textId="77777777" w:rsidR="002E2E3D" w:rsidRPr="00D80990" w:rsidRDefault="002E2E3D">
      <w:pPr>
        <w:pStyle w:val="cpv"/>
        <w:widowControl/>
        <w:jc w:val="center"/>
        <w:rPr>
          <w:rFonts w:ascii="Arial" w:hAnsi="Arial" w:cs="Arial"/>
          <w:b/>
          <w:sz w:val="32"/>
        </w:rPr>
      </w:pPr>
    </w:p>
    <w:p w14:paraId="7C2DEFED" w14:textId="77777777" w:rsidR="002E2E3D" w:rsidRDefault="002E2E3D">
      <w:pPr>
        <w:pStyle w:val="cpv"/>
        <w:widowControl/>
        <w:jc w:val="center"/>
        <w:rPr>
          <w:rFonts w:ascii="Arial" w:hAnsi="Arial" w:cs="Arial"/>
          <w:b/>
          <w:sz w:val="32"/>
        </w:rPr>
      </w:pPr>
    </w:p>
    <w:p w14:paraId="095A60F8" w14:textId="77777777" w:rsidR="00291B59" w:rsidRDefault="00291B59">
      <w:pPr>
        <w:pStyle w:val="cpv"/>
        <w:widowControl/>
        <w:jc w:val="center"/>
        <w:rPr>
          <w:rFonts w:ascii="Arial" w:hAnsi="Arial" w:cs="Arial"/>
          <w:b/>
          <w:sz w:val="32"/>
        </w:rPr>
      </w:pPr>
    </w:p>
    <w:p w14:paraId="6B46C5F6" w14:textId="77777777" w:rsidR="00291B59" w:rsidRDefault="00291B59">
      <w:pPr>
        <w:pStyle w:val="cpv"/>
        <w:widowControl/>
        <w:jc w:val="center"/>
        <w:rPr>
          <w:rFonts w:ascii="Arial" w:hAnsi="Arial" w:cs="Arial"/>
          <w:b/>
          <w:sz w:val="32"/>
        </w:rPr>
      </w:pPr>
    </w:p>
    <w:p w14:paraId="15254D3B" w14:textId="77777777" w:rsidR="00291B59" w:rsidRDefault="00291B59">
      <w:pPr>
        <w:pStyle w:val="cpv"/>
        <w:widowControl/>
        <w:jc w:val="center"/>
        <w:rPr>
          <w:rFonts w:ascii="Arial" w:hAnsi="Arial" w:cs="Arial"/>
          <w:b/>
          <w:sz w:val="32"/>
        </w:rPr>
      </w:pPr>
    </w:p>
    <w:p w14:paraId="53108269" w14:textId="77777777" w:rsidR="00291B59" w:rsidRDefault="00291B59">
      <w:pPr>
        <w:pStyle w:val="cpv"/>
        <w:widowControl/>
        <w:jc w:val="center"/>
        <w:rPr>
          <w:rFonts w:ascii="Arial" w:hAnsi="Arial" w:cs="Arial"/>
          <w:b/>
          <w:sz w:val="32"/>
        </w:rPr>
      </w:pPr>
    </w:p>
    <w:p w14:paraId="3B67D5E7" w14:textId="77777777" w:rsidR="00291B59" w:rsidRPr="00D80990" w:rsidRDefault="00291B59">
      <w:pPr>
        <w:pStyle w:val="cpv"/>
        <w:widowControl/>
        <w:jc w:val="center"/>
        <w:rPr>
          <w:rFonts w:ascii="Arial" w:hAnsi="Arial" w:cs="Arial"/>
          <w:b/>
          <w:sz w:val="32"/>
        </w:rPr>
      </w:pPr>
    </w:p>
    <w:p w14:paraId="1985DE01" w14:textId="77777777" w:rsidR="00B87215" w:rsidRDefault="00B87215">
      <w:pPr>
        <w:pStyle w:val="cpv"/>
        <w:widowControl/>
        <w:jc w:val="center"/>
        <w:rPr>
          <w:rFonts w:ascii="Arial" w:hAnsi="Arial" w:cs="Arial"/>
          <w:b/>
          <w:sz w:val="32"/>
        </w:rPr>
      </w:pPr>
      <w:r>
        <w:rPr>
          <w:rFonts w:ascii="Arial" w:hAnsi="Arial" w:cs="Arial"/>
          <w:b/>
          <w:sz w:val="32"/>
        </w:rPr>
        <w:br w:type="page"/>
      </w:r>
    </w:p>
    <w:p w14:paraId="3FA29319" w14:textId="77777777" w:rsidR="009F6E3E" w:rsidRPr="00D80990" w:rsidRDefault="007F766F">
      <w:pPr>
        <w:pStyle w:val="cpv"/>
        <w:widowControl/>
        <w:jc w:val="center"/>
        <w:rPr>
          <w:rFonts w:ascii="Arial" w:hAnsi="Arial" w:cs="Arial"/>
          <w:b/>
          <w:sz w:val="32"/>
        </w:rPr>
      </w:pPr>
      <w:r w:rsidRPr="00D80990">
        <w:rPr>
          <w:rFonts w:ascii="Arial" w:hAnsi="Arial" w:cs="Arial"/>
          <w:b/>
          <w:sz w:val="32"/>
        </w:rPr>
        <w:lastRenderedPageBreak/>
        <w:t>L’ORGANO DI REVISIONE</w:t>
      </w:r>
    </w:p>
    <w:p w14:paraId="5AF1EB8A" w14:textId="77777777" w:rsidR="009F6E3E" w:rsidRPr="00D80990" w:rsidRDefault="007F766F">
      <w:pPr>
        <w:pStyle w:val="cpv"/>
        <w:widowControl/>
        <w:jc w:val="center"/>
        <w:rPr>
          <w:rFonts w:ascii="Arial" w:hAnsi="Arial" w:cs="Arial"/>
        </w:rPr>
      </w:pPr>
      <w:r w:rsidRPr="00D80990">
        <w:rPr>
          <w:rFonts w:ascii="Arial" w:hAnsi="Arial" w:cs="Arial"/>
          <w:b/>
        </w:rPr>
        <w:t>Verbale n. ….. del ……..</w:t>
      </w:r>
    </w:p>
    <w:p w14:paraId="0DE5F596" w14:textId="77777777" w:rsidR="009F6E3E" w:rsidRPr="00D80990" w:rsidRDefault="007F766F">
      <w:pPr>
        <w:pStyle w:val="LIV2"/>
        <w:widowControl/>
        <w:spacing w:after="0"/>
        <w:jc w:val="center"/>
        <w:rPr>
          <w:rFonts w:ascii="Arial" w:hAnsi="Arial" w:cs="Arial"/>
          <w:sz w:val="24"/>
        </w:rPr>
      </w:pPr>
      <w:r w:rsidRPr="00D80990">
        <w:rPr>
          <w:rFonts w:ascii="Arial" w:hAnsi="Arial" w:cs="Arial"/>
          <w:sz w:val="24"/>
        </w:rPr>
        <w:t>PARERE SUL BILANCIO DI PREVISIONE 201</w:t>
      </w:r>
      <w:r w:rsidR="008C6354" w:rsidRPr="00D80990">
        <w:rPr>
          <w:rFonts w:ascii="Arial" w:hAnsi="Arial" w:cs="Arial"/>
          <w:sz w:val="24"/>
        </w:rPr>
        <w:t>9</w:t>
      </w:r>
      <w:r w:rsidRPr="00D80990">
        <w:rPr>
          <w:rFonts w:ascii="Arial" w:hAnsi="Arial" w:cs="Arial"/>
          <w:sz w:val="24"/>
        </w:rPr>
        <w:t>-202</w:t>
      </w:r>
      <w:r w:rsidR="008C6354" w:rsidRPr="00D80990">
        <w:rPr>
          <w:rFonts w:ascii="Arial" w:hAnsi="Arial" w:cs="Arial"/>
          <w:sz w:val="24"/>
        </w:rPr>
        <w:t>1</w:t>
      </w:r>
    </w:p>
    <w:p w14:paraId="4A0B36E9" w14:textId="77777777" w:rsidR="009F6E3E" w:rsidRPr="00D80990" w:rsidRDefault="007F766F">
      <w:pPr>
        <w:pStyle w:val="cpv"/>
        <w:widowControl/>
        <w:tabs>
          <w:tab w:val="left" w:pos="6652"/>
        </w:tabs>
        <w:spacing w:before="260"/>
        <w:rPr>
          <w:rFonts w:ascii="Arial" w:hAnsi="Arial" w:cs="Arial"/>
          <w:sz w:val="22"/>
          <w:szCs w:val="22"/>
        </w:rPr>
      </w:pPr>
      <w:r w:rsidRPr="00D80990">
        <w:rPr>
          <w:rFonts w:ascii="Arial" w:hAnsi="Arial" w:cs="Arial"/>
          <w:sz w:val="22"/>
          <w:szCs w:val="22"/>
        </w:rPr>
        <w:t>Premesso che l'organo di revisione ha:</w:t>
      </w:r>
    </w:p>
    <w:p w14:paraId="2B46640F" w14:textId="77777777"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esaminato la proposta di bilancio di previsione 201</w:t>
      </w:r>
      <w:r w:rsidR="008C6354" w:rsidRPr="00D80990">
        <w:rPr>
          <w:rFonts w:ascii="Arial" w:hAnsi="Arial" w:cs="Arial"/>
          <w:sz w:val="22"/>
          <w:szCs w:val="22"/>
        </w:rPr>
        <w:t>9</w:t>
      </w:r>
      <w:r w:rsidRPr="00D80990">
        <w:rPr>
          <w:rFonts w:ascii="Arial" w:hAnsi="Arial" w:cs="Arial"/>
          <w:sz w:val="22"/>
          <w:szCs w:val="22"/>
        </w:rPr>
        <w:t>-202</w:t>
      </w:r>
      <w:r w:rsidR="008C6354" w:rsidRPr="00D80990">
        <w:rPr>
          <w:rFonts w:ascii="Arial" w:hAnsi="Arial" w:cs="Arial"/>
          <w:sz w:val="22"/>
          <w:szCs w:val="22"/>
        </w:rPr>
        <w:t>1</w:t>
      </w:r>
      <w:r w:rsidRPr="00D80990">
        <w:rPr>
          <w:rFonts w:ascii="Arial" w:hAnsi="Arial" w:cs="Arial"/>
          <w:sz w:val="22"/>
          <w:szCs w:val="22"/>
        </w:rPr>
        <w:t>, unitamente agli allegati di legge;</w:t>
      </w:r>
    </w:p>
    <w:p w14:paraId="46795E01" w14:textId="77777777"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 xml:space="preserve">visto il </w:t>
      </w:r>
      <w:r w:rsidRPr="00EA4A99">
        <w:rPr>
          <w:rStyle w:val="Collegamentoipertestuale"/>
          <w:rFonts w:ascii="Arial" w:hAnsi="Arial" w:cs="Arial"/>
          <w:color w:val="auto"/>
          <w:sz w:val="22"/>
          <w:szCs w:val="22"/>
          <w:u w:val="none"/>
        </w:rPr>
        <w:t>D</w:t>
      </w:r>
      <w:r w:rsidR="00E90960" w:rsidRPr="00EA4A99">
        <w:rPr>
          <w:rStyle w:val="Collegamentoipertestuale"/>
          <w:rFonts w:ascii="Arial" w:hAnsi="Arial" w:cs="Arial"/>
          <w:color w:val="auto"/>
          <w:sz w:val="22"/>
          <w:szCs w:val="22"/>
          <w:u w:val="none"/>
        </w:rPr>
        <w:t>ecreto  Legislativo</w:t>
      </w:r>
      <w:r w:rsidRPr="00EA4A99">
        <w:rPr>
          <w:rStyle w:val="Collegamentoipertestuale"/>
          <w:rFonts w:ascii="Arial" w:hAnsi="Arial" w:cs="Arial"/>
          <w:color w:val="auto"/>
          <w:sz w:val="22"/>
          <w:szCs w:val="22"/>
          <w:u w:val="none"/>
        </w:rPr>
        <w:t xml:space="preserve"> 1</w:t>
      </w:r>
      <w:r w:rsidR="00E90960" w:rsidRPr="00EA4A99">
        <w:rPr>
          <w:rStyle w:val="Collegamentoipertestuale"/>
          <w:rFonts w:ascii="Arial" w:hAnsi="Arial" w:cs="Arial"/>
          <w:color w:val="auto"/>
          <w:sz w:val="22"/>
          <w:szCs w:val="22"/>
          <w:u w:val="none"/>
        </w:rPr>
        <w:t>8 agosto 2000</w:t>
      </w:r>
      <w:r w:rsidRPr="00EA4A99">
        <w:rPr>
          <w:rStyle w:val="Collegamentoipertestuale"/>
          <w:rFonts w:ascii="Arial" w:hAnsi="Arial" w:cs="Arial"/>
          <w:color w:val="auto"/>
          <w:sz w:val="22"/>
          <w:szCs w:val="22"/>
          <w:u w:val="none"/>
        </w:rPr>
        <w:t xml:space="preserve"> n. 267</w:t>
      </w:r>
      <w:r w:rsidRPr="00D80990">
        <w:rPr>
          <w:rFonts w:ascii="Arial" w:hAnsi="Arial" w:cs="Arial"/>
          <w:sz w:val="22"/>
          <w:szCs w:val="22"/>
        </w:rPr>
        <w:t>«Testo unico delle leggi sull'ordinamento degli enti locali» (</w:t>
      </w:r>
      <w:hyperlink r:id="rId10" w:history="1">
        <w:r w:rsidRPr="00D80990">
          <w:rPr>
            <w:rFonts w:ascii="Arial" w:hAnsi="Arial" w:cs="Arial"/>
            <w:sz w:val="22"/>
            <w:szCs w:val="22"/>
          </w:rPr>
          <w:t>TUEL</w:t>
        </w:r>
      </w:hyperlink>
      <w:r w:rsidRPr="00D80990">
        <w:rPr>
          <w:rFonts w:ascii="Arial" w:hAnsi="Arial" w:cs="Arial"/>
          <w:sz w:val="22"/>
          <w:szCs w:val="22"/>
        </w:rPr>
        <w:t>);</w:t>
      </w:r>
    </w:p>
    <w:p w14:paraId="39181BF0" w14:textId="77777777"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 xml:space="preserve">visto il </w:t>
      </w:r>
      <w:r w:rsidR="00E90960" w:rsidRPr="00EA4A99">
        <w:rPr>
          <w:rStyle w:val="Collegamentoipertestuale"/>
          <w:rFonts w:ascii="Arial" w:hAnsi="Arial" w:cs="Arial"/>
          <w:color w:val="auto"/>
          <w:sz w:val="22"/>
          <w:szCs w:val="22"/>
          <w:u w:val="none"/>
        </w:rPr>
        <w:t>Decreto legislativodel 23 giugno 2011 n.</w:t>
      </w:r>
      <w:r w:rsidRPr="00EA4A99">
        <w:rPr>
          <w:rStyle w:val="Collegamentoipertestuale"/>
          <w:rFonts w:ascii="Arial" w:hAnsi="Arial" w:cs="Arial"/>
          <w:color w:val="auto"/>
          <w:sz w:val="22"/>
          <w:szCs w:val="22"/>
          <w:u w:val="none"/>
        </w:rPr>
        <w:t>118</w:t>
      </w:r>
      <w:r w:rsidRPr="00D80990">
        <w:rPr>
          <w:rFonts w:ascii="Arial" w:hAnsi="Arial" w:cs="Arial"/>
          <w:sz w:val="22"/>
          <w:szCs w:val="22"/>
        </w:rPr>
        <w:t xml:space="preserve">e la versione aggiornata dei </w:t>
      </w:r>
      <w:r w:rsidRPr="00EA4A99">
        <w:rPr>
          <w:rStyle w:val="Collegamentoipertestuale"/>
          <w:rFonts w:ascii="Arial" w:hAnsi="Arial" w:cs="Arial"/>
          <w:color w:val="auto"/>
          <w:sz w:val="22"/>
          <w:szCs w:val="22"/>
          <w:u w:val="none"/>
        </w:rPr>
        <w:t>principi contabili</w:t>
      </w:r>
      <w:r w:rsidRPr="00D80990">
        <w:rPr>
          <w:rFonts w:ascii="Arial" w:hAnsi="Arial" w:cs="Arial"/>
          <w:sz w:val="22"/>
          <w:szCs w:val="22"/>
        </w:rPr>
        <w:t>generali ed applicati pubblicati sul sito ARCONET- Armonizzazione contabile enti territoriali;</w:t>
      </w:r>
    </w:p>
    <w:p w14:paraId="6CF49C47" w14:textId="77777777" w:rsidR="009F6E3E" w:rsidRPr="00D80990" w:rsidRDefault="007F766F">
      <w:pPr>
        <w:pStyle w:val="CPVC"/>
        <w:widowControl/>
        <w:spacing w:after="0"/>
        <w:rPr>
          <w:rFonts w:ascii="Arial" w:hAnsi="Arial" w:cs="Arial"/>
          <w:b/>
          <w:sz w:val="22"/>
          <w:szCs w:val="22"/>
        </w:rPr>
      </w:pPr>
      <w:r w:rsidRPr="00D80990">
        <w:rPr>
          <w:rFonts w:ascii="Arial" w:hAnsi="Arial" w:cs="Arial"/>
          <w:b/>
          <w:sz w:val="22"/>
          <w:szCs w:val="22"/>
        </w:rPr>
        <w:t>presenta</w:t>
      </w:r>
    </w:p>
    <w:p w14:paraId="7F1C44AD" w14:textId="77777777" w:rsidR="009F6E3E" w:rsidRPr="00D80990" w:rsidRDefault="007F766F">
      <w:pPr>
        <w:pStyle w:val="cpv"/>
        <w:widowControl/>
        <w:spacing w:before="260"/>
        <w:rPr>
          <w:rFonts w:ascii="Arial" w:hAnsi="Arial" w:cs="Arial"/>
          <w:sz w:val="22"/>
          <w:szCs w:val="22"/>
        </w:rPr>
      </w:pPr>
      <w:r w:rsidRPr="00D80990">
        <w:rPr>
          <w:rFonts w:ascii="Arial" w:hAnsi="Arial" w:cs="Arial"/>
          <w:sz w:val="22"/>
          <w:szCs w:val="22"/>
        </w:rPr>
        <w:t>l'allegata relazione quale parere sulla proposta di bilancio di previsione per gli esercizi 201</w:t>
      </w:r>
      <w:r w:rsidR="008C6354" w:rsidRPr="00D80990">
        <w:rPr>
          <w:rFonts w:ascii="Arial" w:hAnsi="Arial" w:cs="Arial"/>
          <w:sz w:val="22"/>
          <w:szCs w:val="22"/>
        </w:rPr>
        <w:t>9</w:t>
      </w:r>
      <w:r w:rsidRPr="00D80990">
        <w:rPr>
          <w:rFonts w:ascii="Arial" w:hAnsi="Arial" w:cs="Arial"/>
          <w:sz w:val="22"/>
          <w:szCs w:val="22"/>
        </w:rPr>
        <w:t>-202</w:t>
      </w:r>
      <w:r w:rsidR="008C6354" w:rsidRPr="00D80990">
        <w:rPr>
          <w:rFonts w:ascii="Arial" w:hAnsi="Arial" w:cs="Arial"/>
          <w:sz w:val="22"/>
          <w:szCs w:val="22"/>
        </w:rPr>
        <w:t>1</w:t>
      </w:r>
      <w:r w:rsidRPr="00D80990">
        <w:rPr>
          <w:rFonts w:ascii="Arial" w:hAnsi="Arial" w:cs="Arial"/>
          <w:sz w:val="22"/>
          <w:szCs w:val="22"/>
        </w:rPr>
        <w:t>, del Comune di ……………………………………. che forma parte integrante e sostanziale del presente verbale.</w:t>
      </w:r>
    </w:p>
    <w:p w14:paraId="7A83AED5" w14:textId="77777777" w:rsidR="009F6E3E" w:rsidRPr="00D80990" w:rsidRDefault="007F766F">
      <w:pPr>
        <w:pStyle w:val="cpv"/>
        <w:widowControl/>
        <w:spacing w:before="260"/>
        <w:rPr>
          <w:rFonts w:ascii="Arial" w:hAnsi="Arial" w:cs="Arial"/>
          <w:sz w:val="22"/>
          <w:szCs w:val="22"/>
        </w:rPr>
      </w:pPr>
      <w:r w:rsidRPr="00D80990">
        <w:rPr>
          <w:rFonts w:ascii="Arial" w:hAnsi="Arial" w:cs="Arial"/>
          <w:sz w:val="22"/>
          <w:szCs w:val="22"/>
        </w:rPr>
        <w:t xml:space="preserve">lì ……..  </w:t>
      </w:r>
      <w:r w:rsidRPr="00D80990">
        <w:rPr>
          <w:rFonts w:ascii="Arial" w:hAnsi="Arial" w:cs="Arial"/>
          <w:sz w:val="22"/>
          <w:szCs w:val="22"/>
        </w:rPr>
        <w:tab/>
      </w:r>
      <w:r w:rsidRPr="00D80990">
        <w:rPr>
          <w:rFonts w:ascii="Arial" w:hAnsi="Arial" w:cs="Arial"/>
          <w:sz w:val="22"/>
          <w:szCs w:val="22"/>
        </w:rPr>
        <w:tab/>
      </w:r>
      <w:r w:rsidRPr="00D80990">
        <w:rPr>
          <w:rFonts w:ascii="Arial" w:hAnsi="Arial" w:cs="Arial"/>
          <w:sz w:val="22"/>
          <w:szCs w:val="22"/>
        </w:rPr>
        <w:tab/>
      </w:r>
    </w:p>
    <w:p w14:paraId="28D729AD" w14:textId="77777777" w:rsidR="009F6E3E" w:rsidRPr="00D80990" w:rsidRDefault="009F6E3E">
      <w:pPr>
        <w:pStyle w:val="cpv"/>
        <w:widowControl/>
        <w:spacing w:before="260"/>
        <w:rPr>
          <w:rFonts w:ascii="Arial" w:hAnsi="Arial" w:cs="Arial"/>
          <w:sz w:val="24"/>
        </w:rPr>
      </w:pPr>
    </w:p>
    <w:p w14:paraId="616694E8" w14:textId="77777777" w:rsidR="009F6E3E" w:rsidRPr="00D80990" w:rsidRDefault="007F766F" w:rsidP="00291B59">
      <w:pPr>
        <w:pStyle w:val="cpv"/>
        <w:widowControl/>
        <w:spacing w:before="260"/>
        <w:jc w:val="left"/>
        <w:rPr>
          <w:rFonts w:ascii="Arial" w:hAnsi="Arial" w:cs="Arial"/>
          <w:sz w:val="24"/>
        </w:rPr>
      </w:pPr>
      <w:r w:rsidRPr="00D80990">
        <w:rPr>
          <w:rFonts w:ascii="Arial" w:hAnsi="Arial" w:cs="Arial"/>
          <w:sz w:val="24"/>
        </w:rPr>
        <w:t>L’ORGANO DI REVISIONE</w:t>
      </w:r>
    </w:p>
    <w:p w14:paraId="376B77ED" w14:textId="77777777" w:rsidR="00413D3B" w:rsidRPr="00D80990" w:rsidRDefault="00413D3B" w:rsidP="00291B59">
      <w:pPr>
        <w:pStyle w:val="Titolo"/>
        <w:jc w:val="left"/>
        <w:rPr>
          <w:b w:val="0"/>
          <w:sz w:val="28"/>
        </w:rPr>
      </w:pPr>
    </w:p>
    <w:p w14:paraId="30E48B4D" w14:textId="77777777" w:rsidR="009F6E3E" w:rsidRPr="00D80990" w:rsidRDefault="00413D3B" w:rsidP="00291B59">
      <w:pPr>
        <w:pStyle w:val="Titolo"/>
        <w:jc w:val="left"/>
        <w:rPr>
          <w:b w:val="0"/>
          <w:sz w:val="28"/>
        </w:rPr>
      </w:pPr>
      <w:r w:rsidRPr="00D80990">
        <w:rPr>
          <w:b w:val="0"/>
          <w:sz w:val="28"/>
        </w:rPr>
        <w:t>__</w:t>
      </w:r>
      <w:r w:rsidR="007F766F" w:rsidRPr="00D80990">
        <w:rPr>
          <w:b w:val="0"/>
          <w:sz w:val="28"/>
        </w:rPr>
        <w:t>________________</w:t>
      </w:r>
    </w:p>
    <w:p w14:paraId="4AC0D865" w14:textId="77777777" w:rsidR="009F6E3E" w:rsidRPr="00D80990" w:rsidRDefault="00413D3B" w:rsidP="00291B59">
      <w:pPr>
        <w:pStyle w:val="Titolo"/>
        <w:jc w:val="left"/>
        <w:rPr>
          <w:b w:val="0"/>
          <w:sz w:val="28"/>
        </w:rPr>
      </w:pPr>
      <w:r w:rsidRPr="00D80990">
        <w:rPr>
          <w:b w:val="0"/>
          <w:sz w:val="28"/>
        </w:rPr>
        <w:t>_</w:t>
      </w:r>
      <w:r w:rsidR="007F766F" w:rsidRPr="00D80990">
        <w:rPr>
          <w:b w:val="0"/>
          <w:sz w:val="28"/>
        </w:rPr>
        <w:t>_________________</w:t>
      </w:r>
    </w:p>
    <w:p w14:paraId="633A8935" w14:textId="77777777" w:rsidR="009F6E3E" w:rsidRPr="00D80990" w:rsidRDefault="00413D3B" w:rsidP="00291B59">
      <w:pPr>
        <w:pStyle w:val="Titolo"/>
        <w:jc w:val="left"/>
        <w:rPr>
          <w:b w:val="0"/>
          <w:sz w:val="28"/>
        </w:rPr>
      </w:pPr>
      <w:r w:rsidRPr="00D80990">
        <w:rPr>
          <w:b w:val="0"/>
          <w:sz w:val="28"/>
        </w:rPr>
        <w:t>_</w:t>
      </w:r>
      <w:r w:rsidR="007F766F" w:rsidRPr="00D80990">
        <w:rPr>
          <w:b w:val="0"/>
          <w:sz w:val="28"/>
        </w:rPr>
        <w:t>_________________</w:t>
      </w:r>
    </w:p>
    <w:p w14:paraId="57AEB362"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64249D7A"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6BBA3A38"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62585B92"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72BDD929"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7840F406"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6EDE8D60"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6AE29E2C"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12DAF965"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759E5175"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p w14:paraId="55A7F76E" w14:textId="77777777" w:rsidR="009F6E3E" w:rsidRPr="00D80990" w:rsidRDefault="009F6E3E">
      <w:pPr>
        <w:tabs>
          <w:tab w:val="left" w:pos="1275"/>
          <w:tab w:val="left" w:pos="1560"/>
          <w:tab w:val="left" w:leader="dot" w:pos="8789"/>
          <w:tab w:val="right" w:pos="9639"/>
        </w:tabs>
        <w:spacing w:line="360" w:lineRule="auto"/>
        <w:rPr>
          <w:rFonts w:ascii="Arial" w:hAnsi="Arial" w:cs="Arial"/>
        </w:rPr>
      </w:pPr>
    </w:p>
    <w:sdt>
      <w:sdtPr>
        <w:rPr>
          <w:rFonts w:ascii="Arial" w:eastAsia="Times New Roman" w:hAnsi="Arial" w:cs="Arial"/>
          <w:b w:val="0"/>
          <w:bCs w:val="0"/>
          <w:color w:val="auto"/>
          <w:sz w:val="24"/>
          <w:szCs w:val="24"/>
        </w:rPr>
        <w:id w:val="-1319411049"/>
        <w:docPartObj>
          <w:docPartGallery w:val="Table of Contents"/>
          <w:docPartUnique/>
        </w:docPartObj>
      </w:sdtPr>
      <w:sdtContent>
        <w:p w14:paraId="27CC0F9A" w14:textId="77777777" w:rsidR="009F6E3E" w:rsidRPr="00D80990" w:rsidRDefault="007F766F">
          <w:pPr>
            <w:pStyle w:val="Titolosommario"/>
            <w:rPr>
              <w:rFonts w:ascii="Arial" w:hAnsi="Arial" w:cs="Arial"/>
            </w:rPr>
          </w:pPr>
          <w:r w:rsidRPr="00D80990">
            <w:rPr>
              <w:rFonts w:ascii="Arial" w:hAnsi="Arial" w:cs="Arial"/>
            </w:rPr>
            <w:t>Sommario</w:t>
          </w:r>
        </w:p>
        <w:p w14:paraId="5A7F5C36" w14:textId="77777777" w:rsidR="00310840" w:rsidRDefault="00213664">
          <w:pPr>
            <w:pStyle w:val="Sommario1"/>
            <w:tabs>
              <w:tab w:val="right" w:leader="dot" w:pos="9628"/>
            </w:tabs>
            <w:rPr>
              <w:rFonts w:asciiTheme="minorHAnsi" w:eastAsiaTheme="minorEastAsia" w:hAnsiTheme="minorHAnsi" w:cstheme="minorBidi"/>
              <w:noProof/>
              <w:sz w:val="22"/>
              <w:szCs w:val="22"/>
            </w:rPr>
          </w:pPr>
          <w:r w:rsidRPr="00D80990">
            <w:rPr>
              <w:rFonts w:ascii="Arial" w:hAnsi="Arial" w:cs="Arial"/>
            </w:rPr>
            <w:fldChar w:fldCharType="begin"/>
          </w:r>
          <w:r w:rsidR="007F766F" w:rsidRPr="00D80990">
            <w:rPr>
              <w:rFonts w:ascii="Arial" w:hAnsi="Arial" w:cs="Arial"/>
            </w:rPr>
            <w:instrText xml:space="preserve"> TOC \o "1-3" \h \z \u </w:instrText>
          </w:r>
          <w:r w:rsidRPr="00D80990">
            <w:rPr>
              <w:rFonts w:ascii="Arial" w:hAnsi="Arial" w:cs="Arial"/>
            </w:rPr>
            <w:fldChar w:fldCharType="separate"/>
          </w:r>
          <w:hyperlink w:anchor="_Toc535487596" w:history="1">
            <w:r w:rsidR="00310840" w:rsidRPr="00F54D37">
              <w:rPr>
                <w:rStyle w:val="Collegamentoipertestuale"/>
                <w:bCs/>
                <w:smallCaps/>
                <w:noProof/>
                <w:spacing w:val="5"/>
              </w:rPr>
              <w:t>PREMESSA E VERIFICHE PRELIMINARI</w:t>
            </w:r>
            <w:r w:rsidR="00310840">
              <w:rPr>
                <w:noProof/>
                <w:webHidden/>
              </w:rPr>
              <w:tab/>
            </w:r>
            <w:r>
              <w:rPr>
                <w:noProof/>
                <w:webHidden/>
              </w:rPr>
              <w:fldChar w:fldCharType="begin"/>
            </w:r>
            <w:r w:rsidR="00310840">
              <w:rPr>
                <w:noProof/>
                <w:webHidden/>
              </w:rPr>
              <w:instrText xml:space="preserve"> PAGEREF _Toc535487596 \h </w:instrText>
            </w:r>
            <w:r>
              <w:rPr>
                <w:noProof/>
                <w:webHidden/>
              </w:rPr>
            </w:r>
            <w:r>
              <w:rPr>
                <w:noProof/>
                <w:webHidden/>
              </w:rPr>
              <w:fldChar w:fldCharType="separate"/>
            </w:r>
            <w:r w:rsidR="00253ADC">
              <w:rPr>
                <w:noProof/>
                <w:webHidden/>
              </w:rPr>
              <w:t>6</w:t>
            </w:r>
            <w:r>
              <w:rPr>
                <w:noProof/>
                <w:webHidden/>
              </w:rPr>
              <w:fldChar w:fldCharType="end"/>
            </w:r>
          </w:hyperlink>
        </w:p>
        <w:p w14:paraId="63017894"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597" w:history="1">
            <w:r w:rsidR="00310840" w:rsidRPr="00F54D37">
              <w:rPr>
                <w:rStyle w:val="Collegamentoipertestuale"/>
                <w:noProof/>
              </w:rPr>
              <w:t>ACCERTAMENTI PRELIMINARI</w:t>
            </w:r>
            <w:r w:rsidR="00310840">
              <w:rPr>
                <w:noProof/>
                <w:webHidden/>
              </w:rPr>
              <w:tab/>
            </w:r>
            <w:r w:rsidR="00213664">
              <w:rPr>
                <w:noProof/>
                <w:webHidden/>
              </w:rPr>
              <w:fldChar w:fldCharType="begin"/>
            </w:r>
            <w:r w:rsidR="00310840">
              <w:rPr>
                <w:noProof/>
                <w:webHidden/>
              </w:rPr>
              <w:instrText xml:space="preserve"> PAGEREF _Toc535487597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14:paraId="4A7BB45C"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598" w:history="1">
            <w:r w:rsidR="00310840" w:rsidRPr="00F54D37">
              <w:rPr>
                <w:rStyle w:val="Collegamentoipertestuale"/>
                <w:noProof/>
              </w:rPr>
              <w:t>VERIFICHE DEGLI EQUILIBRI</w:t>
            </w:r>
            <w:r w:rsidR="00310840">
              <w:rPr>
                <w:noProof/>
                <w:webHidden/>
              </w:rPr>
              <w:tab/>
            </w:r>
            <w:r w:rsidR="00213664">
              <w:rPr>
                <w:noProof/>
                <w:webHidden/>
              </w:rPr>
              <w:fldChar w:fldCharType="begin"/>
            </w:r>
            <w:r w:rsidR="00310840">
              <w:rPr>
                <w:noProof/>
                <w:webHidden/>
              </w:rPr>
              <w:instrText xml:space="preserve"> PAGEREF _Toc535487598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14:paraId="06C30B29"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599" w:history="1">
            <w:r w:rsidR="00310840" w:rsidRPr="00F54D37">
              <w:rPr>
                <w:rStyle w:val="Collegamentoipertestuale"/>
                <w:noProof/>
              </w:rPr>
              <w:t>GESTIONE DELL’ESERCIZIO 2018</w:t>
            </w:r>
            <w:r w:rsidR="00310840">
              <w:rPr>
                <w:noProof/>
                <w:webHidden/>
              </w:rPr>
              <w:tab/>
            </w:r>
            <w:r w:rsidR="00213664">
              <w:rPr>
                <w:noProof/>
                <w:webHidden/>
              </w:rPr>
              <w:fldChar w:fldCharType="begin"/>
            </w:r>
            <w:r w:rsidR="00310840">
              <w:rPr>
                <w:noProof/>
                <w:webHidden/>
              </w:rPr>
              <w:instrText xml:space="preserve"> PAGEREF _Toc535487599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14:paraId="038FE04A"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00" w:history="1">
            <w:r w:rsidR="00310840" w:rsidRPr="00F54D37">
              <w:rPr>
                <w:rStyle w:val="Collegamentoipertestuale"/>
                <w:noProof/>
              </w:rPr>
              <w:t>BILANCIO DI PREVISIONE 2019-2021</w:t>
            </w:r>
            <w:r w:rsidR="00310840">
              <w:rPr>
                <w:noProof/>
                <w:webHidden/>
              </w:rPr>
              <w:tab/>
            </w:r>
            <w:r w:rsidR="00213664">
              <w:rPr>
                <w:noProof/>
                <w:webHidden/>
              </w:rPr>
              <w:fldChar w:fldCharType="begin"/>
            </w:r>
            <w:r w:rsidR="00310840">
              <w:rPr>
                <w:noProof/>
                <w:webHidden/>
              </w:rPr>
              <w:instrText xml:space="preserve"> PAGEREF _Toc535487600 \h </w:instrText>
            </w:r>
            <w:r w:rsidR="00213664">
              <w:rPr>
                <w:noProof/>
                <w:webHidden/>
              </w:rPr>
            </w:r>
            <w:r w:rsidR="00213664">
              <w:rPr>
                <w:noProof/>
                <w:webHidden/>
              </w:rPr>
              <w:fldChar w:fldCharType="separate"/>
            </w:r>
            <w:r w:rsidR="00253ADC">
              <w:rPr>
                <w:noProof/>
                <w:webHidden/>
              </w:rPr>
              <w:t>11</w:t>
            </w:r>
            <w:r w:rsidR="00213664">
              <w:rPr>
                <w:noProof/>
                <w:webHidden/>
              </w:rPr>
              <w:fldChar w:fldCharType="end"/>
            </w:r>
          </w:hyperlink>
        </w:p>
        <w:p w14:paraId="419C39CB"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1" w:history="1">
            <w:r w:rsidR="00310840" w:rsidRPr="00F54D37">
              <w:rPr>
                <w:rStyle w:val="Collegamentoipertestuale"/>
                <w:noProof/>
              </w:rPr>
              <w:t>Riepilogo generale entrate e spese per titoli</w:t>
            </w:r>
            <w:r w:rsidR="00310840">
              <w:rPr>
                <w:noProof/>
                <w:webHidden/>
              </w:rPr>
              <w:tab/>
            </w:r>
            <w:r w:rsidR="00213664">
              <w:rPr>
                <w:noProof/>
                <w:webHidden/>
              </w:rPr>
              <w:fldChar w:fldCharType="begin"/>
            </w:r>
            <w:r w:rsidR="00310840">
              <w:rPr>
                <w:noProof/>
                <w:webHidden/>
              </w:rPr>
              <w:instrText xml:space="preserve"> PAGEREF _Toc535487601 \h </w:instrText>
            </w:r>
            <w:r w:rsidR="00213664">
              <w:rPr>
                <w:noProof/>
                <w:webHidden/>
              </w:rPr>
            </w:r>
            <w:r w:rsidR="00213664">
              <w:rPr>
                <w:noProof/>
                <w:webHidden/>
              </w:rPr>
              <w:fldChar w:fldCharType="separate"/>
            </w:r>
            <w:r w:rsidR="00253ADC">
              <w:rPr>
                <w:noProof/>
                <w:webHidden/>
              </w:rPr>
              <w:t>11</w:t>
            </w:r>
            <w:r w:rsidR="00213664">
              <w:rPr>
                <w:noProof/>
                <w:webHidden/>
              </w:rPr>
              <w:fldChar w:fldCharType="end"/>
            </w:r>
          </w:hyperlink>
        </w:p>
        <w:p w14:paraId="21620274"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2" w:history="1">
            <w:r w:rsidR="00310840" w:rsidRPr="00F54D37">
              <w:rPr>
                <w:rStyle w:val="Collegamentoipertestuale"/>
                <w:noProof/>
              </w:rPr>
              <w:t>Fondo pluriennale vincolato (FPV)</w:t>
            </w:r>
            <w:r w:rsidR="00310840">
              <w:rPr>
                <w:noProof/>
                <w:webHidden/>
              </w:rPr>
              <w:tab/>
            </w:r>
            <w:r w:rsidR="00213664">
              <w:rPr>
                <w:noProof/>
                <w:webHidden/>
              </w:rPr>
              <w:fldChar w:fldCharType="begin"/>
            </w:r>
            <w:r w:rsidR="00310840">
              <w:rPr>
                <w:noProof/>
                <w:webHidden/>
              </w:rPr>
              <w:instrText xml:space="preserve"> PAGEREF _Toc535487602 \h </w:instrText>
            </w:r>
            <w:r w:rsidR="00213664">
              <w:rPr>
                <w:noProof/>
                <w:webHidden/>
              </w:rPr>
            </w:r>
            <w:r w:rsidR="00213664">
              <w:rPr>
                <w:noProof/>
                <w:webHidden/>
              </w:rPr>
              <w:fldChar w:fldCharType="separate"/>
            </w:r>
            <w:r w:rsidR="00253ADC">
              <w:rPr>
                <w:noProof/>
                <w:webHidden/>
              </w:rPr>
              <w:t>15</w:t>
            </w:r>
            <w:r w:rsidR="00213664">
              <w:rPr>
                <w:noProof/>
                <w:webHidden/>
              </w:rPr>
              <w:fldChar w:fldCharType="end"/>
            </w:r>
          </w:hyperlink>
        </w:p>
        <w:p w14:paraId="4804F096"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3" w:history="1">
            <w:r w:rsidR="00310840" w:rsidRPr="00F54D37">
              <w:rPr>
                <w:rStyle w:val="Collegamentoipertestuale"/>
                <w:noProof/>
              </w:rPr>
              <w:t>Previsioni di cassa</w:t>
            </w:r>
            <w:r w:rsidR="00310840">
              <w:rPr>
                <w:noProof/>
                <w:webHidden/>
              </w:rPr>
              <w:tab/>
            </w:r>
            <w:r w:rsidR="00213664">
              <w:rPr>
                <w:noProof/>
                <w:webHidden/>
              </w:rPr>
              <w:fldChar w:fldCharType="begin"/>
            </w:r>
            <w:r w:rsidR="00310840">
              <w:rPr>
                <w:noProof/>
                <w:webHidden/>
              </w:rPr>
              <w:instrText xml:space="preserve"> PAGEREF _Toc535487603 \h </w:instrText>
            </w:r>
            <w:r w:rsidR="00213664">
              <w:rPr>
                <w:noProof/>
                <w:webHidden/>
              </w:rPr>
            </w:r>
            <w:r w:rsidR="00213664">
              <w:rPr>
                <w:noProof/>
                <w:webHidden/>
              </w:rPr>
              <w:fldChar w:fldCharType="separate"/>
            </w:r>
            <w:r w:rsidR="00253ADC">
              <w:rPr>
                <w:noProof/>
                <w:webHidden/>
              </w:rPr>
              <w:t>16</w:t>
            </w:r>
            <w:r w:rsidR="00213664">
              <w:rPr>
                <w:noProof/>
                <w:webHidden/>
              </w:rPr>
              <w:fldChar w:fldCharType="end"/>
            </w:r>
          </w:hyperlink>
        </w:p>
        <w:p w14:paraId="008E792C"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4" w:history="1">
            <w:r w:rsidR="00310840" w:rsidRPr="00F54D37">
              <w:rPr>
                <w:rStyle w:val="Collegamentoipertestuale"/>
                <w:noProof/>
              </w:rPr>
              <w:t>Verifica equilibrio corrente anni 2019-2021</w:t>
            </w:r>
            <w:r w:rsidR="00310840">
              <w:rPr>
                <w:noProof/>
                <w:webHidden/>
              </w:rPr>
              <w:tab/>
            </w:r>
            <w:r w:rsidR="00213664">
              <w:rPr>
                <w:noProof/>
                <w:webHidden/>
              </w:rPr>
              <w:fldChar w:fldCharType="begin"/>
            </w:r>
            <w:r w:rsidR="00310840">
              <w:rPr>
                <w:noProof/>
                <w:webHidden/>
              </w:rPr>
              <w:instrText xml:space="preserve"> PAGEREF _Toc535487604 \h </w:instrText>
            </w:r>
            <w:r w:rsidR="00213664">
              <w:rPr>
                <w:noProof/>
                <w:webHidden/>
              </w:rPr>
            </w:r>
            <w:r w:rsidR="00213664">
              <w:rPr>
                <w:noProof/>
                <w:webHidden/>
              </w:rPr>
              <w:fldChar w:fldCharType="separate"/>
            </w:r>
            <w:r w:rsidR="00253ADC">
              <w:rPr>
                <w:noProof/>
                <w:webHidden/>
              </w:rPr>
              <w:t>18</w:t>
            </w:r>
            <w:r w:rsidR="00213664">
              <w:rPr>
                <w:noProof/>
                <w:webHidden/>
              </w:rPr>
              <w:fldChar w:fldCharType="end"/>
            </w:r>
          </w:hyperlink>
        </w:p>
        <w:p w14:paraId="74CB35D1"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5" w:history="1">
            <w:r w:rsidR="00310840" w:rsidRPr="00F54D37">
              <w:rPr>
                <w:rStyle w:val="Collegamentoipertestuale"/>
                <w:noProof/>
              </w:rPr>
              <w:t>Entrate e spese di carattere non ripetitivo</w:t>
            </w:r>
            <w:r w:rsidR="00310840">
              <w:rPr>
                <w:noProof/>
                <w:webHidden/>
              </w:rPr>
              <w:tab/>
            </w:r>
            <w:r w:rsidR="00213664">
              <w:rPr>
                <w:noProof/>
                <w:webHidden/>
              </w:rPr>
              <w:fldChar w:fldCharType="begin"/>
            </w:r>
            <w:r w:rsidR="00310840">
              <w:rPr>
                <w:noProof/>
                <w:webHidden/>
              </w:rPr>
              <w:instrText xml:space="preserve"> PAGEREF _Toc535487605 \h </w:instrText>
            </w:r>
            <w:r w:rsidR="00213664">
              <w:rPr>
                <w:noProof/>
                <w:webHidden/>
              </w:rPr>
            </w:r>
            <w:r w:rsidR="00213664">
              <w:rPr>
                <w:noProof/>
                <w:webHidden/>
              </w:rPr>
              <w:fldChar w:fldCharType="separate"/>
            </w:r>
            <w:r w:rsidR="00253ADC">
              <w:rPr>
                <w:noProof/>
                <w:webHidden/>
              </w:rPr>
              <w:t>19</w:t>
            </w:r>
            <w:r w:rsidR="00213664">
              <w:rPr>
                <w:noProof/>
                <w:webHidden/>
              </w:rPr>
              <w:fldChar w:fldCharType="end"/>
            </w:r>
          </w:hyperlink>
        </w:p>
        <w:p w14:paraId="32DC92E8"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6" w:history="1">
            <w:r w:rsidR="00310840" w:rsidRPr="00F54D37">
              <w:rPr>
                <w:rStyle w:val="Collegamentoipertestuale"/>
                <w:noProof/>
              </w:rPr>
              <w:t>La nota integrativa</w:t>
            </w:r>
            <w:r w:rsidR="00310840">
              <w:rPr>
                <w:noProof/>
                <w:webHidden/>
              </w:rPr>
              <w:tab/>
            </w:r>
            <w:r w:rsidR="00213664">
              <w:rPr>
                <w:noProof/>
                <w:webHidden/>
              </w:rPr>
              <w:fldChar w:fldCharType="begin"/>
            </w:r>
            <w:r w:rsidR="00310840">
              <w:rPr>
                <w:noProof/>
                <w:webHidden/>
              </w:rPr>
              <w:instrText xml:space="preserve"> PAGEREF _Toc535487606 \h </w:instrText>
            </w:r>
            <w:r w:rsidR="00213664">
              <w:rPr>
                <w:noProof/>
                <w:webHidden/>
              </w:rPr>
            </w:r>
            <w:r w:rsidR="00213664">
              <w:rPr>
                <w:noProof/>
                <w:webHidden/>
              </w:rPr>
              <w:fldChar w:fldCharType="separate"/>
            </w:r>
            <w:r w:rsidR="00253ADC">
              <w:rPr>
                <w:noProof/>
                <w:webHidden/>
              </w:rPr>
              <w:t>21</w:t>
            </w:r>
            <w:r w:rsidR="00213664">
              <w:rPr>
                <w:noProof/>
                <w:webHidden/>
              </w:rPr>
              <w:fldChar w:fldCharType="end"/>
            </w:r>
          </w:hyperlink>
        </w:p>
        <w:p w14:paraId="52FC9696"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07" w:history="1">
            <w:r w:rsidR="00310840" w:rsidRPr="00F54D37">
              <w:rPr>
                <w:rStyle w:val="Collegamentoipertestuale"/>
                <w:noProof/>
              </w:rPr>
              <w:t>VERIFICA COERENZA DELLE PREVISIONI</w:t>
            </w:r>
            <w:r w:rsidR="00310840">
              <w:rPr>
                <w:noProof/>
                <w:webHidden/>
              </w:rPr>
              <w:tab/>
            </w:r>
            <w:r w:rsidR="00213664">
              <w:rPr>
                <w:noProof/>
                <w:webHidden/>
              </w:rPr>
              <w:fldChar w:fldCharType="begin"/>
            </w:r>
            <w:r w:rsidR="00310840">
              <w:rPr>
                <w:noProof/>
                <w:webHidden/>
              </w:rPr>
              <w:instrText xml:space="preserve"> PAGEREF _Toc535487607 \h </w:instrText>
            </w:r>
            <w:r w:rsidR="00213664">
              <w:rPr>
                <w:noProof/>
                <w:webHidden/>
              </w:rPr>
            </w:r>
            <w:r w:rsidR="00213664">
              <w:rPr>
                <w:noProof/>
                <w:webHidden/>
              </w:rPr>
              <w:fldChar w:fldCharType="separate"/>
            </w:r>
            <w:r w:rsidR="00253ADC">
              <w:rPr>
                <w:noProof/>
                <w:webHidden/>
              </w:rPr>
              <w:t>22</w:t>
            </w:r>
            <w:r w:rsidR="00213664">
              <w:rPr>
                <w:noProof/>
                <w:webHidden/>
              </w:rPr>
              <w:fldChar w:fldCharType="end"/>
            </w:r>
          </w:hyperlink>
        </w:p>
        <w:p w14:paraId="3F29DD32"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8" w:history="1">
            <w:r w:rsidR="00310840" w:rsidRPr="00F54D37">
              <w:rPr>
                <w:rStyle w:val="Collegamentoipertestuale"/>
                <w:noProof/>
              </w:rPr>
              <w:t>Verifica della coerenza interna</w:t>
            </w:r>
            <w:r w:rsidR="00310840">
              <w:rPr>
                <w:noProof/>
                <w:webHidden/>
              </w:rPr>
              <w:tab/>
            </w:r>
            <w:r w:rsidR="00213664">
              <w:rPr>
                <w:noProof/>
                <w:webHidden/>
              </w:rPr>
              <w:fldChar w:fldCharType="begin"/>
            </w:r>
            <w:r w:rsidR="00310840">
              <w:rPr>
                <w:noProof/>
                <w:webHidden/>
              </w:rPr>
              <w:instrText xml:space="preserve"> PAGEREF _Toc535487608 \h </w:instrText>
            </w:r>
            <w:r w:rsidR="00213664">
              <w:rPr>
                <w:noProof/>
                <w:webHidden/>
              </w:rPr>
            </w:r>
            <w:r w:rsidR="00213664">
              <w:rPr>
                <w:noProof/>
                <w:webHidden/>
              </w:rPr>
              <w:fldChar w:fldCharType="separate"/>
            </w:r>
            <w:r w:rsidR="00253ADC">
              <w:rPr>
                <w:noProof/>
                <w:webHidden/>
              </w:rPr>
              <w:t>22</w:t>
            </w:r>
            <w:r w:rsidR="00213664">
              <w:rPr>
                <w:noProof/>
                <w:webHidden/>
              </w:rPr>
              <w:fldChar w:fldCharType="end"/>
            </w:r>
          </w:hyperlink>
        </w:p>
        <w:p w14:paraId="4417A5CC"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09" w:history="1">
            <w:r w:rsidR="00310840" w:rsidRPr="00F54D37">
              <w:rPr>
                <w:rStyle w:val="Collegamentoipertestuale"/>
                <w:noProof/>
              </w:rPr>
              <w:t>Verifica della coerenza esterna</w:t>
            </w:r>
            <w:r w:rsidR="00310840">
              <w:rPr>
                <w:noProof/>
                <w:webHidden/>
              </w:rPr>
              <w:tab/>
            </w:r>
            <w:r w:rsidR="00213664">
              <w:rPr>
                <w:noProof/>
                <w:webHidden/>
              </w:rPr>
              <w:fldChar w:fldCharType="begin"/>
            </w:r>
            <w:r w:rsidR="00310840">
              <w:rPr>
                <w:noProof/>
                <w:webHidden/>
              </w:rPr>
              <w:instrText xml:space="preserve"> PAGEREF _Toc535487609 \h </w:instrText>
            </w:r>
            <w:r w:rsidR="00213664">
              <w:rPr>
                <w:noProof/>
                <w:webHidden/>
              </w:rPr>
            </w:r>
            <w:r w:rsidR="00213664">
              <w:rPr>
                <w:noProof/>
                <w:webHidden/>
              </w:rPr>
              <w:fldChar w:fldCharType="separate"/>
            </w:r>
            <w:r w:rsidR="00253ADC">
              <w:rPr>
                <w:noProof/>
                <w:webHidden/>
              </w:rPr>
              <w:t>24</w:t>
            </w:r>
            <w:r w:rsidR="00213664">
              <w:rPr>
                <w:noProof/>
                <w:webHidden/>
              </w:rPr>
              <w:fldChar w:fldCharType="end"/>
            </w:r>
          </w:hyperlink>
        </w:p>
        <w:p w14:paraId="5A406CC2"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10" w:history="1">
            <w:r w:rsidR="00310840" w:rsidRPr="00F54D37">
              <w:rPr>
                <w:rStyle w:val="Collegamentoipertestuale"/>
                <w:noProof/>
              </w:rPr>
              <w:t>VERIFICA ATTENDIBILITA’ E CONGRUITA’ DELLE PREVISIONI ANNO 2019-2021</w:t>
            </w:r>
            <w:r w:rsidR="00310840">
              <w:rPr>
                <w:noProof/>
                <w:webHidden/>
              </w:rPr>
              <w:tab/>
            </w:r>
            <w:r w:rsidR="00213664">
              <w:rPr>
                <w:noProof/>
                <w:webHidden/>
              </w:rPr>
              <w:fldChar w:fldCharType="begin"/>
            </w:r>
            <w:r w:rsidR="00310840">
              <w:rPr>
                <w:noProof/>
                <w:webHidden/>
              </w:rPr>
              <w:instrText xml:space="preserve"> PAGEREF _Toc535487610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14:paraId="74992CA9"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11" w:history="1">
            <w:r w:rsidR="00310840" w:rsidRPr="00F54D37">
              <w:rPr>
                <w:rStyle w:val="Collegamentoipertestuale"/>
                <w:noProof/>
              </w:rPr>
              <w:t>A) ENTRATE</w:t>
            </w:r>
            <w:r w:rsidR="00310840">
              <w:rPr>
                <w:noProof/>
                <w:webHidden/>
              </w:rPr>
              <w:tab/>
            </w:r>
            <w:r w:rsidR="00213664">
              <w:rPr>
                <w:noProof/>
                <w:webHidden/>
              </w:rPr>
              <w:fldChar w:fldCharType="begin"/>
            </w:r>
            <w:r w:rsidR="00310840">
              <w:rPr>
                <w:noProof/>
                <w:webHidden/>
              </w:rPr>
              <w:instrText xml:space="preserve"> PAGEREF _Toc535487611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14:paraId="33533599"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2" w:history="1">
            <w:r w:rsidR="00310840" w:rsidRPr="00F54D37">
              <w:rPr>
                <w:rStyle w:val="Collegamentoipertestuale"/>
                <w:noProof/>
              </w:rPr>
              <w:t>Entrate da fiscalità locale</w:t>
            </w:r>
            <w:r w:rsidR="00310840">
              <w:rPr>
                <w:noProof/>
                <w:webHidden/>
              </w:rPr>
              <w:tab/>
            </w:r>
            <w:r w:rsidR="00213664">
              <w:rPr>
                <w:noProof/>
                <w:webHidden/>
              </w:rPr>
              <w:fldChar w:fldCharType="begin"/>
            </w:r>
            <w:r w:rsidR="00310840">
              <w:rPr>
                <w:noProof/>
                <w:webHidden/>
              </w:rPr>
              <w:instrText xml:space="preserve"> PAGEREF _Toc535487612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14:paraId="1A3BFF22"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3" w:history="1">
            <w:r w:rsidR="00310840" w:rsidRPr="00F54D37">
              <w:rPr>
                <w:rStyle w:val="Collegamentoipertestuale"/>
                <w:noProof/>
              </w:rPr>
              <w:t>Risorse relative al recupero dell’evasione tributaria</w:t>
            </w:r>
            <w:r w:rsidR="00310840">
              <w:rPr>
                <w:noProof/>
                <w:webHidden/>
              </w:rPr>
              <w:tab/>
            </w:r>
            <w:r w:rsidR="00213664">
              <w:rPr>
                <w:noProof/>
                <w:webHidden/>
              </w:rPr>
              <w:fldChar w:fldCharType="begin"/>
            </w:r>
            <w:r w:rsidR="00310840">
              <w:rPr>
                <w:noProof/>
                <w:webHidden/>
              </w:rPr>
              <w:instrText xml:space="preserve"> PAGEREF _Toc535487613 \h </w:instrText>
            </w:r>
            <w:r w:rsidR="00213664">
              <w:rPr>
                <w:noProof/>
                <w:webHidden/>
              </w:rPr>
            </w:r>
            <w:r w:rsidR="00213664">
              <w:rPr>
                <w:noProof/>
                <w:webHidden/>
              </w:rPr>
              <w:fldChar w:fldCharType="separate"/>
            </w:r>
            <w:r w:rsidR="00253ADC">
              <w:rPr>
                <w:noProof/>
                <w:webHidden/>
              </w:rPr>
              <w:t>27</w:t>
            </w:r>
            <w:r w:rsidR="00213664">
              <w:rPr>
                <w:noProof/>
                <w:webHidden/>
              </w:rPr>
              <w:fldChar w:fldCharType="end"/>
            </w:r>
          </w:hyperlink>
        </w:p>
        <w:p w14:paraId="0AB778F2"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4" w:history="1">
            <w:r w:rsidR="00310840" w:rsidRPr="00F54D37">
              <w:rPr>
                <w:rStyle w:val="Collegamentoipertestuale"/>
                <w:noProof/>
              </w:rPr>
              <w:t>Entrate da titoli abitativi (proventi da permessi da costruire) e relative sanzioni</w:t>
            </w:r>
            <w:r w:rsidR="00310840">
              <w:rPr>
                <w:noProof/>
                <w:webHidden/>
              </w:rPr>
              <w:tab/>
            </w:r>
            <w:r w:rsidR="00213664">
              <w:rPr>
                <w:noProof/>
                <w:webHidden/>
              </w:rPr>
              <w:fldChar w:fldCharType="begin"/>
            </w:r>
            <w:r w:rsidR="00310840">
              <w:rPr>
                <w:noProof/>
                <w:webHidden/>
              </w:rPr>
              <w:instrText xml:space="preserve"> PAGEREF _Toc535487614 \h </w:instrText>
            </w:r>
            <w:r w:rsidR="00213664">
              <w:rPr>
                <w:noProof/>
                <w:webHidden/>
              </w:rPr>
            </w:r>
            <w:r w:rsidR="00213664">
              <w:rPr>
                <w:noProof/>
                <w:webHidden/>
              </w:rPr>
              <w:fldChar w:fldCharType="separate"/>
            </w:r>
            <w:r w:rsidR="00253ADC">
              <w:rPr>
                <w:noProof/>
                <w:webHidden/>
              </w:rPr>
              <w:t>27</w:t>
            </w:r>
            <w:r w:rsidR="00213664">
              <w:rPr>
                <w:noProof/>
                <w:webHidden/>
              </w:rPr>
              <w:fldChar w:fldCharType="end"/>
            </w:r>
          </w:hyperlink>
        </w:p>
        <w:p w14:paraId="3BA79B3B"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5" w:history="1">
            <w:r w:rsidR="00310840" w:rsidRPr="00F54D37">
              <w:rPr>
                <w:rStyle w:val="Collegamentoipertestuale"/>
                <w:noProof/>
              </w:rPr>
              <w:t>Sanzioni amministrative da codice della strada</w:t>
            </w:r>
            <w:r w:rsidR="00310840">
              <w:rPr>
                <w:noProof/>
                <w:webHidden/>
              </w:rPr>
              <w:tab/>
            </w:r>
            <w:r w:rsidR="00213664">
              <w:rPr>
                <w:noProof/>
                <w:webHidden/>
              </w:rPr>
              <w:fldChar w:fldCharType="begin"/>
            </w:r>
            <w:r w:rsidR="00310840">
              <w:rPr>
                <w:noProof/>
                <w:webHidden/>
              </w:rPr>
              <w:instrText xml:space="preserve"> PAGEREF _Toc535487615 \h </w:instrText>
            </w:r>
            <w:r w:rsidR="00213664">
              <w:rPr>
                <w:noProof/>
                <w:webHidden/>
              </w:rPr>
            </w:r>
            <w:r w:rsidR="00213664">
              <w:rPr>
                <w:noProof/>
                <w:webHidden/>
              </w:rPr>
              <w:fldChar w:fldCharType="separate"/>
            </w:r>
            <w:r w:rsidR="00253ADC">
              <w:rPr>
                <w:noProof/>
                <w:webHidden/>
              </w:rPr>
              <w:t>28</w:t>
            </w:r>
            <w:r w:rsidR="00213664">
              <w:rPr>
                <w:noProof/>
                <w:webHidden/>
              </w:rPr>
              <w:fldChar w:fldCharType="end"/>
            </w:r>
          </w:hyperlink>
        </w:p>
        <w:p w14:paraId="27FAEC91"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6" w:history="1">
            <w:r w:rsidR="00310840" w:rsidRPr="00F54D37">
              <w:rPr>
                <w:rStyle w:val="Collegamentoipertestuale"/>
                <w:noProof/>
              </w:rPr>
              <w:t>Proventi dei beni dell’ente</w:t>
            </w:r>
            <w:r w:rsidR="00310840">
              <w:rPr>
                <w:noProof/>
                <w:webHidden/>
              </w:rPr>
              <w:tab/>
            </w:r>
            <w:r w:rsidR="00213664">
              <w:rPr>
                <w:noProof/>
                <w:webHidden/>
              </w:rPr>
              <w:fldChar w:fldCharType="begin"/>
            </w:r>
            <w:r w:rsidR="00310840">
              <w:rPr>
                <w:noProof/>
                <w:webHidden/>
              </w:rPr>
              <w:instrText xml:space="preserve"> PAGEREF _Toc535487616 \h </w:instrText>
            </w:r>
            <w:r w:rsidR="00213664">
              <w:rPr>
                <w:noProof/>
                <w:webHidden/>
              </w:rPr>
            </w:r>
            <w:r w:rsidR="00213664">
              <w:rPr>
                <w:noProof/>
                <w:webHidden/>
              </w:rPr>
              <w:fldChar w:fldCharType="separate"/>
            </w:r>
            <w:r w:rsidR="00253ADC">
              <w:rPr>
                <w:noProof/>
                <w:webHidden/>
              </w:rPr>
              <w:t>29</w:t>
            </w:r>
            <w:r w:rsidR="00213664">
              <w:rPr>
                <w:noProof/>
                <w:webHidden/>
              </w:rPr>
              <w:fldChar w:fldCharType="end"/>
            </w:r>
          </w:hyperlink>
        </w:p>
        <w:p w14:paraId="6052511D"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7" w:history="1">
            <w:r w:rsidR="00310840" w:rsidRPr="00F54D37">
              <w:rPr>
                <w:rStyle w:val="Collegamentoipertestuale"/>
                <w:noProof/>
              </w:rPr>
              <w:t>Proventi dei servizi pubblici</w:t>
            </w:r>
            <w:r w:rsidR="00310840">
              <w:rPr>
                <w:noProof/>
                <w:webHidden/>
              </w:rPr>
              <w:tab/>
            </w:r>
            <w:r w:rsidR="00213664">
              <w:rPr>
                <w:noProof/>
                <w:webHidden/>
              </w:rPr>
              <w:fldChar w:fldCharType="begin"/>
            </w:r>
            <w:r w:rsidR="00310840">
              <w:rPr>
                <w:noProof/>
                <w:webHidden/>
              </w:rPr>
              <w:instrText xml:space="preserve"> PAGEREF _Toc535487617 \h </w:instrText>
            </w:r>
            <w:r w:rsidR="00213664">
              <w:rPr>
                <w:noProof/>
                <w:webHidden/>
              </w:rPr>
            </w:r>
            <w:r w:rsidR="00213664">
              <w:rPr>
                <w:noProof/>
                <w:webHidden/>
              </w:rPr>
              <w:fldChar w:fldCharType="separate"/>
            </w:r>
            <w:r w:rsidR="00253ADC">
              <w:rPr>
                <w:noProof/>
                <w:webHidden/>
              </w:rPr>
              <w:t>29</w:t>
            </w:r>
            <w:r w:rsidR="00213664">
              <w:rPr>
                <w:noProof/>
                <w:webHidden/>
              </w:rPr>
              <w:fldChar w:fldCharType="end"/>
            </w:r>
          </w:hyperlink>
        </w:p>
        <w:p w14:paraId="50FEA897" w14:textId="77777777" w:rsidR="00310840" w:rsidRDefault="00000000">
          <w:pPr>
            <w:pStyle w:val="Sommario2"/>
            <w:tabs>
              <w:tab w:val="right" w:leader="dot" w:pos="9628"/>
            </w:tabs>
            <w:rPr>
              <w:rFonts w:asciiTheme="minorHAnsi" w:eastAsiaTheme="minorEastAsia" w:hAnsiTheme="minorHAnsi" w:cstheme="minorBidi"/>
              <w:noProof/>
              <w:sz w:val="22"/>
              <w:szCs w:val="22"/>
            </w:rPr>
          </w:pPr>
          <w:hyperlink w:anchor="_Toc535487618" w:history="1">
            <w:r w:rsidR="00310840" w:rsidRPr="00F54D37">
              <w:rPr>
                <w:rStyle w:val="Collegamentoipertestuale"/>
                <w:noProof/>
              </w:rPr>
              <w:t>B) SPESE PER TITOLI E MACROAGGREGATI</w:t>
            </w:r>
            <w:r w:rsidR="00310840">
              <w:rPr>
                <w:noProof/>
                <w:webHidden/>
              </w:rPr>
              <w:tab/>
            </w:r>
            <w:r w:rsidR="00213664">
              <w:rPr>
                <w:noProof/>
                <w:webHidden/>
              </w:rPr>
              <w:fldChar w:fldCharType="begin"/>
            </w:r>
            <w:r w:rsidR="00310840">
              <w:rPr>
                <w:noProof/>
                <w:webHidden/>
              </w:rPr>
              <w:instrText xml:space="preserve"> PAGEREF _Toc535487618 \h </w:instrText>
            </w:r>
            <w:r w:rsidR="00213664">
              <w:rPr>
                <w:noProof/>
                <w:webHidden/>
              </w:rPr>
            </w:r>
            <w:r w:rsidR="00213664">
              <w:rPr>
                <w:noProof/>
                <w:webHidden/>
              </w:rPr>
              <w:fldChar w:fldCharType="separate"/>
            </w:r>
            <w:r w:rsidR="00253ADC">
              <w:rPr>
                <w:noProof/>
                <w:webHidden/>
              </w:rPr>
              <w:t>30</w:t>
            </w:r>
            <w:r w:rsidR="00213664">
              <w:rPr>
                <w:noProof/>
                <w:webHidden/>
              </w:rPr>
              <w:fldChar w:fldCharType="end"/>
            </w:r>
          </w:hyperlink>
        </w:p>
        <w:p w14:paraId="549687A4"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19" w:history="1">
            <w:r w:rsidR="00310840" w:rsidRPr="00F54D37">
              <w:rPr>
                <w:rStyle w:val="Collegamentoipertestuale"/>
                <w:noProof/>
              </w:rPr>
              <w:t>Spese di personale</w:t>
            </w:r>
            <w:r w:rsidR="00310840">
              <w:rPr>
                <w:noProof/>
                <w:webHidden/>
              </w:rPr>
              <w:tab/>
            </w:r>
            <w:r w:rsidR="00213664">
              <w:rPr>
                <w:noProof/>
                <w:webHidden/>
              </w:rPr>
              <w:fldChar w:fldCharType="begin"/>
            </w:r>
            <w:r w:rsidR="00310840">
              <w:rPr>
                <w:noProof/>
                <w:webHidden/>
              </w:rPr>
              <w:instrText xml:space="preserve"> PAGEREF _Toc535487619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14:paraId="2DDE6FCD"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0" w:history="1">
            <w:r w:rsidR="00310840" w:rsidRPr="00F54D37">
              <w:rPr>
                <w:rStyle w:val="Collegamentoipertestuale"/>
                <w:noProof/>
              </w:rPr>
              <w:t>Spese per incarichi di collaborazione autonoma</w:t>
            </w:r>
            <w:r w:rsidR="00310840">
              <w:rPr>
                <w:noProof/>
                <w:webHidden/>
              </w:rPr>
              <w:tab/>
            </w:r>
            <w:r w:rsidR="00213664">
              <w:rPr>
                <w:noProof/>
                <w:webHidden/>
              </w:rPr>
              <w:fldChar w:fldCharType="begin"/>
            </w:r>
            <w:r w:rsidR="00310840">
              <w:rPr>
                <w:noProof/>
                <w:webHidden/>
              </w:rPr>
              <w:instrText xml:space="preserve"> PAGEREF _Toc535487620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14:paraId="4973E16A"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1" w:history="1">
            <w:r w:rsidR="00310840" w:rsidRPr="00F54D37">
              <w:rPr>
                <w:rStyle w:val="Collegamentoipertestuale"/>
                <w:noProof/>
              </w:rPr>
              <w:t>Spese per acquisto beni e servizi</w:t>
            </w:r>
            <w:r w:rsidR="00310840">
              <w:rPr>
                <w:noProof/>
                <w:webHidden/>
              </w:rPr>
              <w:tab/>
            </w:r>
            <w:r w:rsidR="00213664">
              <w:rPr>
                <w:noProof/>
                <w:webHidden/>
              </w:rPr>
              <w:fldChar w:fldCharType="begin"/>
            </w:r>
            <w:r w:rsidR="00310840">
              <w:rPr>
                <w:noProof/>
                <w:webHidden/>
              </w:rPr>
              <w:instrText xml:space="preserve"> PAGEREF _Toc535487621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14:paraId="7D9B8675"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2" w:history="1">
            <w:r w:rsidR="00310840" w:rsidRPr="00F54D37">
              <w:rPr>
                <w:rStyle w:val="Collegamentoipertestuale"/>
                <w:noProof/>
              </w:rPr>
              <w:t>Fondo crediti di dubbia esigibilità (FCDE)</w:t>
            </w:r>
            <w:r w:rsidR="00310840">
              <w:rPr>
                <w:noProof/>
                <w:webHidden/>
              </w:rPr>
              <w:tab/>
            </w:r>
            <w:r w:rsidR="00213664">
              <w:rPr>
                <w:noProof/>
                <w:webHidden/>
              </w:rPr>
              <w:fldChar w:fldCharType="begin"/>
            </w:r>
            <w:r w:rsidR="00310840">
              <w:rPr>
                <w:noProof/>
                <w:webHidden/>
              </w:rPr>
              <w:instrText xml:space="preserve"> PAGEREF _Toc535487622 \h </w:instrText>
            </w:r>
            <w:r w:rsidR="00213664">
              <w:rPr>
                <w:noProof/>
                <w:webHidden/>
              </w:rPr>
            </w:r>
            <w:r w:rsidR="00213664">
              <w:rPr>
                <w:noProof/>
                <w:webHidden/>
              </w:rPr>
              <w:fldChar w:fldCharType="separate"/>
            </w:r>
            <w:r w:rsidR="00253ADC">
              <w:rPr>
                <w:noProof/>
                <w:webHidden/>
              </w:rPr>
              <w:t>33</w:t>
            </w:r>
            <w:r w:rsidR="00213664">
              <w:rPr>
                <w:noProof/>
                <w:webHidden/>
              </w:rPr>
              <w:fldChar w:fldCharType="end"/>
            </w:r>
          </w:hyperlink>
        </w:p>
        <w:p w14:paraId="5282265F"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3" w:history="1">
            <w:r w:rsidR="00310840" w:rsidRPr="00F54D37">
              <w:rPr>
                <w:rStyle w:val="Collegamentoipertestuale"/>
                <w:noProof/>
              </w:rPr>
              <w:t>Fondo di riserva di competenza</w:t>
            </w:r>
            <w:r w:rsidR="00310840">
              <w:rPr>
                <w:noProof/>
                <w:webHidden/>
              </w:rPr>
              <w:tab/>
            </w:r>
            <w:r w:rsidR="00213664">
              <w:rPr>
                <w:noProof/>
                <w:webHidden/>
              </w:rPr>
              <w:fldChar w:fldCharType="begin"/>
            </w:r>
            <w:r w:rsidR="00310840">
              <w:rPr>
                <w:noProof/>
                <w:webHidden/>
              </w:rPr>
              <w:instrText xml:space="preserve"> PAGEREF _Toc535487623 \h </w:instrText>
            </w:r>
            <w:r w:rsidR="00213664">
              <w:rPr>
                <w:noProof/>
                <w:webHidden/>
              </w:rPr>
            </w:r>
            <w:r w:rsidR="00213664">
              <w:rPr>
                <w:noProof/>
                <w:webHidden/>
              </w:rPr>
              <w:fldChar w:fldCharType="separate"/>
            </w:r>
            <w:r w:rsidR="00253ADC">
              <w:rPr>
                <w:noProof/>
                <w:webHidden/>
              </w:rPr>
              <w:t>36</w:t>
            </w:r>
            <w:r w:rsidR="00213664">
              <w:rPr>
                <w:noProof/>
                <w:webHidden/>
              </w:rPr>
              <w:fldChar w:fldCharType="end"/>
            </w:r>
          </w:hyperlink>
        </w:p>
        <w:p w14:paraId="6606EBB1"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4" w:history="1">
            <w:r w:rsidR="00310840" w:rsidRPr="00F54D37">
              <w:rPr>
                <w:rStyle w:val="Collegamentoipertestuale"/>
                <w:noProof/>
              </w:rPr>
              <w:t>Fondi per spese potenziali</w:t>
            </w:r>
            <w:r w:rsidR="00310840">
              <w:rPr>
                <w:noProof/>
                <w:webHidden/>
              </w:rPr>
              <w:tab/>
            </w:r>
            <w:r w:rsidR="00213664">
              <w:rPr>
                <w:noProof/>
                <w:webHidden/>
              </w:rPr>
              <w:fldChar w:fldCharType="begin"/>
            </w:r>
            <w:r w:rsidR="00310840">
              <w:rPr>
                <w:noProof/>
                <w:webHidden/>
              </w:rPr>
              <w:instrText xml:space="preserve"> PAGEREF _Toc535487624 \h </w:instrText>
            </w:r>
            <w:r w:rsidR="00213664">
              <w:rPr>
                <w:noProof/>
                <w:webHidden/>
              </w:rPr>
            </w:r>
            <w:r w:rsidR="00213664">
              <w:rPr>
                <w:noProof/>
                <w:webHidden/>
              </w:rPr>
              <w:fldChar w:fldCharType="separate"/>
            </w:r>
            <w:r w:rsidR="00253ADC">
              <w:rPr>
                <w:noProof/>
                <w:webHidden/>
              </w:rPr>
              <w:t>37</w:t>
            </w:r>
            <w:r w:rsidR="00213664">
              <w:rPr>
                <w:noProof/>
                <w:webHidden/>
              </w:rPr>
              <w:fldChar w:fldCharType="end"/>
            </w:r>
          </w:hyperlink>
        </w:p>
        <w:p w14:paraId="328CD5B2" w14:textId="77777777" w:rsidR="00310840" w:rsidRDefault="00000000">
          <w:pPr>
            <w:pStyle w:val="Sommario3"/>
            <w:tabs>
              <w:tab w:val="right" w:leader="dot" w:pos="9628"/>
            </w:tabs>
            <w:rPr>
              <w:rFonts w:asciiTheme="minorHAnsi" w:eastAsiaTheme="minorEastAsia" w:hAnsiTheme="minorHAnsi" w:cstheme="minorBidi"/>
              <w:noProof/>
              <w:sz w:val="22"/>
              <w:szCs w:val="22"/>
            </w:rPr>
          </w:pPr>
          <w:hyperlink w:anchor="_Toc535487625" w:history="1">
            <w:r w:rsidR="00310840" w:rsidRPr="00F54D37">
              <w:rPr>
                <w:rStyle w:val="Collegamentoipertestuale"/>
                <w:noProof/>
              </w:rPr>
              <w:t>Fondo di riserva di cassa</w:t>
            </w:r>
            <w:r w:rsidR="00310840">
              <w:rPr>
                <w:noProof/>
                <w:webHidden/>
              </w:rPr>
              <w:tab/>
            </w:r>
            <w:r w:rsidR="00213664">
              <w:rPr>
                <w:noProof/>
                <w:webHidden/>
              </w:rPr>
              <w:fldChar w:fldCharType="begin"/>
            </w:r>
            <w:r w:rsidR="00310840">
              <w:rPr>
                <w:noProof/>
                <w:webHidden/>
              </w:rPr>
              <w:instrText xml:space="preserve"> PAGEREF _Toc535487625 \h </w:instrText>
            </w:r>
            <w:r w:rsidR="00213664">
              <w:rPr>
                <w:noProof/>
                <w:webHidden/>
              </w:rPr>
            </w:r>
            <w:r w:rsidR="00213664">
              <w:rPr>
                <w:noProof/>
                <w:webHidden/>
              </w:rPr>
              <w:fldChar w:fldCharType="separate"/>
            </w:r>
            <w:r w:rsidR="00253ADC">
              <w:rPr>
                <w:noProof/>
                <w:webHidden/>
              </w:rPr>
              <w:t>37</w:t>
            </w:r>
            <w:r w:rsidR="00213664">
              <w:rPr>
                <w:noProof/>
                <w:webHidden/>
              </w:rPr>
              <w:fldChar w:fldCharType="end"/>
            </w:r>
          </w:hyperlink>
        </w:p>
        <w:p w14:paraId="5FEED2D2"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26" w:history="1">
            <w:r w:rsidR="00310840" w:rsidRPr="00F54D37">
              <w:rPr>
                <w:rStyle w:val="Collegamentoipertestuale"/>
                <w:noProof/>
              </w:rPr>
              <w:t>ORGANISMI PARTECIPATI</w:t>
            </w:r>
            <w:r w:rsidR="00310840">
              <w:rPr>
                <w:noProof/>
                <w:webHidden/>
              </w:rPr>
              <w:tab/>
            </w:r>
            <w:r w:rsidR="00213664">
              <w:rPr>
                <w:noProof/>
                <w:webHidden/>
              </w:rPr>
              <w:fldChar w:fldCharType="begin"/>
            </w:r>
            <w:r w:rsidR="00310840">
              <w:rPr>
                <w:noProof/>
                <w:webHidden/>
              </w:rPr>
              <w:instrText xml:space="preserve"> PAGEREF _Toc535487626 \h </w:instrText>
            </w:r>
            <w:r w:rsidR="00213664">
              <w:rPr>
                <w:noProof/>
                <w:webHidden/>
              </w:rPr>
            </w:r>
            <w:r w:rsidR="00213664">
              <w:rPr>
                <w:noProof/>
                <w:webHidden/>
              </w:rPr>
              <w:fldChar w:fldCharType="separate"/>
            </w:r>
            <w:r w:rsidR="00253ADC">
              <w:rPr>
                <w:noProof/>
                <w:webHidden/>
              </w:rPr>
              <w:t>38</w:t>
            </w:r>
            <w:r w:rsidR="00213664">
              <w:rPr>
                <w:noProof/>
                <w:webHidden/>
              </w:rPr>
              <w:fldChar w:fldCharType="end"/>
            </w:r>
          </w:hyperlink>
        </w:p>
        <w:p w14:paraId="681AB53A"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27" w:history="1">
            <w:r w:rsidR="00310840" w:rsidRPr="00F54D37">
              <w:rPr>
                <w:rStyle w:val="Collegamentoipertestuale"/>
                <w:noProof/>
              </w:rPr>
              <w:t>SPESE IN CONTO CAPITALE</w:t>
            </w:r>
            <w:r w:rsidR="00310840">
              <w:rPr>
                <w:noProof/>
                <w:webHidden/>
              </w:rPr>
              <w:tab/>
            </w:r>
            <w:r w:rsidR="00213664">
              <w:rPr>
                <w:noProof/>
                <w:webHidden/>
              </w:rPr>
              <w:fldChar w:fldCharType="begin"/>
            </w:r>
            <w:r w:rsidR="00310840">
              <w:rPr>
                <w:noProof/>
                <w:webHidden/>
              </w:rPr>
              <w:instrText xml:space="preserve"> PAGEREF _Toc535487627 \h </w:instrText>
            </w:r>
            <w:r w:rsidR="00213664">
              <w:rPr>
                <w:noProof/>
                <w:webHidden/>
              </w:rPr>
            </w:r>
            <w:r w:rsidR="00213664">
              <w:rPr>
                <w:noProof/>
                <w:webHidden/>
              </w:rPr>
              <w:fldChar w:fldCharType="separate"/>
            </w:r>
            <w:r w:rsidR="00253ADC">
              <w:rPr>
                <w:noProof/>
                <w:webHidden/>
              </w:rPr>
              <w:t>41</w:t>
            </w:r>
            <w:r w:rsidR="00213664">
              <w:rPr>
                <w:noProof/>
                <w:webHidden/>
              </w:rPr>
              <w:fldChar w:fldCharType="end"/>
            </w:r>
          </w:hyperlink>
        </w:p>
        <w:p w14:paraId="63A76456"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28" w:history="1">
            <w:r w:rsidR="00310840" w:rsidRPr="00F54D37">
              <w:rPr>
                <w:rStyle w:val="Collegamentoipertestuale"/>
                <w:noProof/>
              </w:rPr>
              <w:t>INDEBITAMENTO</w:t>
            </w:r>
            <w:r w:rsidR="00310840">
              <w:rPr>
                <w:noProof/>
                <w:webHidden/>
              </w:rPr>
              <w:tab/>
            </w:r>
            <w:r w:rsidR="00213664">
              <w:rPr>
                <w:noProof/>
                <w:webHidden/>
              </w:rPr>
              <w:fldChar w:fldCharType="begin"/>
            </w:r>
            <w:r w:rsidR="00310840">
              <w:rPr>
                <w:noProof/>
                <w:webHidden/>
              </w:rPr>
              <w:instrText xml:space="preserve"> PAGEREF _Toc535487628 \h </w:instrText>
            </w:r>
            <w:r w:rsidR="00213664">
              <w:rPr>
                <w:noProof/>
                <w:webHidden/>
              </w:rPr>
            </w:r>
            <w:r w:rsidR="00213664">
              <w:rPr>
                <w:noProof/>
                <w:webHidden/>
              </w:rPr>
              <w:fldChar w:fldCharType="separate"/>
            </w:r>
            <w:r w:rsidR="00253ADC">
              <w:rPr>
                <w:noProof/>
                <w:webHidden/>
              </w:rPr>
              <w:t>43</w:t>
            </w:r>
            <w:r w:rsidR="00213664">
              <w:rPr>
                <w:noProof/>
                <w:webHidden/>
              </w:rPr>
              <w:fldChar w:fldCharType="end"/>
            </w:r>
          </w:hyperlink>
        </w:p>
        <w:p w14:paraId="27C11128"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29" w:history="1">
            <w:r w:rsidR="00310840" w:rsidRPr="00F54D37">
              <w:rPr>
                <w:rStyle w:val="Collegamentoipertestuale"/>
                <w:noProof/>
              </w:rPr>
              <w:t>OSSERVAZIONI E SUGGERIMENTI</w:t>
            </w:r>
            <w:r w:rsidR="00310840">
              <w:rPr>
                <w:noProof/>
                <w:webHidden/>
              </w:rPr>
              <w:tab/>
            </w:r>
            <w:r w:rsidR="00213664">
              <w:rPr>
                <w:noProof/>
                <w:webHidden/>
              </w:rPr>
              <w:fldChar w:fldCharType="begin"/>
            </w:r>
            <w:r w:rsidR="00310840">
              <w:rPr>
                <w:noProof/>
                <w:webHidden/>
              </w:rPr>
              <w:instrText xml:space="preserve"> PAGEREF _Toc535487629 \h </w:instrText>
            </w:r>
            <w:r w:rsidR="00213664">
              <w:rPr>
                <w:noProof/>
                <w:webHidden/>
              </w:rPr>
            </w:r>
            <w:r w:rsidR="00213664">
              <w:rPr>
                <w:noProof/>
                <w:webHidden/>
              </w:rPr>
              <w:fldChar w:fldCharType="separate"/>
            </w:r>
            <w:r w:rsidR="00253ADC">
              <w:rPr>
                <w:noProof/>
                <w:webHidden/>
              </w:rPr>
              <w:t>45</w:t>
            </w:r>
            <w:r w:rsidR="00213664">
              <w:rPr>
                <w:noProof/>
                <w:webHidden/>
              </w:rPr>
              <w:fldChar w:fldCharType="end"/>
            </w:r>
          </w:hyperlink>
        </w:p>
        <w:p w14:paraId="34BC042C" w14:textId="77777777" w:rsidR="00310840" w:rsidRDefault="00000000">
          <w:pPr>
            <w:pStyle w:val="Sommario1"/>
            <w:tabs>
              <w:tab w:val="right" w:leader="dot" w:pos="9628"/>
            </w:tabs>
            <w:rPr>
              <w:rFonts w:asciiTheme="minorHAnsi" w:eastAsiaTheme="minorEastAsia" w:hAnsiTheme="minorHAnsi" w:cstheme="minorBidi"/>
              <w:noProof/>
              <w:sz w:val="22"/>
              <w:szCs w:val="22"/>
            </w:rPr>
          </w:pPr>
          <w:hyperlink w:anchor="_Toc535487630" w:history="1">
            <w:r w:rsidR="00310840" w:rsidRPr="00F54D37">
              <w:rPr>
                <w:rStyle w:val="Collegamentoipertestuale"/>
                <w:noProof/>
              </w:rPr>
              <w:t>CONCLUSIONI</w:t>
            </w:r>
            <w:r w:rsidR="00310840">
              <w:rPr>
                <w:noProof/>
                <w:webHidden/>
              </w:rPr>
              <w:tab/>
            </w:r>
            <w:r w:rsidR="00213664">
              <w:rPr>
                <w:noProof/>
                <w:webHidden/>
              </w:rPr>
              <w:fldChar w:fldCharType="begin"/>
            </w:r>
            <w:r w:rsidR="00310840">
              <w:rPr>
                <w:noProof/>
                <w:webHidden/>
              </w:rPr>
              <w:instrText xml:space="preserve"> PAGEREF _Toc535487630 \h </w:instrText>
            </w:r>
            <w:r w:rsidR="00213664">
              <w:rPr>
                <w:noProof/>
                <w:webHidden/>
              </w:rPr>
            </w:r>
            <w:r w:rsidR="00213664">
              <w:rPr>
                <w:noProof/>
                <w:webHidden/>
              </w:rPr>
              <w:fldChar w:fldCharType="separate"/>
            </w:r>
            <w:r w:rsidR="00253ADC">
              <w:rPr>
                <w:noProof/>
                <w:webHidden/>
              </w:rPr>
              <w:t>47</w:t>
            </w:r>
            <w:r w:rsidR="00213664">
              <w:rPr>
                <w:noProof/>
                <w:webHidden/>
              </w:rPr>
              <w:fldChar w:fldCharType="end"/>
            </w:r>
          </w:hyperlink>
        </w:p>
        <w:p w14:paraId="2BF8E141" w14:textId="77777777" w:rsidR="009F6E3E" w:rsidRPr="00D80990" w:rsidRDefault="00213664">
          <w:pPr>
            <w:rPr>
              <w:rFonts w:ascii="Arial" w:hAnsi="Arial" w:cs="Arial"/>
            </w:rPr>
          </w:pPr>
          <w:r w:rsidRPr="00D80990">
            <w:rPr>
              <w:rFonts w:ascii="Arial" w:hAnsi="Arial" w:cs="Arial"/>
              <w:b/>
              <w:bCs/>
            </w:rPr>
            <w:fldChar w:fldCharType="end"/>
          </w:r>
        </w:p>
      </w:sdtContent>
    </w:sdt>
    <w:p w14:paraId="05E64938" w14:textId="77777777" w:rsidR="009F6E3E" w:rsidRPr="00D80990" w:rsidRDefault="009F6E3E">
      <w:pPr>
        <w:rPr>
          <w:rFonts w:ascii="Arial" w:hAnsi="Arial" w:cs="Arial"/>
          <w:b/>
          <w:sz w:val="22"/>
          <w:szCs w:val="22"/>
        </w:rPr>
      </w:pPr>
    </w:p>
    <w:p w14:paraId="6E938B35" w14:textId="77777777" w:rsidR="009F6E3E" w:rsidRPr="00D80990" w:rsidRDefault="009F6E3E">
      <w:pPr>
        <w:pStyle w:val="cpv"/>
        <w:widowControl/>
        <w:spacing w:before="220"/>
        <w:jc w:val="center"/>
        <w:rPr>
          <w:rFonts w:ascii="Arial" w:hAnsi="Arial" w:cs="Arial"/>
          <w:b/>
          <w:sz w:val="32"/>
        </w:rPr>
      </w:pPr>
    </w:p>
    <w:p w14:paraId="2D50745B" w14:textId="77777777" w:rsidR="009F6E3E" w:rsidRPr="00D80990" w:rsidRDefault="007F766F">
      <w:pPr>
        <w:rPr>
          <w:rFonts w:ascii="Arial" w:hAnsi="Arial" w:cs="Arial"/>
          <w:b/>
          <w:sz w:val="32"/>
          <w:szCs w:val="20"/>
        </w:rPr>
      </w:pPr>
      <w:r w:rsidRPr="00D80990">
        <w:rPr>
          <w:rFonts w:ascii="Arial" w:hAnsi="Arial" w:cs="Arial"/>
          <w:b/>
          <w:sz w:val="32"/>
        </w:rPr>
        <w:br w:type="page"/>
      </w:r>
    </w:p>
    <w:p w14:paraId="028C8388" w14:textId="77777777" w:rsidR="009F6E3E" w:rsidRPr="00D80990" w:rsidRDefault="007F766F">
      <w:pPr>
        <w:pStyle w:val="Titolo1"/>
        <w:pBdr>
          <w:bottom w:val="single" w:sz="6" w:space="2" w:color="auto" w:shadow="1"/>
        </w:pBdr>
        <w:shd w:val="clear" w:color="auto" w:fill="B6DDE8" w:themeFill="accent5" w:themeFillTint="66"/>
        <w:rPr>
          <w:rStyle w:val="Titolodellibro"/>
          <w:b/>
        </w:rPr>
      </w:pPr>
      <w:bookmarkStart w:id="0" w:name="_VERIFICHE_PRELIMINARI"/>
      <w:bookmarkStart w:id="1" w:name="_Toc346838815"/>
      <w:bookmarkStart w:id="2" w:name="_Toc535487596"/>
      <w:bookmarkEnd w:id="0"/>
      <w:r w:rsidRPr="00D80990">
        <w:rPr>
          <w:rStyle w:val="Titolodellibro"/>
          <w:b/>
        </w:rPr>
        <w:lastRenderedPageBreak/>
        <w:t>PREMESSA E VERIFICHE PRELIMINARI</w:t>
      </w:r>
      <w:bookmarkEnd w:id="1"/>
      <w:bookmarkEnd w:id="2"/>
    </w:p>
    <w:p w14:paraId="639E9BEC" w14:textId="77777777" w:rsidR="00264EAF" w:rsidRPr="00D80990" w:rsidRDefault="00264EAF" w:rsidP="00264EAF">
      <w:pPr>
        <w:spacing w:after="120"/>
        <w:jc w:val="both"/>
        <w:rPr>
          <w:rFonts w:ascii="Arial" w:hAnsi="Arial" w:cs="Arial"/>
          <w:sz w:val="22"/>
          <w:szCs w:val="22"/>
        </w:rPr>
      </w:pPr>
      <w:bookmarkStart w:id="3" w:name="_Toc346838818"/>
      <w:r w:rsidRPr="00D80990">
        <w:rPr>
          <w:rFonts w:ascii="Arial" w:hAnsi="Arial" w:cs="Arial"/>
          <w:sz w:val="22"/>
          <w:szCs w:val="22"/>
        </w:rPr>
        <w:t>L’organo di revisione del Comune di ……. nominato con delibera consiliare n…… del……</w:t>
      </w:r>
    </w:p>
    <w:p w14:paraId="56D08A52" w14:textId="77777777" w:rsidR="00264EAF" w:rsidRPr="00D80990" w:rsidRDefault="00264EAF" w:rsidP="00264EAF">
      <w:pPr>
        <w:spacing w:after="120"/>
        <w:jc w:val="center"/>
        <w:rPr>
          <w:rFonts w:ascii="Arial" w:hAnsi="Arial" w:cs="Arial"/>
          <w:b/>
          <w:i/>
          <w:sz w:val="22"/>
          <w:szCs w:val="22"/>
        </w:rPr>
      </w:pPr>
    </w:p>
    <w:p w14:paraId="1957579D" w14:textId="77777777" w:rsidR="00264EAF" w:rsidRPr="00D80990" w:rsidRDefault="00264EAF" w:rsidP="00264EAF">
      <w:pPr>
        <w:spacing w:after="120"/>
        <w:jc w:val="center"/>
        <w:rPr>
          <w:rFonts w:ascii="Arial" w:hAnsi="Arial" w:cs="Arial"/>
          <w:b/>
          <w:i/>
          <w:sz w:val="22"/>
          <w:szCs w:val="22"/>
        </w:rPr>
      </w:pPr>
      <w:r w:rsidRPr="00D80990">
        <w:rPr>
          <w:rFonts w:ascii="Arial" w:hAnsi="Arial" w:cs="Arial"/>
          <w:b/>
          <w:i/>
          <w:sz w:val="22"/>
          <w:szCs w:val="22"/>
        </w:rPr>
        <w:t>Premesso</w:t>
      </w:r>
    </w:p>
    <w:p w14:paraId="46C8E41F" w14:textId="77777777" w:rsidR="00264EAF" w:rsidRPr="00D80990" w:rsidRDefault="00264EAF" w:rsidP="00264EAF">
      <w:pPr>
        <w:pStyle w:val="Paragrafoelenco"/>
        <w:numPr>
          <w:ilvl w:val="0"/>
          <w:numId w:val="34"/>
        </w:numPr>
        <w:spacing w:after="120"/>
        <w:jc w:val="both"/>
        <w:rPr>
          <w:rFonts w:ascii="Arial" w:hAnsi="Arial" w:cs="Arial"/>
          <w:sz w:val="22"/>
          <w:szCs w:val="22"/>
        </w:rPr>
      </w:pPr>
      <w:r w:rsidRPr="00D80990">
        <w:rPr>
          <w:rFonts w:ascii="Arial" w:hAnsi="Arial" w:cs="Arial"/>
          <w:sz w:val="22"/>
          <w:szCs w:val="22"/>
        </w:rPr>
        <w:t>che l’ente deve redigere il bilancio di previsione rispettando il titolo II del D. Lgs. 267/2000</w:t>
      </w:r>
      <w:r w:rsidR="00D53252">
        <w:rPr>
          <w:rFonts w:ascii="Arial" w:hAnsi="Arial" w:cs="Arial"/>
          <w:sz w:val="22"/>
          <w:szCs w:val="22"/>
        </w:rPr>
        <w:t xml:space="preserve"> (di seguito </w:t>
      </w:r>
      <w:r w:rsidR="00D0382F">
        <w:rPr>
          <w:rFonts w:ascii="Arial" w:hAnsi="Arial" w:cs="Arial"/>
          <w:sz w:val="22"/>
          <w:szCs w:val="22"/>
        </w:rPr>
        <w:t xml:space="preserve">anche </w:t>
      </w:r>
      <w:r w:rsidR="00D53252">
        <w:rPr>
          <w:rFonts w:ascii="Arial" w:hAnsi="Arial" w:cs="Arial"/>
          <w:sz w:val="22"/>
          <w:szCs w:val="22"/>
        </w:rPr>
        <w:t>TUEL)</w:t>
      </w:r>
      <w:r w:rsidRPr="00D80990">
        <w:rPr>
          <w:rFonts w:ascii="Arial" w:hAnsi="Arial" w:cs="Arial"/>
          <w:sz w:val="22"/>
          <w:szCs w:val="22"/>
        </w:rPr>
        <w:t xml:space="preserve">, i principi contabili generali e applicati alla contabilità finanziaria, lo schema di bilancio di cui all’ </w:t>
      </w:r>
      <w:r w:rsidRPr="000121D3">
        <w:rPr>
          <w:rFonts w:ascii="Arial" w:hAnsi="Arial" w:cs="Arial"/>
          <w:sz w:val="22"/>
          <w:szCs w:val="22"/>
        </w:rPr>
        <w:t>allegato 9 al D. Lgs.118/2011</w:t>
      </w:r>
      <w:r w:rsidRPr="00D80990">
        <w:rPr>
          <w:rFonts w:ascii="Arial" w:hAnsi="Arial" w:cs="Arial"/>
          <w:sz w:val="22"/>
          <w:szCs w:val="22"/>
        </w:rPr>
        <w:t xml:space="preserve">. </w:t>
      </w:r>
    </w:p>
    <w:p w14:paraId="23E45B0C" w14:textId="77777777" w:rsidR="00264EAF" w:rsidRPr="00D80990" w:rsidRDefault="00264EAF" w:rsidP="00264EAF">
      <w:pPr>
        <w:pStyle w:val="Paragrafoelenco"/>
        <w:numPr>
          <w:ilvl w:val="0"/>
          <w:numId w:val="34"/>
        </w:numPr>
        <w:spacing w:after="120"/>
        <w:jc w:val="both"/>
        <w:rPr>
          <w:rFonts w:ascii="Arial" w:hAnsi="Arial" w:cs="Arial"/>
          <w:sz w:val="22"/>
          <w:szCs w:val="22"/>
        </w:rPr>
      </w:pPr>
      <w:r w:rsidRPr="00D80990">
        <w:rPr>
          <w:rFonts w:ascii="Arial" w:hAnsi="Arial" w:cs="Arial"/>
          <w:sz w:val="22"/>
          <w:szCs w:val="22"/>
        </w:rPr>
        <w:t>che ha ricevuto in data ……………… lo schema del bilancio di previsione per gli esercizi 2019-2021, approvato dalla giunta comunale in data…….con delibera n. …….,completo dei seguenti allegati obbligatori indicati:</w:t>
      </w:r>
    </w:p>
    <w:p w14:paraId="0A85906A" w14:textId="77777777" w:rsidR="00264EAF" w:rsidRPr="00D80990" w:rsidRDefault="00264EAF" w:rsidP="00264EAF">
      <w:pPr>
        <w:numPr>
          <w:ilvl w:val="0"/>
          <w:numId w:val="30"/>
        </w:numPr>
        <w:tabs>
          <w:tab w:val="left" w:pos="360"/>
          <w:tab w:val="left" w:pos="426"/>
        </w:tabs>
        <w:spacing w:after="120"/>
        <w:jc w:val="both"/>
        <w:rPr>
          <w:rFonts w:ascii="Arial" w:hAnsi="Arial" w:cs="Arial"/>
          <w:sz w:val="22"/>
          <w:szCs w:val="22"/>
        </w:rPr>
      </w:pPr>
      <w:r w:rsidRPr="000121D3">
        <w:rPr>
          <w:rFonts w:ascii="Arial" w:hAnsi="Arial" w:cs="Arial"/>
          <w:sz w:val="22"/>
          <w:szCs w:val="22"/>
        </w:rPr>
        <w:t>nell’</w:t>
      </w:r>
      <w:hyperlink r:id="rId11" w:history="1">
        <w:r w:rsidRPr="000121D3">
          <w:rPr>
            <w:rFonts w:ascii="Arial" w:hAnsi="Arial" w:cs="Arial"/>
            <w:sz w:val="22"/>
            <w:szCs w:val="22"/>
          </w:rPr>
          <w:t>art.11, comma 3 del D. Lgs.118/2011</w:t>
        </w:r>
      </w:hyperlink>
      <w:r w:rsidRPr="00D80990">
        <w:rPr>
          <w:rFonts w:ascii="Arial" w:hAnsi="Arial" w:cs="Arial"/>
          <w:b/>
          <w:sz w:val="22"/>
          <w:szCs w:val="22"/>
        </w:rPr>
        <w:t>:</w:t>
      </w:r>
    </w:p>
    <w:p w14:paraId="4101D6B3"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esplicativo del presunto risultato di amministrazione dell’esercizio 2018; </w:t>
      </w:r>
    </w:p>
    <w:p w14:paraId="7E966099"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concernente la composizione, per missioni e programmi, del fondo pluriennale vincolato per ciascuno degli esercizi considerati nel bilancio di previsione; </w:t>
      </w:r>
    </w:p>
    <w:p w14:paraId="6A04CA09"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concernente la composizione del Fondo Crediti di Dubbia Esigibilità per ciascuno degli esercizi considerati nel bilancio di previsione; </w:t>
      </w:r>
    </w:p>
    <w:p w14:paraId="54C7B03B"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dimostrativo del rispetto dei vincoli di indebitamento; </w:t>
      </w:r>
    </w:p>
    <w:p w14:paraId="0BC0B608"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delle spese previste per l'utilizzo di contributi e trasferimenti da parte di organismi comunitari e internazionali, per ciascuno degli anni considerati nel bilancio di previsione; </w:t>
      </w:r>
    </w:p>
    <w:p w14:paraId="7B140846"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delle spese previste per lo svolgimento delle funzioni delegate dalle regioni per ciascuno degli anni considerati nel bilancio di previsione; </w:t>
      </w:r>
    </w:p>
    <w:p w14:paraId="4A8E6E8C" w14:textId="77777777"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la nota integrativa redatta secondo le modalità previste dal comma 5 dell’art.11 del D.Lgs.118/2011;</w:t>
      </w:r>
    </w:p>
    <w:p w14:paraId="5533DA48" w14:textId="77777777" w:rsidR="008163FB" w:rsidRDefault="008163FB" w:rsidP="00EA4A99">
      <w:pPr>
        <w:tabs>
          <w:tab w:val="left" w:pos="360"/>
          <w:tab w:val="left" w:pos="426"/>
        </w:tabs>
        <w:spacing w:after="120"/>
        <w:ind w:left="360"/>
        <w:jc w:val="both"/>
        <w:rPr>
          <w:rFonts w:ascii="Arial" w:hAnsi="Arial" w:cs="Arial"/>
          <w:sz w:val="22"/>
          <w:szCs w:val="22"/>
        </w:rPr>
      </w:pPr>
    </w:p>
    <w:p w14:paraId="4149EBCD" w14:textId="77777777" w:rsidR="00264EAF" w:rsidRPr="00D80990" w:rsidRDefault="00264EAF" w:rsidP="00FA74C8">
      <w:pPr>
        <w:numPr>
          <w:ilvl w:val="0"/>
          <w:numId w:val="1"/>
        </w:numPr>
        <w:tabs>
          <w:tab w:val="left" w:pos="426"/>
        </w:tabs>
        <w:spacing w:after="120"/>
        <w:ind w:left="709" w:hanging="349"/>
        <w:jc w:val="both"/>
        <w:rPr>
          <w:rFonts w:ascii="Arial" w:hAnsi="Arial" w:cs="Arial"/>
          <w:sz w:val="22"/>
          <w:szCs w:val="22"/>
        </w:rPr>
      </w:pPr>
      <w:r w:rsidRPr="000121D3">
        <w:rPr>
          <w:rFonts w:ascii="Arial" w:hAnsi="Arial" w:cs="Arial"/>
          <w:sz w:val="22"/>
          <w:szCs w:val="22"/>
        </w:rPr>
        <w:t>nell’art.172 del D.Lgs.267</w:t>
      </w:r>
      <w:r w:rsidR="00E90960" w:rsidRPr="000121D3">
        <w:rPr>
          <w:rFonts w:ascii="Arial" w:hAnsi="Arial" w:cs="Arial"/>
          <w:sz w:val="22"/>
          <w:szCs w:val="22"/>
        </w:rPr>
        <w:t>/2000</w:t>
      </w:r>
      <w:r w:rsidRPr="000121D3">
        <w:rPr>
          <w:rFonts w:ascii="Arial" w:hAnsi="Arial" w:cs="Arial"/>
          <w:sz w:val="22"/>
          <w:szCs w:val="22"/>
        </w:rPr>
        <w:t xml:space="preserve"> e punto 9.3 del P.C. applicato allegato 4/1 al </w:t>
      </w:r>
      <w:hyperlink r:id="rId12" w:history="1">
        <w:r w:rsidRPr="000121D3">
          <w:rPr>
            <w:rFonts w:ascii="Arial" w:hAnsi="Arial" w:cs="Arial"/>
            <w:sz w:val="22"/>
            <w:szCs w:val="22"/>
          </w:rPr>
          <w:t>D. Lgs. n.118/2011</w:t>
        </w:r>
      </w:hyperlink>
      <w:r w:rsidRPr="000121D3">
        <w:rPr>
          <w:rFonts w:ascii="Arial" w:hAnsi="Arial" w:cs="Arial"/>
          <w:sz w:val="22"/>
          <w:szCs w:val="22"/>
        </w:rPr>
        <w:t xml:space="preserve"> lettere g) ed h)</w:t>
      </w:r>
      <w:r w:rsidRPr="00D80990">
        <w:rPr>
          <w:rFonts w:ascii="Arial" w:hAnsi="Arial" w:cs="Arial"/>
          <w:sz w:val="22"/>
          <w:szCs w:val="22"/>
        </w:rPr>
        <w:t>:</w:t>
      </w:r>
    </w:p>
    <w:p w14:paraId="4BE7E3AD" w14:textId="77777777"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l'elenco degli indirizzi internet di pubblicazione del rendiconto della gestione, del bilancio consolidato deliberati e relativi al penultimo esercizio antecedente quello cui si riferisce il bilancio di previsione, dei rendiconti e dei bilanci consolidati delle unioni di comuni e dei soggetti considerati nel gruppo "amministrazione pubblica" di cui al principio applicato del bilancio consolidato allegato al</w:t>
      </w:r>
      <w:hyperlink r:id="rId13" w:history="1">
        <w:r w:rsidR="00E90960">
          <w:rPr>
            <w:rFonts w:ascii="Arial" w:hAnsi="Arial" w:cs="Arial"/>
            <w:sz w:val="22"/>
            <w:szCs w:val="22"/>
          </w:rPr>
          <w:t>D.Lgs.</w:t>
        </w:r>
        <w:r w:rsidRPr="00D80990">
          <w:rPr>
            <w:rFonts w:ascii="Arial" w:hAnsi="Arial" w:cs="Arial"/>
            <w:sz w:val="22"/>
            <w:szCs w:val="22"/>
          </w:rPr>
          <w:t xml:space="preserve"> 23 giugno 2011, n. 118</w:t>
        </w:r>
      </w:hyperlink>
      <w:r w:rsidRPr="00D80990">
        <w:rPr>
          <w:rFonts w:ascii="Arial" w:hAnsi="Arial" w:cs="Arial"/>
          <w:sz w:val="22"/>
          <w:szCs w:val="22"/>
        </w:rPr>
        <w:t>, e successive modificazioni, relativi al penultimo esercizio antecedente quello cui il bilancio si riferisce. Tali documenti contabili sono allegati al bilancio di previsione qualora non integralmente pubblicati nei siti internet indicati nell'elenco;</w:t>
      </w:r>
    </w:p>
    <w:p w14:paraId="1A163346" w14:textId="77777777"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la deliberazione, da adottarsi annualmente prima dell'approvazione del bilancio, con la quale i comuni verificano la quantità e qualità di aree e fabbricati da destinarsi alla residenza, alle attività produttive e terziarie - ai sensi delle leggi 18 aprile 1962, n. 167, 22 ottobre 1971, n. 865, e 5 agosto 1978, n. 457, che potranno essere ceduti in proprietà od in diritto di superficie; con la stessa deliberazione i comuni stabiliscono il prezzo di cessione per ciascun tipo di area o di fabbricato; </w:t>
      </w:r>
    </w:p>
    <w:p w14:paraId="60B9CC95" w14:textId="77777777"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le deliberazioni con le quali sono determinati, per l'esercizio successivo, le tariffe, le aliquote d'imposta e le eventuali maggiori detrazioni, le variazioni dei limiti di reddito per i tributi locali e per i servizi locali, nonché, per i servizi a domanda individuale, i tassi di copertura in percentuale del costo di gestione dei servizi stessi ivi incluso eventuali riduzioni/esenzioni di tributi locali</w:t>
      </w:r>
      <w:r w:rsidR="00FA74C8">
        <w:rPr>
          <w:rFonts w:ascii="Arial" w:hAnsi="Arial" w:cs="Arial"/>
          <w:sz w:val="22"/>
          <w:szCs w:val="22"/>
        </w:rPr>
        <w:t>;</w:t>
      </w:r>
    </w:p>
    <w:p w14:paraId="52EA6D42" w14:textId="77777777" w:rsidR="00475715" w:rsidRPr="00475715"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475715">
        <w:rPr>
          <w:rFonts w:ascii="Arial" w:hAnsi="Arial" w:cs="Arial"/>
          <w:sz w:val="22"/>
          <w:szCs w:val="22"/>
        </w:rPr>
        <w:t>la tabella relativa ai parametri di riscontro della situazione di deficitarietà strutturale prevista dalle disposizioni vigenti in materia (D.M. 18/2/2013)</w:t>
      </w:r>
      <w:r w:rsidR="00D53252" w:rsidRPr="00475715">
        <w:rPr>
          <w:rFonts w:ascii="Arial" w:hAnsi="Arial" w:cs="Arial"/>
          <w:sz w:val="22"/>
          <w:szCs w:val="22"/>
        </w:rPr>
        <w:t xml:space="preserve"> e </w:t>
      </w:r>
      <w:r w:rsidRPr="00475715">
        <w:rPr>
          <w:rFonts w:ascii="Arial" w:hAnsi="Arial" w:cs="Arial"/>
          <w:sz w:val="22"/>
          <w:szCs w:val="22"/>
        </w:rPr>
        <w:t>gli otto parametri individuati dall’Osservatorio</w:t>
      </w:r>
      <w:r w:rsidR="00D53252" w:rsidRPr="00475715">
        <w:rPr>
          <w:rFonts w:ascii="Arial" w:hAnsi="Arial" w:cs="Arial"/>
          <w:sz w:val="22"/>
          <w:szCs w:val="22"/>
        </w:rPr>
        <w:t xml:space="preserve"> sulla finanza e contabilità locale del Ministero dell’Interno </w:t>
      </w:r>
      <w:r w:rsidR="00D53252" w:rsidRPr="00475715">
        <w:rPr>
          <w:rFonts w:ascii="Arial" w:hAnsi="Arial" w:cs="Arial"/>
          <w:sz w:val="22"/>
          <w:szCs w:val="22"/>
        </w:rPr>
        <w:lastRenderedPageBreak/>
        <w:t>con atto di indirizzo del 20/02/2018 e</w:t>
      </w:r>
      <w:r w:rsidRPr="00475715">
        <w:rPr>
          <w:rFonts w:ascii="Arial" w:hAnsi="Arial" w:cs="Arial"/>
          <w:sz w:val="22"/>
          <w:szCs w:val="22"/>
        </w:rPr>
        <w:t xml:space="preserve"> a</w:t>
      </w:r>
      <w:r w:rsidR="00193C38" w:rsidRPr="00475715">
        <w:rPr>
          <w:rFonts w:ascii="Arial" w:hAnsi="Arial" w:cs="Arial"/>
          <w:sz w:val="22"/>
          <w:szCs w:val="22"/>
        </w:rPr>
        <w:t xml:space="preserve">pprovati Decreto interministeriale </w:t>
      </w:r>
      <w:r w:rsidR="005D5C5F">
        <w:rPr>
          <w:rFonts w:ascii="Arial" w:hAnsi="Arial" w:cs="Arial"/>
          <w:sz w:val="22"/>
          <w:szCs w:val="22"/>
        </w:rPr>
        <w:t xml:space="preserve">Ministero </w:t>
      </w:r>
      <w:r w:rsidR="00193C38" w:rsidRPr="00475715">
        <w:rPr>
          <w:rFonts w:ascii="Arial" w:hAnsi="Arial" w:cs="Arial"/>
          <w:sz w:val="22"/>
          <w:szCs w:val="22"/>
        </w:rPr>
        <w:t>Interno e M</w:t>
      </w:r>
      <w:r w:rsidR="005D5C5F">
        <w:rPr>
          <w:rFonts w:ascii="Arial" w:hAnsi="Arial" w:cs="Arial"/>
          <w:sz w:val="22"/>
          <w:szCs w:val="22"/>
        </w:rPr>
        <w:t>inistero Economia del</w:t>
      </w:r>
      <w:r w:rsidR="00193C38" w:rsidRPr="00475715">
        <w:rPr>
          <w:rFonts w:ascii="Arial" w:hAnsi="Arial" w:cs="Arial"/>
          <w:sz w:val="22"/>
          <w:szCs w:val="22"/>
        </w:rPr>
        <w:t xml:space="preserve"> 28 dicembre 2018</w:t>
      </w:r>
      <w:r w:rsidR="005D5C5F" w:rsidRPr="005D5C5F">
        <w:rPr>
          <w:rFonts w:ascii="Arial" w:hAnsi="Arial" w:cs="Arial"/>
          <w:sz w:val="22"/>
          <w:szCs w:val="22"/>
        </w:rPr>
        <w:t>;</w:t>
      </w:r>
    </w:p>
    <w:p w14:paraId="066E63DB" w14:textId="77777777" w:rsidR="00264EAF" w:rsidRPr="00475715" w:rsidRDefault="00475715" w:rsidP="00475715">
      <w:pPr>
        <w:tabs>
          <w:tab w:val="left" w:pos="360"/>
          <w:tab w:val="left" w:pos="426"/>
        </w:tabs>
        <w:spacing w:after="120"/>
        <w:ind w:left="851"/>
        <w:jc w:val="both"/>
        <w:rPr>
          <w:rFonts w:ascii="Arial" w:hAnsi="Arial" w:cs="Arial"/>
          <w:i/>
          <w:color w:val="00B0F0"/>
          <w:sz w:val="22"/>
          <w:szCs w:val="22"/>
        </w:rPr>
      </w:pPr>
      <w:r w:rsidRPr="00475715">
        <w:rPr>
          <w:rFonts w:ascii="Arial" w:hAnsi="Arial" w:cs="Arial"/>
          <w:i/>
          <w:color w:val="00B0F0"/>
          <w:sz w:val="22"/>
          <w:szCs w:val="22"/>
        </w:rPr>
        <w:t>(Questi parametri</w:t>
      </w:r>
      <w:r w:rsidR="00193C38" w:rsidRPr="00475715">
        <w:rPr>
          <w:rFonts w:ascii="Arial" w:hAnsi="Arial" w:cs="Arial"/>
          <w:i/>
          <w:color w:val="00B0F0"/>
          <w:sz w:val="22"/>
          <w:szCs w:val="22"/>
        </w:rPr>
        <w:t xml:space="preserve"> sono</w:t>
      </w:r>
      <w:r w:rsidR="000D5764" w:rsidRPr="00475715">
        <w:rPr>
          <w:rFonts w:ascii="Arial" w:hAnsi="Arial" w:cs="Arial"/>
          <w:i/>
          <w:color w:val="00B0F0"/>
          <w:sz w:val="22"/>
          <w:szCs w:val="22"/>
        </w:rPr>
        <w:t xml:space="preserve"> già inseriti </w:t>
      </w:r>
      <w:r>
        <w:rPr>
          <w:rFonts w:ascii="Arial" w:hAnsi="Arial" w:cs="Arial"/>
          <w:i/>
          <w:color w:val="00B0F0"/>
          <w:sz w:val="22"/>
          <w:szCs w:val="22"/>
        </w:rPr>
        <w:t xml:space="preserve">nel </w:t>
      </w:r>
      <w:r w:rsidR="005D790B" w:rsidRPr="00475715">
        <w:rPr>
          <w:rFonts w:ascii="Arial" w:hAnsi="Arial" w:cs="Arial"/>
          <w:i/>
          <w:color w:val="00B0F0"/>
          <w:sz w:val="22"/>
          <w:szCs w:val="22"/>
        </w:rPr>
        <w:t>decreto del M</w:t>
      </w:r>
      <w:r w:rsidR="000D5764" w:rsidRPr="00475715">
        <w:rPr>
          <w:rFonts w:ascii="Arial" w:hAnsi="Arial" w:cs="Arial"/>
          <w:i/>
          <w:color w:val="00B0F0"/>
          <w:sz w:val="22"/>
          <w:szCs w:val="22"/>
        </w:rPr>
        <w:t xml:space="preserve">inistero dell'Interno </w:t>
      </w:r>
      <w:r>
        <w:rPr>
          <w:rFonts w:ascii="Arial" w:hAnsi="Arial" w:cs="Arial"/>
          <w:i/>
          <w:color w:val="00B0F0"/>
          <w:sz w:val="22"/>
          <w:szCs w:val="22"/>
        </w:rPr>
        <w:t xml:space="preserve">del 17 aprile 2017, </w:t>
      </w:r>
      <w:r w:rsidR="000D5764" w:rsidRPr="00475715">
        <w:rPr>
          <w:rFonts w:ascii="Arial" w:hAnsi="Arial" w:cs="Arial"/>
          <w:i/>
          <w:color w:val="00B0F0"/>
          <w:sz w:val="22"/>
          <w:szCs w:val="22"/>
        </w:rPr>
        <w:t>pubblicato sulla Gazzetta Uff</w:t>
      </w:r>
      <w:r>
        <w:rPr>
          <w:rFonts w:ascii="Arial" w:hAnsi="Arial" w:cs="Arial"/>
          <w:i/>
          <w:color w:val="00B0F0"/>
          <w:sz w:val="22"/>
          <w:szCs w:val="22"/>
        </w:rPr>
        <w:t>iciale del 30 aprile 2018 n. 99,</w:t>
      </w:r>
      <w:r w:rsidR="00D72940" w:rsidRPr="00475715">
        <w:rPr>
          <w:rFonts w:ascii="Arial" w:hAnsi="Arial" w:cs="Arial"/>
          <w:i/>
          <w:color w:val="00B0F0"/>
          <w:sz w:val="22"/>
          <w:szCs w:val="22"/>
        </w:rPr>
        <w:t xml:space="preserve"> sulla certificazione del rendiconto 2017</w:t>
      </w:r>
      <w:r w:rsidR="00193C38" w:rsidRPr="00475715">
        <w:rPr>
          <w:rFonts w:ascii="Arial" w:hAnsi="Arial" w:cs="Arial"/>
          <w:i/>
          <w:color w:val="00B0F0"/>
          <w:sz w:val="22"/>
          <w:szCs w:val="22"/>
        </w:rPr>
        <w:t xml:space="preserve"> ma, l’obbligo d</w:t>
      </w:r>
      <w:r>
        <w:rPr>
          <w:rFonts w:ascii="Arial" w:hAnsi="Arial" w:cs="Arial"/>
          <w:i/>
          <w:color w:val="00B0F0"/>
          <w:sz w:val="22"/>
          <w:szCs w:val="22"/>
        </w:rPr>
        <w:t>i applicazione decorre dal 2019 e</w:t>
      </w:r>
      <w:r w:rsidR="00193C38" w:rsidRPr="00475715">
        <w:rPr>
          <w:rFonts w:ascii="Arial" w:hAnsi="Arial" w:cs="Arial"/>
          <w:i/>
          <w:color w:val="00B0F0"/>
          <w:sz w:val="22"/>
          <w:szCs w:val="22"/>
        </w:rPr>
        <w:t xml:space="preserve"> verranno utilizzati per la prima volta a partire dagli adempimenti relativi al rendiconto della gestione 2018 e del bilancio di previsione 2020/2022</w:t>
      </w:r>
      <w:r>
        <w:rPr>
          <w:rFonts w:ascii="Arial" w:hAnsi="Arial" w:cs="Arial"/>
          <w:i/>
          <w:color w:val="00B0F0"/>
          <w:sz w:val="22"/>
          <w:szCs w:val="22"/>
        </w:rPr>
        <w:t>)</w:t>
      </w:r>
    </w:p>
    <w:p w14:paraId="53F98B18" w14:textId="77777777" w:rsidR="00264EAF" w:rsidRPr="002A54B8" w:rsidRDefault="00202FC9" w:rsidP="002A54B8">
      <w:pPr>
        <w:pStyle w:val="Paragrafoelenco"/>
        <w:tabs>
          <w:tab w:val="left" w:pos="360"/>
          <w:tab w:val="left" w:pos="426"/>
        </w:tabs>
        <w:spacing w:after="120"/>
        <w:ind w:left="851"/>
        <w:jc w:val="both"/>
        <w:rPr>
          <w:rFonts w:ascii="Arial" w:hAnsi="Arial" w:cs="Arial"/>
          <w:sz w:val="22"/>
          <w:szCs w:val="22"/>
        </w:rPr>
      </w:pPr>
      <w:r>
        <w:rPr>
          <w:rFonts w:ascii="Arial" w:hAnsi="Arial" w:cs="Arial"/>
          <w:sz w:val="22"/>
          <w:szCs w:val="22"/>
        </w:rPr>
        <w:t xml:space="preserve">- </w:t>
      </w:r>
      <w:r w:rsidR="00264EAF" w:rsidRPr="00AF1D75">
        <w:rPr>
          <w:rFonts w:ascii="Arial" w:hAnsi="Arial" w:cs="Arial"/>
          <w:sz w:val="22"/>
          <w:szCs w:val="22"/>
        </w:rPr>
        <w:t xml:space="preserve">il prospetto della concordanza tra bilancio di previsione e rispetto degli equilibri di bilancio secondo lo schema allegato al </w:t>
      </w:r>
      <w:hyperlink r:id="rId14" w:history="1">
        <w:r w:rsidR="00264EAF" w:rsidRPr="00D53252">
          <w:rPr>
            <w:rStyle w:val="Collegamentoipertestuale"/>
            <w:rFonts w:ascii="Arial" w:hAnsi="Arial" w:cs="Arial"/>
            <w:color w:val="auto"/>
            <w:sz w:val="22"/>
            <w:szCs w:val="22"/>
            <w:u w:val="none"/>
          </w:rPr>
          <w:t>D. Lgs. n.118/2011</w:t>
        </w:r>
      </w:hyperlink>
      <w:r w:rsidR="00264EAF" w:rsidRPr="00AF1D75">
        <w:t>;</w:t>
      </w:r>
    </w:p>
    <w:p w14:paraId="2759FCF3" w14:textId="77777777" w:rsidR="00202FC9" w:rsidRPr="00AF1D75" w:rsidRDefault="00202FC9" w:rsidP="002A54B8">
      <w:pPr>
        <w:pStyle w:val="Paragrafoelenco"/>
        <w:tabs>
          <w:tab w:val="left" w:pos="360"/>
          <w:tab w:val="left" w:pos="426"/>
        </w:tabs>
        <w:spacing w:after="120"/>
        <w:ind w:left="851"/>
        <w:jc w:val="both"/>
        <w:rPr>
          <w:rFonts w:ascii="Arial" w:hAnsi="Arial" w:cs="Arial"/>
          <w:sz w:val="22"/>
          <w:szCs w:val="22"/>
        </w:rPr>
      </w:pPr>
      <w:r>
        <w:rPr>
          <w:rFonts w:ascii="Arial" w:hAnsi="Arial" w:cs="Arial"/>
          <w:sz w:val="22"/>
          <w:szCs w:val="22"/>
        </w:rPr>
        <w:t xml:space="preserve">- il </w:t>
      </w:r>
      <w:r w:rsidRPr="002A54B8">
        <w:rPr>
          <w:rFonts w:ascii="Arial" w:hAnsi="Arial" w:cs="Arial"/>
          <w:sz w:val="22"/>
          <w:szCs w:val="22"/>
        </w:rPr>
        <w:t xml:space="preserve">«Piano degli indicatori e dei risultati attesi di bilancio» </w:t>
      </w:r>
      <w:r>
        <w:rPr>
          <w:rFonts w:ascii="Arial" w:hAnsi="Arial" w:cs="Arial"/>
          <w:sz w:val="22"/>
          <w:szCs w:val="22"/>
        </w:rPr>
        <w:t>previsto dal</w:t>
      </w:r>
      <w:r w:rsidRPr="002A54B8">
        <w:rPr>
          <w:rFonts w:ascii="Arial" w:hAnsi="Arial" w:cs="Arial"/>
          <w:sz w:val="22"/>
          <w:szCs w:val="22"/>
        </w:rPr>
        <w:t>l’articolo 18-bis del decreto legislativo n. 118 del 2011</w:t>
      </w:r>
      <w:r>
        <w:rPr>
          <w:rFonts w:ascii="Arial" w:hAnsi="Arial" w:cs="Arial"/>
          <w:sz w:val="22"/>
          <w:szCs w:val="22"/>
        </w:rPr>
        <w:t>;</w:t>
      </w:r>
    </w:p>
    <w:p w14:paraId="4249B8F7" w14:textId="77777777" w:rsidR="00264EAF" w:rsidRPr="00D80990" w:rsidRDefault="00264EAF" w:rsidP="00264EAF">
      <w:pPr>
        <w:numPr>
          <w:ilvl w:val="0"/>
          <w:numId w:val="1"/>
        </w:numPr>
        <w:tabs>
          <w:tab w:val="left" w:pos="360"/>
          <w:tab w:val="left" w:pos="426"/>
        </w:tabs>
        <w:spacing w:after="120"/>
        <w:ind w:firstLine="207"/>
        <w:jc w:val="both"/>
        <w:rPr>
          <w:rFonts w:ascii="Arial" w:hAnsi="Arial" w:cs="Arial"/>
          <w:sz w:val="22"/>
          <w:szCs w:val="22"/>
        </w:rPr>
      </w:pPr>
      <w:r w:rsidRPr="00D80990">
        <w:rPr>
          <w:rFonts w:ascii="Arial" w:hAnsi="Arial" w:cs="Arial"/>
          <w:sz w:val="22"/>
          <w:szCs w:val="22"/>
          <w:u w:val="single"/>
        </w:rPr>
        <w:t>necessari per l’espressione del parere</w:t>
      </w:r>
      <w:r w:rsidRPr="00D80990">
        <w:rPr>
          <w:rFonts w:ascii="Arial" w:hAnsi="Arial" w:cs="Arial"/>
          <w:sz w:val="22"/>
          <w:szCs w:val="22"/>
        </w:rPr>
        <w:t>:</w:t>
      </w:r>
    </w:p>
    <w:p w14:paraId="2149A889" w14:textId="77777777" w:rsidR="00264EAF" w:rsidRPr="00D80990" w:rsidRDefault="00264EAF" w:rsidP="00264EAF">
      <w:pPr>
        <w:pStyle w:val="Paragrafoelenco"/>
        <w:numPr>
          <w:ilvl w:val="0"/>
          <w:numId w:val="37"/>
        </w:numPr>
        <w:tabs>
          <w:tab w:val="left" w:pos="851"/>
        </w:tabs>
        <w:spacing w:after="120"/>
        <w:ind w:left="1134" w:hanging="283"/>
        <w:jc w:val="both"/>
        <w:rPr>
          <w:rFonts w:ascii="Arial" w:hAnsi="Arial" w:cs="Arial"/>
          <w:sz w:val="22"/>
          <w:szCs w:val="22"/>
        </w:rPr>
      </w:pPr>
      <w:r w:rsidRPr="00D80990">
        <w:rPr>
          <w:rFonts w:ascii="Arial" w:hAnsi="Arial" w:cs="Arial"/>
          <w:sz w:val="22"/>
          <w:szCs w:val="22"/>
        </w:rPr>
        <w:t>il documento unico di programmazione (DUP) e la nota di aggiornamento dello stesso predisposti conformemente all’art.170 del D.Lgs.267/2000 dalla Giunta;</w:t>
      </w:r>
    </w:p>
    <w:p w14:paraId="21D34A37" w14:textId="77777777" w:rsidR="00264EAF" w:rsidRPr="00D80990" w:rsidRDefault="00264EAF" w:rsidP="00264EAF">
      <w:pPr>
        <w:pStyle w:val="Corpodeltesto21"/>
        <w:numPr>
          <w:ilvl w:val="0"/>
          <w:numId w:val="37"/>
        </w:numPr>
        <w:ind w:left="1134" w:hanging="283"/>
        <w:rPr>
          <w:rFonts w:cs="Arial"/>
          <w:b w:val="0"/>
          <w:i w:val="0"/>
          <w:sz w:val="22"/>
          <w:szCs w:val="22"/>
        </w:rPr>
      </w:pPr>
      <w:r w:rsidRPr="00D80990">
        <w:rPr>
          <w:rFonts w:cs="Arial"/>
          <w:b w:val="0"/>
          <w:sz w:val="22"/>
          <w:szCs w:val="22"/>
        </w:rPr>
        <w:t>(</w:t>
      </w:r>
      <w:r w:rsidRPr="00AF1D75">
        <w:rPr>
          <w:rFonts w:cs="Arial"/>
          <w:b w:val="0"/>
          <w:sz w:val="22"/>
          <w:szCs w:val="22"/>
        </w:rPr>
        <w:t>se non contenuto nel DUP</w:t>
      </w:r>
      <w:r w:rsidRPr="00D80990">
        <w:rPr>
          <w:rFonts w:cs="Arial"/>
          <w:b w:val="0"/>
          <w:sz w:val="22"/>
          <w:szCs w:val="22"/>
        </w:rPr>
        <w:t xml:space="preserve">) </w:t>
      </w:r>
      <w:r w:rsidRPr="00D80990">
        <w:rPr>
          <w:rFonts w:cs="Arial"/>
          <w:b w:val="0"/>
          <w:i w:val="0"/>
          <w:sz w:val="22"/>
          <w:szCs w:val="22"/>
        </w:rPr>
        <w:t>il programma triennale dei lavori pubblici e l’elenco annuale dei lavori pubblici di cui all’art.21</w:t>
      </w:r>
      <w:r w:rsidRPr="00D80990">
        <w:rPr>
          <w:rStyle w:val="Collegamentoipertestuale"/>
          <w:rFonts w:cs="Arial"/>
          <w:b w:val="0"/>
          <w:i w:val="0"/>
          <w:color w:val="auto"/>
          <w:sz w:val="22"/>
          <w:szCs w:val="22"/>
          <w:u w:val="none"/>
        </w:rPr>
        <w:t xml:space="preserve"> del D. Lgs. 50/2016secondo lo schema approvato con Decreto del Ministero delle Infrastrutture e dei Trasporti n. 14 del 16 gennaio 2018</w:t>
      </w:r>
      <w:r w:rsidRPr="00D80990">
        <w:rPr>
          <w:rFonts w:cs="Arial"/>
          <w:b w:val="0"/>
          <w:i w:val="0"/>
          <w:sz w:val="22"/>
          <w:szCs w:val="22"/>
        </w:rPr>
        <w:t>;</w:t>
      </w:r>
    </w:p>
    <w:p w14:paraId="41D2ED88" w14:textId="77777777" w:rsidR="00264EAF" w:rsidRPr="00D80990" w:rsidRDefault="00264EAF" w:rsidP="00264EAF">
      <w:pPr>
        <w:pStyle w:val="Corpotesto"/>
        <w:numPr>
          <w:ilvl w:val="0"/>
          <w:numId w:val="37"/>
        </w:numPr>
        <w:ind w:left="1134" w:hanging="283"/>
        <w:rPr>
          <w:rFonts w:cs="Arial"/>
          <w:sz w:val="22"/>
          <w:szCs w:val="22"/>
        </w:rPr>
      </w:pPr>
      <w:r w:rsidRPr="00D80990">
        <w:rPr>
          <w:rFonts w:cs="Arial"/>
          <w:i/>
          <w:sz w:val="22"/>
          <w:szCs w:val="22"/>
        </w:rPr>
        <w:t>(</w:t>
      </w:r>
      <w:r w:rsidRPr="00AF1D75">
        <w:rPr>
          <w:rFonts w:cs="Arial"/>
          <w:i/>
          <w:sz w:val="22"/>
          <w:szCs w:val="22"/>
        </w:rPr>
        <w:t>se non contenuta nel DUP</w:t>
      </w:r>
      <w:r w:rsidRPr="00D80990">
        <w:rPr>
          <w:rFonts w:cs="Arial"/>
          <w:i/>
          <w:sz w:val="22"/>
          <w:szCs w:val="22"/>
        </w:rPr>
        <w:t xml:space="preserve">) </w:t>
      </w:r>
      <w:r w:rsidRPr="00D80990">
        <w:rPr>
          <w:rFonts w:cs="Arial"/>
          <w:sz w:val="22"/>
          <w:szCs w:val="22"/>
        </w:rPr>
        <w:t>la delibera di approvazione della programmazione triennale del fabbisogno di personale (</w:t>
      </w:r>
      <w:r w:rsidR="00D53252">
        <w:rPr>
          <w:rFonts w:cs="Arial"/>
          <w:kern w:val="0"/>
          <w:sz w:val="22"/>
          <w:szCs w:val="22"/>
        </w:rPr>
        <w:t xml:space="preserve">art. 91 </w:t>
      </w:r>
      <w:r w:rsidR="00E90960">
        <w:rPr>
          <w:rFonts w:cs="Arial"/>
          <w:kern w:val="0"/>
          <w:sz w:val="22"/>
          <w:szCs w:val="22"/>
        </w:rPr>
        <w:t xml:space="preserve">del </w:t>
      </w:r>
      <w:r w:rsidR="005D5C5F">
        <w:rPr>
          <w:rFonts w:cs="Arial"/>
          <w:kern w:val="0"/>
          <w:sz w:val="22"/>
          <w:szCs w:val="22"/>
        </w:rPr>
        <w:t>D.</w:t>
      </w:r>
      <w:r w:rsidR="00D53252">
        <w:rPr>
          <w:rFonts w:cs="Arial"/>
          <w:kern w:val="0"/>
          <w:sz w:val="22"/>
          <w:szCs w:val="22"/>
        </w:rPr>
        <w:t xml:space="preserve">Lgs. 267/2000, </w:t>
      </w:r>
      <w:r w:rsidRPr="00D80990">
        <w:rPr>
          <w:rFonts w:cs="Arial"/>
          <w:kern w:val="0"/>
          <w:sz w:val="22"/>
          <w:szCs w:val="22"/>
        </w:rPr>
        <w:t xml:space="preserve">art. 6 ter </w:t>
      </w:r>
      <w:r w:rsidR="00E90960">
        <w:rPr>
          <w:rFonts w:cs="Arial"/>
          <w:kern w:val="0"/>
          <w:sz w:val="22"/>
          <w:szCs w:val="22"/>
        </w:rPr>
        <w:t xml:space="preserve">del </w:t>
      </w:r>
      <w:r w:rsidRPr="00D80990">
        <w:rPr>
          <w:rFonts w:cs="Arial"/>
          <w:kern w:val="0"/>
          <w:sz w:val="22"/>
          <w:szCs w:val="22"/>
        </w:rPr>
        <w:t xml:space="preserve">D.Lgs. 165/2001, art. 35 comma 4 </w:t>
      </w:r>
      <w:r w:rsidR="00E90960">
        <w:rPr>
          <w:rFonts w:cs="Arial"/>
          <w:kern w:val="0"/>
          <w:sz w:val="22"/>
          <w:szCs w:val="22"/>
        </w:rPr>
        <w:t xml:space="preserve">del </w:t>
      </w:r>
      <w:r w:rsidRPr="00D80990">
        <w:rPr>
          <w:rFonts w:cs="Arial"/>
          <w:kern w:val="0"/>
          <w:sz w:val="22"/>
          <w:szCs w:val="22"/>
        </w:rPr>
        <w:t xml:space="preserve">D.Lgs. 165/2001 e art. 19 </w:t>
      </w:r>
      <w:r w:rsidRPr="00AF1D75">
        <w:rPr>
          <w:rFonts w:cs="Arial"/>
          <w:kern w:val="0"/>
          <w:sz w:val="22"/>
          <w:szCs w:val="22"/>
        </w:rPr>
        <w:t xml:space="preserve">comma 8 </w:t>
      </w:r>
      <w:r w:rsidR="00E90960">
        <w:rPr>
          <w:rFonts w:cs="Arial"/>
          <w:kern w:val="0"/>
          <w:sz w:val="22"/>
          <w:szCs w:val="22"/>
        </w:rPr>
        <w:t>della Legge</w:t>
      </w:r>
      <w:r w:rsidR="00D0382F">
        <w:rPr>
          <w:rFonts w:cs="Arial"/>
          <w:kern w:val="0"/>
          <w:sz w:val="22"/>
          <w:szCs w:val="22"/>
        </w:rPr>
        <w:t xml:space="preserve">n. </w:t>
      </w:r>
      <w:r w:rsidRPr="00AF1D75">
        <w:rPr>
          <w:rFonts w:cs="Arial"/>
          <w:kern w:val="0"/>
          <w:sz w:val="22"/>
          <w:szCs w:val="22"/>
        </w:rPr>
        <w:t>448/2001) secondo le "Linee di indirizzo per la predisposizione dei piani dei fabbisogni di personale da parte della PA" emanate in data 08 maggio 2018 da parte del Ministro per la semplificazione e la pubblica amministrazione, registrate dalla Corte dei Conti – Reg.ne – Prev. n. 1477 del 09/07/2018 – nota avviso n. 0026020 del 9 luglio 2018;</w:t>
      </w:r>
    </w:p>
    <w:p w14:paraId="53EF542B" w14:textId="77777777"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la delibera di Giunta di destinazione della parte vincolata dei proventi per sanzioni alle norme del codice della strada;</w:t>
      </w:r>
    </w:p>
    <w:p w14:paraId="1F7CE6B1" w14:textId="77777777" w:rsidR="00264EAF" w:rsidRPr="00D80990" w:rsidRDefault="00264EAF" w:rsidP="00264EAF">
      <w:pPr>
        <w:pStyle w:val="Paragrafoelenco"/>
        <w:numPr>
          <w:ilvl w:val="0"/>
          <w:numId w:val="38"/>
        </w:numPr>
        <w:tabs>
          <w:tab w:val="left" w:pos="851"/>
        </w:tabs>
        <w:spacing w:after="120"/>
        <w:ind w:left="1134" w:hanging="283"/>
        <w:jc w:val="both"/>
        <w:rPr>
          <w:rFonts w:ascii="Arial" w:hAnsi="Arial" w:cs="Arial"/>
          <w:sz w:val="22"/>
          <w:szCs w:val="22"/>
        </w:rPr>
      </w:pPr>
      <w:r w:rsidRPr="00D80990">
        <w:rPr>
          <w:rFonts w:ascii="Arial" w:hAnsi="Arial" w:cs="Arial"/>
          <w:sz w:val="22"/>
          <w:szCs w:val="22"/>
        </w:rPr>
        <w:t xml:space="preserve">la proposta delibera del Consiglio di conferma o variazione delle aliquote e tariffe per i tributi locali; </w:t>
      </w:r>
    </w:p>
    <w:p w14:paraId="15AACB73" w14:textId="77777777"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ilpiano triennale di contenimento delle spese di cui all’art. 2 commi 594 e 599 </w:t>
      </w:r>
      <w:r w:rsidR="00E90960">
        <w:rPr>
          <w:rFonts w:cs="Arial"/>
          <w:b w:val="0"/>
          <w:i w:val="0"/>
          <w:sz w:val="22"/>
          <w:szCs w:val="22"/>
        </w:rPr>
        <w:t xml:space="preserve">della </w:t>
      </w:r>
      <w:r w:rsidRPr="00AF1D75">
        <w:rPr>
          <w:rFonts w:cs="Arial"/>
          <w:b w:val="0"/>
          <w:i w:val="0"/>
          <w:sz w:val="22"/>
          <w:szCs w:val="22"/>
        </w:rPr>
        <w:t>L</w:t>
      </w:r>
      <w:r w:rsidR="00E90960">
        <w:rPr>
          <w:rFonts w:cs="Arial"/>
          <w:b w:val="0"/>
          <w:i w:val="0"/>
          <w:sz w:val="22"/>
          <w:szCs w:val="22"/>
        </w:rPr>
        <w:t xml:space="preserve">egge </w:t>
      </w:r>
      <w:r w:rsidR="00D0382F">
        <w:rPr>
          <w:rFonts w:cs="Arial"/>
          <w:b w:val="0"/>
          <w:i w:val="0"/>
          <w:sz w:val="22"/>
          <w:szCs w:val="22"/>
        </w:rPr>
        <w:t>n.</w:t>
      </w:r>
      <w:r w:rsidRPr="00AF1D75">
        <w:rPr>
          <w:rFonts w:cs="Arial"/>
          <w:b w:val="0"/>
          <w:i w:val="0"/>
          <w:sz w:val="22"/>
          <w:szCs w:val="22"/>
        </w:rPr>
        <w:t>244/2007;</w:t>
      </w:r>
    </w:p>
    <w:p w14:paraId="544BC8A0" w14:textId="77777777" w:rsidR="00264EAF" w:rsidRPr="00AF1D75" w:rsidRDefault="00264EAF" w:rsidP="00264EAF">
      <w:pPr>
        <w:pStyle w:val="Corpodeltesto21"/>
        <w:numPr>
          <w:ilvl w:val="0"/>
          <w:numId w:val="38"/>
        </w:numPr>
        <w:tabs>
          <w:tab w:val="left" w:pos="862"/>
        </w:tabs>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 piano delle alienazioni e valorizzazioni immobiliari (art.58, comma 1 </w:t>
      </w:r>
      <w:r w:rsidR="00D0382F">
        <w:rPr>
          <w:rFonts w:cs="Arial"/>
          <w:b w:val="0"/>
          <w:i w:val="0"/>
          <w:sz w:val="22"/>
          <w:szCs w:val="22"/>
        </w:rPr>
        <w:t xml:space="preserve">del </w:t>
      </w:r>
      <w:r w:rsidRPr="00AF1D75">
        <w:rPr>
          <w:rFonts w:cs="Arial"/>
          <w:b w:val="0"/>
          <w:i w:val="0"/>
          <w:sz w:val="22"/>
          <w:szCs w:val="22"/>
        </w:rPr>
        <w:t>D.L.112/2008);</w:t>
      </w:r>
    </w:p>
    <w:p w14:paraId="7A5C97C2" w14:textId="77777777"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 programma biennale forniture servizi 2019-2020 di cui all’art. 21 comma 6 </w:t>
      </w:r>
      <w:r w:rsidR="00D0382F">
        <w:rPr>
          <w:rFonts w:cs="Arial"/>
          <w:b w:val="0"/>
          <w:i w:val="0"/>
          <w:sz w:val="22"/>
          <w:szCs w:val="22"/>
        </w:rPr>
        <w:t xml:space="preserve">del </w:t>
      </w:r>
      <w:r w:rsidRPr="00AF1D75">
        <w:rPr>
          <w:rFonts w:cs="Arial"/>
          <w:b w:val="0"/>
          <w:i w:val="0"/>
          <w:sz w:val="22"/>
          <w:szCs w:val="22"/>
        </w:rPr>
        <w:t>D.Lgs. n.50/2016;</w:t>
      </w:r>
    </w:p>
    <w:p w14:paraId="4D36F46C" w14:textId="77777777" w:rsidR="00264EAF" w:rsidRPr="00AF1D75" w:rsidRDefault="00264EAF" w:rsidP="00264EAF">
      <w:pPr>
        <w:pStyle w:val="Corpodeltesto21"/>
        <w:numPr>
          <w:ilvl w:val="0"/>
          <w:numId w:val="38"/>
        </w:numPr>
        <w:ind w:left="1134" w:hanging="283"/>
        <w:rPr>
          <w:rFonts w:cs="Arial"/>
          <w:b w:val="0"/>
          <w:sz w:val="22"/>
          <w:szCs w:val="22"/>
        </w:rPr>
      </w:pPr>
      <w:r w:rsidRPr="00AF1D75">
        <w:rPr>
          <w:rFonts w:cs="Arial"/>
          <w:b w:val="0"/>
          <w:i w:val="0"/>
          <w:sz w:val="22"/>
          <w:szCs w:val="22"/>
        </w:rPr>
        <w:t xml:space="preserve">il programma delle collaborazioni autonome di cui all’art. 46 </w:t>
      </w:r>
      <w:r w:rsidR="00D0382F">
        <w:rPr>
          <w:rFonts w:cs="Arial"/>
          <w:b w:val="0"/>
          <w:i w:val="0"/>
          <w:sz w:val="22"/>
          <w:szCs w:val="22"/>
        </w:rPr>
        <w:t xml:space="preserve">del </w:t>
      </w:r>
      <w:r w:rsidR="005D5C5F">
        <w:rPr>
          <w:rFonts w:cs="Arial"/>
          <w:b w:val="0"/>
          <w:i w:val="0"/>
          <w:sz w:val="22"/>
          <w:szCs w:val="22"/>
        </w:rPr>
        <w:t>D.</w:t>
      </w:r>
      <w:r w:rsidRPr="00AF1D75">
        <w:rPr>
          <w:rFonts w:cs="Arial"/>
          <w:b w:val="0"/>
          <w:i w:val="0"/>
          <w:sz w:val="22"/>
          <w:szCs w:val="22"/>
        </w:rPr>
        <w:t>L. n.112/2008;</w:t>
      </w:r>
    </w:p>
    <w:p w14:paraId="504BB251" w14:textId="77777777"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i w:val="0"/>
          <w:sz w:val="22"/>
          <w:szCs w:val="22"/>
        </w:rPr>
        <w:t xml:space="preserve">il limite massimo delle spese per incarichi di collaborazione di cui all’art. 46 comma 3 </w:t>
      </w:r>
      <w:r w:rsidR="00D0382F">
        <w:rPr>
          <w:rFonts w:cs="Arial"/>
          <w:b w:val="0"/>
          <w:i w:val="0"/>
          <w:sz w:val="22"/>
          <w:szCs w:val="22"/>
        </w:rPr>
        <w:t xml:space="preserve">del </w:t>
      </w:r>
      <w:r w:rsidRPr="00AF1D75">
        <w:rPr>
          <w:rFonts w:cs="Arial"/>
          <w:b w:val="0"/>
          <w:i w:val="0"/>
          <w:sz w:val="22"/>
          <w:szCs w:val="22"/>
        </w:rPr>
        <w:t xml:space="preserve">D.L. 112/2008; </w:t>
      </w:r>
    </w:p>
    <w:p w14:paraId="0304BA87" w14:textId="77777777"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i w:val="0"/>
          <w:sz w:val="22"/>
          <w:szCs w:val="22"/>
        </w:rPr>
        <w:t>il limite massimo delle spese per personale a tempo determinato, con convenzione e con collaborazioni coordinate e continuative, di cui all’art. 9 comma 28 del D.L.78/2010;</w:t>
      </w:r>
    </w:p>
    <w:p w14:paraId="67746C23" w14:textId="77777777"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i limiti massimi di spesa disposti dagli art. 6 e 9 del D.L.78/2010 e da successive norme di finanza pubblica; </w:t>
      </w:r>
    </w:p>
    <w:p w14:paraId="7865632A" w14:textId="77777777" w:rsidR="00264EAF" w:rsidRPr="005D790B"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la sussistenza dei presupposti per le condizioni di cui </w:t>
      </w:r>
      <w:r w:rsidR="00D72940" w:rsidRPr="005D790B">
        <w:rPr>
          <w:rFonts w:cs="Arial"/>
          <w:b w:val="0"/>
          <w:i w:val="0"/>
          <w:sz w:val="22"/>
          <w:szCs w:val="22"/>
        </w:rPr>
        <w:t xml:space="preserve">all’articolo 1, </w:t>
      </w:r>
      <w:r w:rsidRPr="005D790B">
        <w:rPr>
          <w:rFonts w:cs="Arial"/>
          <w:b w:val="0"/>
          <w:i w:val="0"/>
          <w:sz w:val="22"/>
          <w:szCs w:val="22"/>
        </w:rPr>
        <w:t>commi 138,146 e 147della L</w:t>
      </w:r>
      <w:r w:rsidR="00D0382F" w:rsidRPr="005D790B">
        <w:rPr>
          <w:rFonts w:cs="Arial"/>
          <w:b w:val="0"/>
          <w:i w:val="0"/>
          <w:sz w:val="22"/>
          <w:szCs w:val="22"/>
        </w:rPr>
        <w:t>egge</w:t>
      </w:r>
      <w:r w:rsidRPr="005D790B">
        <w:rPr>
          <w:rFonts w:cs="Arial"/>
          <w:b w:val="0"/>
          <w:i w:val="0"/>
          <w:sz w:val="22"/>
          <w:szCs w:val="22"/>
        </w:rPr>
        <w:t xml:space="preserve"> n. 228/2012; </w:t>
      </w:r>
    </w:p>
    <w:p w14:paraId="649A3B0A" w14:textId="77777777"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l’elenco delle spese finanziate con i proventi dei titoli abilitativi edilizi e relative sanzioni di cui all’art. 1 comma 460 </w:t>
      </w:r>
      <w:r w:rsidR="00D0382F">
        <w:rPr>
          <w:rFonts w:cs="Arial"/>
          <w:b w:val="0"/>
          <w:i w:val="0"/>
          <w:sz w:val="22"/>
          <w:szCs w:val="22"/>
        </w:rPr>
        <w:t>della Legge n.</w:t>
      </w:r>
      <w:r w:rsidRPr="00D80990">
        <w:rPr>
          <w:rFonts w:cs="Arial"/>
          <w:b w:val="0"/>
          <w:i w:val="0"/>
          <w:sz w:val="22"/>
          <w:szCs w:val="22"/>
        </w:rPr>
        <w:t>232/2016;</w:t>
      </w:r>
    </w:p>
    <w:p w14:paraId="0BD7E759" w14:textId="77777777"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lastRenderedPageBreak/>
        <w:t>l’elenco delle entrate e spese non ricorrenti.</w:t>
      </w:r>
    </w:p>
    <w:p w14:paraId="74D2E658" w14:textId="77777777" w:rsidR="00264EAF" w:rsidRPr="00D80990" w:rsidRDefault="00264EAF" w:rsidP="00264EAF">
      <w:pPr>
        <w:pStyle w:val="Corpotesto"/>
        <w:spacing w:before="240"/>
        <w:rPr>
          <w:rFonts w:cs="Arial"/>
          <w:sz w:val="22"/>
          <w:szCs w:val="22"/>
        </w:rPr>
      </w:pPr>
      <w:r w:rsidRPr="00D80990">
        <w:rPr>
          <w:rFonts w:cs="Arial"/>
          <w:sz w:val="22"/>
          <w:szCs w:val="22"/>
        </w:rPr>
        <w:t xml:space="preserve">  e i seguenti </w:t>
      </w:r>
      <w:r w:rsidRPr="00D80990">
        <w:rPr>
          <w:rFonts w:cs="Arial"/>
          <w:sz w:val="22"/>
          <w:szCs w:val="22"/>
          <w:u w:val="single"/>
        </w:rPr>
        <w:t>documenti</w:t>
      </w:r>
      <w:r w:rsidRPr="00D80990">
        <w:rPr>
          <w:rFonts w:cs="Arial"/>
          <w:sz w:val="22"/>
          <w:szCs w:val="22"/>
        </w:rPr>
        <w:t xml:space="preserve"> messi a disposizione:</w:t>
      </w:r>
    </w:p>
    <w:p w14:paraId="59DBB3D4" w14:textId="77777777" w:rsidR="00264EAF" w:rsidRPr="00D80990" w:rsidRDefault="00264EAF" w:rsidP="00264EAF">
      <w:pPr>
        <w:pStyle w:val="Paragrafoelenco"/>
        <w:numPr>
          <w:ilvl w:val="0"/>
          <w:numId w:val="39"/>
        </w:numPr>
        <w:spacing w:after="120"/>
        <w:ind w:left="1134" w:hanging="283"/>
        <w:jc w:val="both"/>
        <w:rPr>
          <w:rFonts w:ascii="Arial" w:hAnsi="Arial" w:cs="Arial"/>
          <w:sz w:val="22"/>
          <w:szCs w:val="22"/>
        </w:rPr>
      </w:pPr>
      <w:r w:rsidRPr="00D80990">
        <w:rPr>
          <w:rFonts w:ascii="Arial" w:hAnsi="Arial" w:cs="Arial"/>
          <w:sz w:val="22"/>
          <w:szCs w:val="22"/>
        </w:rPr>
        <w:t>documenti e prospetti previsti dallo statuto e dal regolamento di contabilità;</w:t>
      </w:r>
    </w:p>
    <w:p w14:paraId="5C8EC194" w14:textId="77777777" w:rsidR="00264EAF" w:rsidRPr="00AF1D75" w:rsidRDefault="00D53252" w:rsidP="00264EAF">
      <w:pPr>
        <w:pStyle w:val="Paragrafoelenco"/>
        <w:numPr>
          <w:ilvl w:val="0"/>
          <w:numId w:val="39"/>
        </w:numPr>
        <w:spacing w:after="120"/>
        <w:ind w:left="1134" w:hanging="283"/>
        <w:jc w:val="both"/>
        <w:rPr>
          <w:rFonts w:ascii="Arial" w:hAnsi="Arial" w:cs="Arial"/>
          <w:sz w:val="22"/>
          <w:szCs w:val="22"/>
        </w:rPr>
      </w:pPr>
      <w:r>
        <w:rPr>
          <w:rFonts w:ascii="Arial" w:hAnsi="Arial" w:cs="Arial"/>
          <w:sz w:val="22"/>
          <w:szCs w:val="22"/>
        </w:rPr>
        <w:t xml:space="preserve">il </w:t>
      </w:r>
      <w:r w:rsidR="00264EAF" w:rsidRPr="00AF1D75">
        <w:rPr>
          <w:rFonts w:ascii="Arial" w:hAnsi="Arial" w:cs="Arial"/>
          <w:sz w:val="22"/>
          <w:szCs w:val="22"/>
        </w:rPr>
        <w:t>prospetto analitico delle spese di personale previste in bilancio come individuate dal comma 557 dell’art.1 della Legge</w:t>
      </w:r>
      <w:r w:rsidR="00D0382F">
        <w:rPr>
          <w:rFonts w:ascii="Arial" w:hAnsi="Arial" w:cs="Arial"/>
          <w:sz w:val="22"/>
          <w:szCs w:val="22"/>
        </w:rPr>
        <w:t xml:space="preserve"> n.</w:t>
      </w:r>
      <w:r w:rsidR="00264EAF" w:rsidRPr="00AF1D75">
        <w:rPr>
          <w:rFonts w:ascii="Arial" w:hAnsi="Arial" w:cs="Arial"/>
          <w:sz w:val="22"/>
          <w:szCs w:val="22"/>
        </w:rPr>
        <w:t xml:space="preserve"> 296/2006;</w:t>
      </w:r>
    </w:p>
    <w:p w14:paraId="6BA52461" w14:textId="77777777"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 xml:space="preserve">iste le disposizioni di Legge che regolano la finanza locale, in particolare il </w:t>
      </w:r>
      <w:hyperlink r:id="rId15" w:history="1">
        <w:r w:rsidR="00264EAF" w:rsidRPr="00D80990">
          <w:rPr>
            <w:rFonts w:ascii="Arial" w:hAnsi="Arial" w:cs="Arial"/>
            <w:sz w:val="22"/>
            <w:szCs w:val="22"/>
          </w:rPr>
          <w:t>TUEL</w:t>
        </w:r>
      </w:hyperlink>
      <w:r w:rsidR="00264EAF" w:rsidRPr="00D80990">
        <w:rPr>
          <w:rFonts w:ascii="Arial" w:hAnsi="Arial" w:cs="Arial"/>
          <w:sz w:val="22"/>
          <w:szCs w:val="22"/>
        </w:rPr>
        <w:t>;</w:t>
      </w:r>
    </w:p>
    <w:p w14:paraId="3971805F" w14:textId="77777777"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isto lo statuto dell’ente, con particolare riferimento alle funzioni attribuite all’organo di revisione;</w:t>
      </w:r>
    </w:p>
    <w:p w14:paraId="52567BFA" w14:textId="77777777"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isto lo Statuto ed il regolamento di contabilità;</w:t>
      </w:r>
    </w:p>
    <w:p w14:paraId="5ADEF9E3" w14:textId="77777777"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isti i regolamenti relativi ai tributi comunali;</w:t>
      </w:r>
    </w:p>
    <w:p w14:paraId="37257206" w14:textId="77777777"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xml:space="preserve">  v</w:t>
      </w:r>
      <w:r w:rsidR="00264EAF" w:rsidRPr="00D80990">
        <w:rPr>
          <w:rFonts w:ascii="Arial" w:hAnsi="Arial" w:cs="Arial"/>
          <w:sz w:val="22"/>
          <w:szCs w:val="22"/>
        </w:rPr>
        <w:t>isto il parere espresso dal responsabile del servizio finanziario, ai sensi de</w:t>
      </w:r>
      <w:r w:rsidR="005D5C5F">
        <w:rPr>
          <w:rFonts w:ascii="Arial" w:hAnsi="Arial" w:cs="Arial"/>
          <w:sz w:val="22"/>
          <w:szCs w:val="22"/>
        </w:rPr>
        <w:t>ll’art.153, comma 4 del D.</w:t>
      </w:r>
      <w:r w:rsidR="00264EAF" w:rsidRPr="00D80990">
        <w:rPr>
          <w:rFonts w:ascii="Arial" w:hAnsi="Arial" w:cs="Arial"/>
          <w:sz w:val="22"/>
          <w:szCs w:val="22"/>
        </w:rPr>
        <w:t xml:space="preserve">Lgs. </w:t>
      </w:r>
      <w:r w:rsidR="00D0382F">
        <w:rPr>
          <w:rFonts w:ascii="Arial" w:hAnsi="Arial" w:cs="Arial"/>
          <w:sz w:val="22"/>
          <w:szCs w:val="22"/>
        </w:rPr>
        <w:t xml:space="preserve">n. </w:t>
      </w:r>
      <w:r w:rsidR="00264EAF" w:rsidRPr="00D80990">
        <w:rPr>
          <w:rFonts w:ascii="Arial" w:hAnsi="Arial" w:cs="Arial"/>
          <w:sz w:val="22"/>
          <w:szCs w:val="22"/>
        </w:rPr>
        <w:t xml:space="preserve">267/2000, in data ………. in merito alla veridicità delle previsioni di entrata e di compatibilità delle previsioni di spesa, avanzate dai vari servizi, iscritte nel bilancio di previsione </w:t>
      </w:r>
      <w:r>
        <w:rPr>
          <w:rFonts w:ascii="Arial" w:hAnsi="Arial" w:cs="Arial"/>
          <w:sz w:val="22"/>
          <w:szCs w:val="22"/>
        </w:rPr>
        <w:t>2019-</w:t>
      </w:r>
      <w:r w:rsidR="00264EAF">
        <w:rPr>
          <w:rFonts w:ascii="Arial" w:hAnsi="Arial" w:cs="Arial"/>
          <w:sz w:val="22"/>
          <w:szCs w:val="22"/>
        </w:rPr>
        <w:t>2021</w:t>
      </w:r>
      <w:r w:rsidR="00264EAF" w:rsidRPr="00D80990">
        <w:rPr>
          <w:rFonts w:ascii="Arial" w:hAnsi="Arial" w:cs="Arial"/>
          <w:sz w:val="22"/>
          <w:szCs w:val="22"/>
        </w:rPr>
        <w:t>;</w:t>
      </w:r>
    </w:p>
    <w:p w14:paraId="329433FC" w14:textId="77777777" w:rsidR="00264EAF" w:rsidRPr="00D80990" w:rsidRDefault="00D0382F" w:rsidP="00264EAF">
      <w:pPr>
        <w:tabs>
          <w:tab w:val="left" w:pos="360"/>
          <w:tab w:val="left" w:pos="426"/>
        </w:tabs>
        <w:spacing w:after="120"/>
        <w:jc w:val="both"/>
        <w:rPr>
          <w:rFonts w:ascii="Arial" w:hAnsi="Arial" w:cs="Arial"/>
          <w:sz w:val="22"/>
          <w:szCs w:val="22"/>
        </w:rPr>
      </w:pPr>
      <w:r>
        <w:rPr>
          <w:rFonts w:ascii="Arial" w:hAnsi="Arial" w:cs="Arial"/>
          <w:sz w:val="22"/>
          <w:szCs w:val="22"/>
        </w:rPr>
        <w:t xml:space="preserve">l’organo di revisione </w:t>
      </w:r>
      <w:r w:rsidR="00264EAF" w:rsidRPr="00D80990">
        <w:rPr>
          <w:rFonts w:ascii="Arial" w:hAnsi="Arial" w:cs="Arial"/>
          <w:sz w:val="22"/>
          <w:szCs w:val="22"/>
        </w:rPr>
        <w:t xml:space="preserve">haeffettuato le seguenti verifiche al fine di esprimere un motivato giudizio di coerenza, attendibilità e congruità contabile delle previsioni di bilancio e dei programmi e progetti, come richiesto dall’art. 239, comma 1, lettera b) del </w:t>
      </w:r>
      <w:r>
        <w:rPr>
          <w:rFonts w:ascii="Arial" w:hAnsi="Arial" w:cs="Arial"/>
          <w:sz w:val="22"/>
          <w:szCs w:val="22"/>
        </w:rPr>
        <w:t>D.Lgs.n. 267/2000</w:t>
      </w:r>
      <w:r w:rsidR="00264EAF" w:rsidRPr="00D80990">
        <w:rPr>
          <w:rFonts w:ascii="Arial" w:hAnsi="Arial" w:cs="Arial"/>
          <w:sz w:val="22"/>
          <w:szCs w:val="22"/>
        </w:rPr>
        <w:t>.</w:t>
      </w:r>
    </w:p>
    <w:p w14:paraId="7A9B2249" w14:textId="77777777" w:rsidR="00264EAF" w:rsidRPr="00D80990" w:rsidRDefault="00264EAF" w:rsidP="00264EAF">
      <w:pPr>
        <w:tabs>
          <w:tab w:val="left" w:pos="360"/>
          <w:tab w:val="left" w:pos="426"/>
        </w:tabs>
        <w:spacing w:after="120"/>
        <w:jc w:val="both"/>
        <w:rPr>
          <w:rFonts w:ascii="Arial" w:hAnsi="Arial" w:cs="Arial"/>
        </w:rPr>
      </w:pPr>
    </w:p>
    <w:p w14:paraId="2C7F3F42" w14:textId="77777777" w:rsidR="00264EAF" w:rsidRPr="00D80990" w:rsidRDefault="00264EAF" w:rsidP="00264EAF">
      <w:pPr>
        <w:pStyle w:val="Titolo1"/>
        <w:shd w:val="clear" w:color="auto" w:fill="B6DDE8" w:themeFill="accent5" w:themeFillTint="66"/>
      </w:pPr>
      <w:bookmarkStart w:id="4" w:name="_Toc535487597"/>
      <w:r w:rsidRPr="00D80990">
        <w:t>ACCERTAMENTI PRELIMINARI</w:t>
      </w:r>
      <w:bookmarkEnd w:id="4"/>
    </w:p>
    <w:p w14:paraId="28AAA0D1" w14:textId="77777777" w:rsidR="00264EAF" w:rsidRPr="00D80990" w:rsidRDefault="00264EAF" w:rsidP="00264EAF">
      <w:pPr>
        <w:spacing w:before="120"/>
        <w:jc w:val="both"/>
        <w:rPr>
          <w:rFonts w:ascii="Arial" w:hAnsi="Arial" w:cs="Arial"/>
          <w:sz w:val="22"/>
          <w:szCs w:val="22"/>
        </w:rPr>
      </w:pPr>
      <w:r w:rsidRPr="00D80990">
        <w:rPr>
          <w:rFonts w:ascii="Arial" w:hAnsi="Arial" w:cs="Arial"/>
          <w:sz w:val="22"/>
          <w:szCs w:val="22"/>
        </w:rPr>
        <w:t>L’Ente entro il 30 novembre 2018</w:t>
      </w:r>
      <w:r w:rsidRPr="00D80990">
        <w:rPr>
          <w:rFonts w:ascii="Arial" w:hAnsi="Arial" w:cs="Arial"/>
          <w:b/>
          <w:i/>
          <w:sz w:val="22"/>
          <w:szCs w:val="22"/>
        </w:rPr>
        <w:t>ha/non</w:t>
      </w:r>
      <w:r w:rsidRPr="00D80990">
        <w:rPr>
          <w:rFonts w:ascii="Arial" w:hAnsi="Arial" w:cs="Arial"/>
          <w:sz w:val="22"/>
          <w:szCs w:val="22"/>
        </w:rPr>
        <w:t xml:space="preserve"> ha aggiornato gli stanziamenti 2018 del bilancio di previsione 2018-2020.</w:t>
      </w:r>
    </w:p>
    <w:p w14:paraId="34E84399" w14:textId="77777777" w:rsidR="00264EAF" w:rsidRPr="00D80990" w:rsidRDefault="00264EAF" w:rsidP="00264EAF">
      <w:pPr>
        <w:spacing w:before="120"/>
        <w:jc w:val="both"/>
        <w:rPr>
          <w:rFonts w:ascii="Arial" w:hAnsi="Arial" w:cs="Arial"/>
          <w:sz w:val="22"/>
          <w:szCs w:val="22"/>
        </w:rPr>
      </w:pPr>
    </w:p>
    <w:p w14:paraId="4D761DF9" w14:textId="77777777" w:rsidR="00264EAF" w:rsidRPr="00D80990" w:rsidRDefault="00264EAF" w:rsidP="00264EAF">
      <w:pPr>
        <w:pStyle w:val="PreformattatoHTML"/>
        <w:jc w:val="both"/>
        <w:rPr>
          <w:rFonts w:ascii="Arial" w:hAnsi="Arial" w:cs="Arial"/>
          <w:i/>
          <w:sz w:val="22"/>
          <w:szCs w:val="22"/>
        </w:rPr>
      </w:pPr>
      <w:r w:rsidRPr="00D80990">
        <w:rPr>
          <w:rFonts w:ascii="Arial" w:hAnsi="Arial" w:cs="Arial"/>
          <w:i/>
          <w:sz w:val="22"/>
          <w:szCs w:val="22"/>
        </w:rPr>
        <w:t>(eventuale - per chi delibera il bilancio dopo il 1/1/2019)</w:t>
      </w:r>
    </w:p>
    <w:p w14:paraId="4768A7AF" w14:textId="77777777" w:rsidR="00264EAF" w:rsidRPr="00D80990" w:rsidRDefault="00264EAF" w:rsidP="00264EAF">
      <w:pPr>
        <w:pStyle w:val="PreformattatoHTML"/>
        <w:jc w:val="both"/>
        <w:rPr>
          <w:rFonts w:ascii="Arial" w:hAnsi="Arial" w:cs="Arial"/>
          <w:i/>
          <w:sz w:val="22"/>
          <w:szCs w:val="22"/>
        </w:rPr>
      </w:pPr>
    </w:p>
    <w:p w14:paraId="14F5B054" w14:textId="77777777" w:rsidR="00264EAF" w:rsidRPr="00D80990" w:rsidRDefault="00264EAF" w:rsidP="00264EAF">
      <w:pPr>
        <w:pStyle w:val="PreformattatoHTML"/>
        <w:jc w:val="both"/>
        <w:rPr>
          <w:rFonts w:ascii="Arial" w:hAnsi="Arial" w:cs="Arial"/>
          <w:sz w:val="22"/>
          <w:szCs w:val="22"/>
        </w:rPr>
      </w:pPr>
      <w:r w:rsidRPr="00D80990">
        <w:rPr>
          <w:rFonts w:ascii="Arial" w:hAnsi="Arial" w:cs="Arial"/>
          <w:sz w:val="22"/>
          <w:szCs w:val="22"/>
        </w:rPr>
        <w:t xml:space="preserve">Essendo in esercizio provvisorio, l’Ente </w:t>
      </w:r>
      <w:r w:rsidRPr="00D80990">
        <w:rPr>
          <w:rFonts w:ascii="Arial" w:hAnsi="Arial" w:cs="Arial"/>
          <w:b/>
          <w:i/>
          <w:sz w:val="22"/>
          <w:szCs w:val="22"/>
        </w:rPr>
        <w:t>ha/non ha</w:t>
      </w:r>
      <w:r w:rsidRPr="00D80990">
        <w:rPr>
          <w:rFonts w:ascii="Arial" w:hAnsi="Arial" w:cs="Arial"/>
          <w:sz w:val="22"/>
          <w:szCs w:val="22"/>
        </w:rPr>
        <w:t xml:space="preserve"> trasmesso al Tesoriere l’elenco dei residui presunti alla data del 1° gennaio 2019 e gli stanziamenti di competenza 2019 del bilancio</w:t>
      </w:r>
      <w:r w:rsidR="00D53252">
        <w:rPr>
          <w:rFonts w:ascii="Arial" w:hAnsi="Arial" w:cs="Arial"/>
          <w:sz w:val="22"/>
          <w:szCs w:val="22"/>
        </w:rPr>
        <w:t xml:space="preserve"> di previsione pluriennale 2018-</w:t>
      </w:r>
      <w:r w:rsidRPr="00D80990">
        <w:rPr>
          <w:rFonts w:ascii="Arial" w:hAnsi="Arial" w:cs="Arial"/>
          <w:sz w:val="22"/>
          <w:szCs w:val="22"/>
        </w:rPr>
        <w:t>2020 aggiornati alle variazioni deliberate nel corso dell’esercizio 2018, indicanti – per ciascuna missione, programma e titolo - gli impegni già assunti e l’importo del fondo pluriennale vincolato.</w:t>
      </w:r>
    </w:p>
    <w:p w14:paraId="307A527F" w14:textId="77777777" w:rsidR="00264EAF" w:rsidRPr="00D80990" w:rsidRDefault="00264EAF" w:rsidP="00264EAF">
      <w:pPr>
        <w:pStyle w:val="PreformattatoHTML"/>
        <w:jc w:val="both"/>
        <w:rPr>
          <w:rFonts w:ascii="Arial" w:hAnsi="Arial" w:cs="Arial"/>
          <w:sz w:val="22"/>
          <w:szCs w:val="22"/>
        </w:rPr>
      </w:pPr>
    </w:p>
    <w:p w14:paraId="5FBB8CA7" w14:textId="77777777" w:rsidR="00264EAF" w:rsidRPr="00D80990" w:rsidRDefault="00264EAF" w:rsidP="00264EAF">
      <w:pPr>
        <w:pStyle w:val="Titolo1"/>
        <w:shd w:val="clear" w:color="auto" w:fill="B6DDE8" w:themeFill="accent5" w:themeFillTint="66"/>
        <w:tabs>
          <w:tab w:val="left" w:pos="610"/>
          <w:tab w:val="left" w:pos="2320"/>
          <w:tab w:val="center" w:pos="4864"/>
        </w:tabs>
        <w:jc w:val="left"/>
      </w:pPr>
      <w:r w:rsidRPr="00D80990">
        <w:tab/>
      </w:r>
      <w:r w:rsidRPr="00D80990">
        <w:tab/>
      </w:r>
      <w:r w:rsidRPr="00D80990">
        <w:tab/>
      </w:r>
      <w:bookmarkStart w:id="5" w:name="_Toc346838816"/>
      <w:bookmarkStart w:id="6" w:name="_Toc535487598"/>
      <w:r w:rsidRPr="00D80990">
        <w:t>VERIFICHE DEGLI EQUILIBRI</w:t>
      </w:r>
      <w:bookmarkEnd w:id="5"/>
      <w:bookmarkEnd w:id="6"/>
    </w:p>
    <w:p w14:paraId="390FDD8D" w14:textId="77777777" w:rsidR="00264EAF" w:rsidRPr="00D80990" w:rsidRDefault="00264EAF" w:rsidP="00264EAF">
      <w:pPr>
        <w:pStyle w:val="Titolo2"/>
        <w:jc w:val="left"/>
      </w:pPr>
      <w:bookmarkStart w:id="7" w:name="_GESTIONE_DELL’ESERCIZIO_2008"/>
      <w:bookmarkStart w:id="8" w:name="_Toc346838817"/>
      <w:bookmarkStart w:id="9" w:name="_Toc535487599"/>
      <w:bookmarkEnd w:id="7"/>
      <w:r w:rsidRPr="00D80990">
        <w:t xml:space="preserve">GESTIONE DELL’ESERCIZIO </w:t>
      </w:r>
      <w:bookmarkEnd w:id="8"/>
      <w:r w:rsidRPr="00D80990">
        <w:t>2018</w:t>
      </w:r>
      <w:bookmarkEnd w:id="9"/>
    </w:p>
    <w:p w14:paraId="30B33FDE" w14:textId="77777777" w:rsidR="00264EAF" w:rsidRPr="00D80990" w:rsidRDefault="00264EAF" w:rsidP="00264EAF">
      <w:pPr>
        <w:spacing w:before="120"/>
        <w:jc w:val="both"/>
        <w:rPr>
          <w:rFonts w:ascii="Arial" w:hAnsi="Arial" w:cs="Arial"/>
          <w:sz w:val="22"/>
          <w:szCs w:val="22"/>
        </w:rPr>
      </w:pPr>
      <w:r w:rsidRPr="00D80990">
        <w:rPr>
          <w:rFonts w:ascii="Arial" w:hAnsi="Arial" w:cs="Arial"/>
          <w:sz w:val="22"/>
          <w:szCs w:val="22"/>
        </w:rPr>
        <w:t>L’organo consiliare ha approvato con delibera n. ….del……. la proposta di rendiconto per l’esercizio 2017.</w:t>
      </w:r>
    </w:p>
    <w:p w14:paraId="67A5F2B9" w14:textId="77777777" w:rsidR="00264EAF" w:rsidRPr="00D80990" w:rsidRDefault="00264EAF" w:rsidP="00264EAF">
      <w:pPr>
        <w:spacing w:before="120" w:line="240" w:lineRule="exact"/>
        <w:jc w:val="both"/>
        <w:rPr>
          <w:rFonts w:ascii="Arial" w:hAnsi="Arial" w:cs="Arial"/>
          <w:sz w:val="22"/>
          <w:szCs w:val="22"/>
        </w:rPr>
      </w:pPr>
      <w:r w:rsidRPr="00D80990">
        <w:rPr>
          <w:rFonts w:ascii="Arial" w:hAnsi="Arial" w:cs="Arial"/>
          <w:sz w:val="22"/>
          <w:szCs w:val="22"/>
        </w:rPr>
        <w:t xml:space="preserve">Da tale rendiconto, come indicato nella relazione dell’organo di revisione formulata con verbale n…..  in data ……….. </w:t>
      </w:r>
      <w:r w:rsidR="003F07BD">
        <w:rPr>
          <w:rFonts w:ascii="Arial" w:hAnsi="Arial" w:cs="Arial"/>
          <w:sz w:val="22"/>
          <w:szCs w:val="22"/>
        </w:rPr>
        <w:t xml:space="preserve">si </w:t>
      </w:r>
      <w:r>
        <w:rPr>
          <w:rFonts w:ascii="Arial" w:hAnsi="Arial" w:cs="Arial"/>
          <w:sz w:val="22"/>
          <w:szCs w:val="22"/>
        </w:rPr>
        <w:t>evidenzia</w:t>
      </w:r>
      <w:r w:rsidRPr="00D80990">
        <w:rPr>
          <w:rFonts w:ascii="Arial" w:hAnsi="Arial" w:cs="Arial"/>
          <w:sz w:val="22"/>
          <w:szCs w:val="22"/>
        </w:rPr>
        <w:t xml:space="preserve"> che:</w:t>
      </w:r>
    </w:p>
    <w:p w14:paraId="645DA38F" w14:textId="77777777"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sono salvaguardati gli equilibri di bilancio;</w:t>
      </w:r>
    </w:p>
    <w:p w14:paraId="7758848E" w14:textId="77777777"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non risultano debiti fuori bilancio o passività probabili da finanziare;</w:t>
      </w:r>
    </w:p>
    <w:p w14:paraId="19E23319" w14:textId="77777777"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 xml:space="preserve">è stato rispettato l’obiettivo del pareggio di bilancio; </w:t>
      </w:r>
    </w:p>
    <w:p w14:paraId="15CF1522" w14:textId="77777777"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sono state rispettate le disposizioni sul contenimento delle spese di personale;</w:t>
      </w:r>
    </w:p>
    <w:p w14:paraId="446A8507" w14:textId="77777777" w:rsidR="00264EAF"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non sono richiesti finanziamenti straordi</w:t>
      </w:r>
      <w:r>
        <w:rPr>
          <w:rFonts w:ascii="Arial" w:hAnsi="Arial" w:cs="Arial"/>
          <w:sz w:val="22"/>
          <w:szCs w:val="22"/>
        </w:rPr>
        <w:t>nari agli organismi partecipati;</w:t>
      </w:r>
    </w:p>
    <w:p w14:paraId="457E48EA" w14:textId="77777777" w:rsidR="00264EAF" w:rsidRDefault="00264EAF" w:rsidP="00264EAF">
      <w:pPr>
        <w:numPr>
          <w:ilvl w:val="0"/>
          <w:numId w:val="8"/>
        </w:numPr>
        <w:spacing w:before="120" w:line="240" w:lineRule="exact"/>
        <w:jc w:val="both"/>
        <w:rPr>
          <w:rFonts w:ascii="Arial" w:hAnsi="Arial" w:cs="Arial"/>
          <w:sz w:val="22"/>
          <w:szCs w:val="22"/>
        </w:rPr>
      </w:pPr>
      <w:r>
        <w:rPr>
          <w:rFonts w:ascii="Arial" w:hAnsi="Arial" w:cs="Arial"/>
          <w:sz w:val="22"/>
          <w:szCs w:val="22"/>
        </w:rPr>
        <w:t>è stato conseguito un risultato di amministrazione disponibile (lett. E) positivo;</w:t>
      </w:r>
    </w:p>
    <w:p w14:paraId="18C01E04" w14:textId="77777777" w:rsidR="00264EAF" w:rsidRPr="00D80990" w:rsidRDefault="00264EAF" w:rsidP="00264EAF">
      <w:pPr>
        <w:numPr>
          <w:ilvl w:val="0"/>
          <w:numId w:val="8"/>
        </w:numPr>
        <w:spacing w:before="120" w:line="240" w:lineRule="exact"/>
        <w:jc w:val="both"/>
        <w:rPr>
          <w:rFonts w:ascii="Arial" w:hAnsi="Arial" w:cs="Arial"/>
          <w:sz w:val="22"/>
          <w:szCs w:val="22"/>
        </w:rPr>
      </w:pPr>
      <w:r>
        <w:rPr>
          <w:rFonts w:ascii="Arial" w:hAnsi="Arial" w:cs="Arial"/>
          <w:sz w:val="22"/>
          <w:szCs w:val="22"/>
        </w:rPr>
        <w:t>gli accantonamenti risultano congrui.</w:t>
      </w:r>
    </w:p>
    <w:p w14:paraId="1D4C2D3D" w14:textId="77777777" w:rsidR="00264EAF" w:rsidRDefault="00264EAF" w:rsidP="00264EAF">
      <w:pPr>
        <w:spacing w:before="120" w:line="240" w:lineRule="exact"/>
        <w:jc w:val="both"/>
        <w:rPr>
          <w:rFonts w:ascii="Arial" w:hAnsi="Arial" w:cs="Arial"/>
          <w:sz w:val="22"/>
          <w:szCs w:val="22"/>
        </w:rPr>
      </w:pPr>
    </w:p>
    <w:p w14:paraId="0E702FF7" w14:textId="77777777" w:rsidR="005D5C5F" w:rsidRPr="00D80990" w:rsidRDefault="005D5C5F" w:rsidP="00264EAF">
      <w:pPr>
        <w:spacing w:before="120" w:line="240" w:lineRule="exact"/>
        <w:jc w:val="both"/>
        <w:rPr>
          <w:rFonts w:ascii="Arial" w:hAnsi="Arial" w:cs="Arial"/>
          <w:sz w:val="22"/>
          <w:szCs w:val="22"/>
        </w:rPr>
      </w:pPr>
    </w:p>
    <w:p w14:paraId="00ECD00E" w14:textId="77777777" w:rsidR="00264EAF" w:rsidRPr="00D80990" w:rsidRDefault="00264EAF" w:rsidP="00264EAF">
      <w:pPr>
        <w:spacing w:before="120" w:line="240" w:lineRule="exact"/>
        <w:jc w:val="both"/>
        <w:rPr>
          <w:rFonts w:ascii="Arial" w:hAnsi="Arial" w:cs="Arial"/>
          <w:i/>
          <w:sz w:val="22"/>
          <w:szCs w:val="22"/>
        </w:rPr>
      </w:pPr>
      <w:r w:rsidRPr="00D80990">
        <w:rPr>
          <w:rFonts w:ascii="Arial" w:hAnsi="Arial" w:cs="Arial"/>
          <w:i/>
          <w:sz w:val="22"/>
          <w:szCs w:val="22"/>
        </w:rPr>
        <w:t>Oppure:</w:t>
      </w:r>
    </w:p>
    <w:p w14:paraId="17F65AD7" w14:textId="77777777" w:rsidR="003F07BD" w:rsidRDefault="00264EAF" w:rsidP="00264EAF">
      <w:pPr>
        <w:spacing w:before="120" w:line="240" w:lineRule="exact"/>
        <w:jc w:val="both"/>
        <w:rPr>
          <w:rFonts w:ascii="Arial" w:hAnsi="Arial" w:cs="Arial"/>
          <w:i/>
          <w:color w:val="00B0F0"/>
          <w:sz w:val="22"/>
          <w:szCs w:val="22"/>
        </w:rPr>
      </w:pPr>
      <w:r w:rsidRPr="003F07BD">
        <w:rPr>
          <w:rFonts w:ascii="Arial" w:hAnsi="Arial" w:cs="Arial"/>
          <w:i/>
          <w:color w:val="00B0F0"/>
          <w:sz w:val="22"/>
          <w:szCs w:val="22"/>
        </w:rPr>
        <w:t>indicare le criticità riscontrate</w:t>
      </w:r>
    </w:p>
    <w:p w14:paraId="6107B4F5" w14:textId="77777777" w:rsidR="00264EAF" w:rsidRPr="003F07BD" w:rsidRDefault="003F07BD" w:rsidP="00264EAF">
      <w:pPr>
        <w:spacing w:before="120" w:line="240" w:lineRule="exact"/>
        <w:jc w:val="both"/>
        <w:rPr>
          <w:rFonts w:ascii="Arial" w:hAnsi="Arial" w:cs="Arial"/>
          <w:i/>
          <w:color w:val="00B0F0"/>
          <w:sz w:val="22"/>
          <w:szCs w:val="22"/>
        </w:rPr>
      </w:pPr>
      <w:r>
        <w:rPr>
          <w:rFonts w:ascii="Arial" w:hAnsi="Arial" w:cs="Arial"/>
          <w:i/>
          <w:color w:val="00B0F0"/>
          <w:sz w:val="22"/>
          <w:szCs w:val="22"/>
        </w:rPr>
        <w:t>……..</w:t>
      </w:r>
    </w:p>
    <w:p w14:paraId="7FB611F3" w14:textId="77777777" w:rsidR="00264EAF" w:rsidRPr="00D80990" w:rsidRDefault="00264EAF" w:rsidP="00264EAF">
      <w:pPr>
        <w:spacing w:before="120" w:after="60"/>
        <w:jc w:val="both"/>
        <w:rPr>
          <w:rFonts w:ascii="Arial" w:hAnsi="Arial" w:cs="Arial"/>
          <w:sz w:val="22"/>
          <w:szCs w:val="22"/>
        </w:rPr>
      </w:pPr>
    </w:p>
    <w:p w14:paraId="06DB91DD" w14:textId="77777777" w:rsidR="00001A14" w:rsidRDefault="00001A14" w:rsidP="00001A14">
      <w:pPr>
        <w:spacing w:before="120" w:after="60"/>
        <w:jc w:val="both"/>
        <w:rPr>
          <w:rFonts w:ascii="Arial" w:hAnsi="Arial" w:cs="Arial"/>
          <w:sz w:val="22"/>
          <w:szCs w:val="22"/>
        </w:rPr>
      </w:pPr>
      <w:r w:rsidRPr="00D80990">
        <w:rPr>
          <w:rFonts w:ascii="Arial" w:hAnsi="Arial" w:cs="Arial"/>
          <w:sz w:val="22"/>
          <w:szCs w:val="22"/>
        </w:rPr>
        <w:t>La gestione dell’anno 2017 (</w:t>
      </w:r>
      <w:r w:rsidRPr="00D80990">
        <w:rPr>
          <w:rFonts w:ascii="Arial" w:hAnsi="Arial" w:cs="Arial"/>
          <w:i/>
          <w:sz w:val="22"/>
          <w:szCs w:val="22"/>
        </w:rPr>
        <w:t>oppure: anno 2018 se deliberato il rendiconto</w:t>
      </w:r>
      <w:r w:rsidRPr="00D80990">
        <w:rPr>
          <w:rFonts w:ascii="Arial" w:hAnsi="Arial" w:cs="Arial"/>
          <w:sz w:val="22"/>
          <w:szCs w:val="22"/>
        </w:rPr>
        <w:t>) si è chiusa con un risultato di amministrazione al 31/12/2017 (oppure: al 31/12/2018 se deliberato il rendiconto) così distinto ai sensi dell’art.187 del TUEL:</w:t>
      </w:r>
    </w:p>
    <w:bookmarkStart w:id="10" w:name="_MON_1609225565"/>
    <w:bookmarkEnd w:id="10"/>
    <w:p w14:paraId="3077850E" w14:textId="77777777" w:rsidR="006A7CBA" w:rsidRPr="00D80990" w:rsidRDefault="0068516A" w:rsidP="00062BED">
      <w:pPr>
        <w:spacing w:before="120" w:after="60"/>
        <w:jc w:val="center"/>
        <w:rPr>
          <w:rFonts w:ascii="Arial" w:hAnsi="Arial" w:cs="Arial"/>
          <w:sz w:val="22"/>
          <w:szCs w:val="22"/>
        </w:rPr>
      </w:pPr>
      <w:r w:rsidRPr="00213664">
        <w:rPr>
          <w:rFonts w:ascii="Arial" w:hAnsi="Arial" w:cs="Arial"/>
          <w:sz w:val="22"/>
          <w:szCs w:val="22"/>
        </w:rPr>
        <w:object w:dxaOrig="6706" w:dyaOrig="2241" w14:anchorId="413837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38.25pt;height:115.5pt" o:ole="">
            <v:imagedata r:id="rId16" o:title=""/>
          </v:shape>
          <o:OLEObject Type="Embed" ProgID="Excel.Sheet.12" ShapeID="_x0000_i1026" DrawAspect="Content" ObjectID="_1780988715" r:id="rId17"/>
        </w:object>
      </w:r>
    </w:p>
    <w:p w14:paraId="743845A5" w14:textId="77777777" w:rsidR="00001A14" w:rsidRDefault="00001A14" w:rsidP="00001A14">
      <w:pPr>
        <w:spacing w:before="120" w:after="60"/>
        <w:ind w:left="142"/>
        <w:jc w:val="center"/>
        <w:rPr>
          <w:rFonts w:ascii="Arial" w:hAnsi="Arial" w:cs="Arial"/>
          <w:sz w:val="22"/>
          <w:szCs w:val="22"/>
        </w:rPr>
      </w:pPr>
      <w:bookmarkStart w:id="11" w:name="RANGE!A2:B9"/>
      <w:bookmarkEnd w:id="11"/>
    </w:p>
    <w:p w14:paraId="2DD4C9CC" w14:textId="77777777" w:rsidR="006E10DF" w:rsidRDefault="006E10DF" w:rsidP="00001A14">
      <w:pPr>
        <w:spacing w:before="120" w:after="60"/>
        <w:ind w:left="142"/>
        <w:jc w:val="center"/>
        <w:rPr>
          <w:rFonts w:ascii="Arial" w:hAnsi="Arial" w:cs="Arial"/>
          <w:sz w:val="22"/>
          <w:szCs w:val="22"/>
        </w:rPr>
      </w:pPr>
    </w:p>
    <w:p w14:paraId="574E5E84" w14:textId="77777777" w:rsidR="00001A14" w:rsidRDefault="00001A14" w:rsidP="00001A14">
      <w:pPr>
        <w:spacing w:before="120" w:after="60"/>
        <w:ind w:left="142"/>
        <w:rPr>
          <w:rFonts w:ascii="Arial" w:hAnsi="Arial" w:cs="Arial"/>
          <w:i/>
          <w:sz w:val="22"/>
          <w:szCs w:val="22"/>
          <w:u w:val="single"/>
        </w:rPr>
      </w:pPr>
      <w:r w:rsidRPr="005C55B7">
        <w:rPr>
          <w:rFonts w:ascii="Arial" w:hAnsi="Arial" w:cs="Arial"/>
          <w:i/>
          <w:sz w:val="22"/>
          <w:szCs w:val="22"/>
        </w:rPr>
        <w:t xml:space="preserve">Oppure </w:t>
      </w:r>
      <w:r w:rsidRPr="00615F65">
        <w:rPr>
          <w:rFonts w:ascii="Arial" w:hAnsi="Arial" w:cs="Arial"/>
          <w:i/>
          <w:sz w:val="22"/>
          <w:szCs w:val="22"/>
          <w:u w:val="single"/>
        </w:rPr>
        <w:t>in caso di disavanzo</w:t>
      </w:r>
    </w:p>
    <w:bookmarkStart w:id="12" w:name="_MON_1609225612"/>
    <w:bookmarkEnd w:id="12"/>
    <w:p w14:paraId="748CCBC3" w14:textId="77777777" w:rsidR="006E10DF" w:rsidRDefault="0068516A" w:rsidP="00062BED">
      <w:pPr>
        <w:spacing w:before="120" w:after="60"/>
        <w:ind w:left="142"/>
        <w:jc w:val="center"/>
        <w:rPr>
          <w:rFonts w:ascii="Arial" w:hAnsi="Arial" w:cs="Arial"/>
          <w:i/>
          <w:sz w:val="22"/>
          <w:szCs w:val="22"/>
        </w:rPr>
      </w:pPr>
      <w:r w:rsidRPr="00213664">
        <w:rPr>
          <w:rFonts w:ascii="Arial" w:hAnsi="Arial" w:cs="Arial"/>
          <w:i/>
          <w:sz w:val="22"/>
          <w:szCs w:val="22"/>
        </w:rPr>
        <w:object w:dxaOrig="6706" w:dyaOrig="1994" w14:anchorId="24C4453F">
          <v:shape id="_x0000_i1027" type="#_x0000_t75" style="width:338.25pt;height:100.5pt" o:ole="">
            <v:imagedata r:id="rId18" o:title=""/>
          </v:shape>
          <o:OLEObject Type="Embed" ProgID="Excel.Sheet.12" ShapeID="_x0000_i1027" DrawAspect="Content" ObjectID="_1780988716" r:id="rId19"/>
        </w:object>
      </w:r>
    </w:p>
    <w:p w14:paraId="5871E190" w14:textId="77777777" w:rsidR="006E10DF" w:rsidRPr="005C55B7" w:rsidRDefault="006E10DF" w:rsidP="00001A14">
      <w:pPr>
        <w:spacing w:before="120" w:after="60"/>
        <w:ind w:left="142"/>
        <w:rPr>
          <w:rFonts w:ascii="Arial" w:hAnsi="Arial" w:cs="Arial"/>
          <w:i/>
          <w:sz w:val="22"/>
          <w:szCs w:val="22"/>
        </w:rPr>
      </w:pPr>
    </w:p>
    <w:p w14:paraId="23E7368B" w14:textId="77777777" w:rsidR="00F71A88" w:rsidRDefault="00F71A88" w:rsidP="004C602C">
      <w:pPr>
        <w:jc w:val="both"/>
        <w:rPr>
          <w:rFonts w:ascii="Arial" w:hAnsi="Arial" w:cs="Arial"/>
          <w:i/>
          <w:color w:val="00B0F0"/>
          <w:sz w:val="22"/>
          <w:szCs w:val="22"/>
        </w:rPr>
      </w:pPr>
    </w:p>
    <w:p w14:paraId="7824352E" w14:textId="77777777" w:rsidR="004C602C" w:rsidRPr="00CA3141" w:rsidRDefault="004C602C" w:rsidP="004C602C">
      <w:pPr>
        <w:jc w:val="both"/>
        <w:rPr>
          <w:rFonts w:ascii="Arial" w:hAnsi="Arial" w:cs="Arial"/>
          <w:i/>
          <w:color w:val="00B0F0"/>
          <w:sz w:val="22"/>
          <w:szCs w:val="22"/>
        </w:rPr>
      </w:pPr>
      <w:r w:rsidRPr="00CA3141">
        <w:rPr>
          <w:rFonts w:ascii="Arial" w:hAnsi="Arial" w:cs="Arial"/>
          <w:i/>
          <w:color w:val="00B0F0"/>
          <w:sz w:val="22"/>
          <w:szCs w:val="22"/>
        </w:rPr>
        <w:t>L’articolo 4, comma 6, decreto del Ministero dell’economia e delle finanze, di concerto con il Ministero dell’interno, del 2 aprile 2015, concernente i criteri e le modalità di ripiano dell’eventuale maggiore disavanzo al 1° gennaio 2015, prevede "La nota integrativa al bilancio di previsione indica le modalità di copertura dell’eventuale disavanzo applicato al bilancio distintamente per la quota derivante dal riaccertamento straordinario rispetto a quella derivante dalla gestione ordinaria. La nota integrativa indica altresì le modalità di copertura contabile dell’eventuale disavanzo tecnico di cui all’articolo 3, comma 13, del decreto legislativo n. 118 del 2011."</w:t>
      </w:r>
    </w:p>
    <w:p w14:paraId="201918E1" w14:textId="77777777" w:rsidR="004C602C" w:rsidRPr="00CA3141" w:rsidRDefault="004C602C" w:rsidP="004C602C">
      <w:pPr>
        <w:jc w:val="both"/>
        <w:rPr>
          <w:rFonts w:ascii="Arial" w:hAnsi="Arial" w:cs="Arial"/>
          <w:i/>
          <w:color w:val="00B0F0"/>
          <w:sz w:val="22"/>
          <w:szCs w:val="22"/>
        </w:rPr>
      </w:pPr>
      <w:r w:rsidRPr="00CA3141">
        <w:rPr>
          <w:rFonts w:ascii="Arial" w:hAnsi="Arial" w:cs="Arial"/>
          <w:i/>
          <w:color w:val="00B0F0"/>
          <w:sz w:val="22"/>
          <w:szCs w:val="22"/>
        </w:rPr>
        <w:t xml:space="preserve">Pertanto, la nota integrativa descrive la composizione del risultato di amministrazione presunto individuato nell’allegato a) al bilancio di previsione (lettera E), se negativo e, per ciascuna componente del disavanzo, indica le modalità di ripiano definite in attuazione delle rispettive discipline e l’importo da ripianare per ciascuno degli esercizi considerati nel bilancio di previsione.  </w:t>
      </w:r>
    </w:p>
    <w:p w14:paraId="7DDC2A41" w14:textId="77777777" w:rsidR="004C602C" w:rsidRPr="0036485D" w:rsidRDefault="004C602C" w:rsidP="004C602C">
      <w:pPr>
        <w:jc w:val="both"/>
        <w:rPr>
          <w:rFonts w:ascii="Arial" w:hAnsi="Arial" w:cs="Arial"/>
          <w:b/>
          <w:i/>
          <w:color w:val="00B0F0"/>
          <w:sz w:val="22"/>
          <w:szCs w:val="22"/>
        </w:rPr>
      </w:pPr>
      <w:r w:rsidRPr="0036485D">
        <w:rPr>
          <w:rFonts w:ascii="Arial" w:hAnsi="Arial" w:cs="Arial"/>
          <w:b/>
          <w:i/>
          <w:color w:val="00B0F0"/>
          <w:sz w:val="22"/>
          <w:szCs w:val="22"/>
        </w:rPr>
        <w:t xml:space="preserve">Tali indicazioni sono sinteticamente riepilogate nelle </w:t>
      </w:r>
      <w:r w:rsidR="0036485D" w:rsidRPr="0036485D">
        <w:rPr>
          <w:rFonts w:ascii="Arial" w:hAnsi="Arial" w:cs="Arial"/>
          <w:b/>
          <w:i/>
          <w:color w:val="00B0F0"/>
          <w:sz w:val="22"/>
          <w:szCs w:val="22"/>
        </w:rPr>
        <w:t>tabelle riportate al punto 9.11.7 del principio contabile 4/1</w:t>
      </w:r>
      <w:r w:rsidR="0036485D">
        <w:rPr>
          <w:rFonts w:ascii="Arial" w:hAnsi="Arial" w:cs="Arial"/>
          <w:b/>
          <w:i/>
          <w:color w:val="00B0F0"/>
          <w:sz w:val="22"/>
          <w:szCs w:val="22"/>
        </w:rPr>
        <w:t>.</w:t>
      </w:r>
    </w:p>
    <w:p w14:paraId="024DFA80" w14:textId="77777777" w:rsidR="00001A14" w:rsidRDefault="00001A14" w:rsidP="00001A14">
      <w:pPr>
        <w:spacing w:before="120" w:after="60"/>
        <w:ind w:left="142"/>
        <w:jc w:val="center"/>
        <w:rPr>
          <w:rFonts w:ascii="Arial" w:hAnsi="Arial" w:cs="Arial"/>
          <w:sz w:val="22"/>
          <w:szCs w:val="22"/>
        </w:rPr>
      </w:pPr>
    </w:p>
    <w:p w14:paraId="048FAFC9" w14:textId="77777777" w:rsidR="005B6DB5" w:rsidRDefault="005B6DB5" w:rsidP="00001A14">
      <w:pPr>
        <w:spacing w:before="120" w:after="60"/>
        <w:ind w:left="142"/>
        <w:jc w:val="center"/>
        <w:rPr>
          <w:rFonts w:ascii="Arial" w:hAnsi="Arial" w:cs="Arial"/>
          <w:sz w:val="22"/>
          <w:szCs w:val="22"/>
        </w:rPr>
      </w:pPr>
    </w:p>
    <w:p w14:paraId="175756BD" w14:textId="77777777" w:rsidR="005B6DB5" w:rsidRDefault="005B6DB5" w:rsidP="00001A14">
      <w:pPr>
        <w:spacing w:before="120" w:after="60"/>
        <w:ind w:left="142"/>
        <w:jc w:val="center"/>
        <w:rPr>
          <w:rFonts w:ascii="Arial" w:hAnsi="Arial" w:cs="Arial"/>
          <w:sz w:val="22"/>
          <w:szCs w:val="22"/>
        </w:rPr>
      </w:pPr>
    </w:p>
    <w:p w14:paraId="0CA75B48" w14:textId="77777777" w:rsidR="005B6DB5" w:rsidRDefault="005B6DB5" w:rsidP="00001A14">
      <w:pPr>
        <w:spacing w:before="120" w:after="60"/>
        <w:ind w:left="142"/>
        <w:jc w:val="center"/>
        <w:rPr>
          <w:rFonts w:ascii="Arial" w:hAnsi="Arial" w:cs="Arial"/>
          <w:sz w:val="22"/>
          <w:szCs w:val="22"/>
        </w:rPr>
      </w:pPr>
    </w:p>
    <w:p w14:paraId="0B65A074" w14:textId="77777777" w:rsidR="005B6DB5" w:rsidRDefault="005B6DB5" w:rsidP="00001A14">
      <w:pPr>
        <w:spacing w:before="120" w:after="60"/>
        <w:ind w:left="142"/>
        <w:jc w:val="center"/>
        <w:rPr>
          <w:rFonts w:ascii="Arial" w:hAnsi="Arial" w:cs="Arial"/>
          <w:sz w:val="22"/>
          <w:szCs w:val="22"/>
        </w:rPr>
      </w:pPr>
    </w:p>
    <w:p w14:paraId="54C94251" w14:textId="77777777" w:rsidR="005B6DB5" w:rsidRDefault="005B6DB5" w:rsidP="00001A14">
      <w:pPr>
        <w:spacing w:before="120" w:after="60"/>
        <w:ind w:left="142"/>
        <w:jc w:val="center"/>
        <w:rPr>
          <w:rFonts w:ascii="Arial" w:hAnsi="Arial" w:cs="Arial"/>
          <w:sz w:val="22"/>
          <w:szCs w:val="22"/>
        </w:rPr>
      </w:pPr>
    </w:p>
    <w:p w14:paraId="4801FA26" w14:textId="77777777" w:rsidR="005B6DB5" w:rsidRDefault="005B6DB5" w:rsidP="00001A14">
      <w:pPr>
        <w:spacing w:before="120" w:after="60"/>
        <w:ind w:left="142"/>
        <w:jc w:val="center"/>
        <w:rPr>
          <w:rFonts w:ascii="Arial" w:hAnsi="Arial" w:cs="Arial"/>
          <w:sz w:val="22"/>
          <w:szCs w:val="22"/>
        </w:rPr>
      </w:pPr>
    </w:p>
    <w:p w14:paraId="0EE6685D" w14:textId="77777777" w:rsidR="00264EAF" w:rsidRPr="00D80990" w:rsidRDefault="00264EAF" w:rsidP="00264EAF">
      <w:pPr>
        <w:spacing w:before="120" w:after="60"/>
        <w:jc w:val="both"/>
        <w:rPr>
          <w:rFonts w:ascii="Arial" w:hAnsi="Arial" w:cs="Arial"/>
          <w:sz w:val="22"/>
          <w:szCs w:val="22"/>
        </w:rPr>
      </w:pPr>
      <w:r w:rsidRPr="00D80990">
        <w:rPr>
          <w:rFonts w:ascii="Arial" w:hAnsi="Arial" w:cs="Arial"/>
          <w:sz w:val="22"/>
          <w:szCs w:val="22"/>
        </w:rPr>
        <w:t>L’eventuale disavanzo d’amministrazione di importo corrispondente al disavanzo individuato in sede di rendiconto è stato ripianato secondo le modalità dell’art.188 del TUEL, con atto consiliare sul quale l’organo di revisione ha espresso parere, come segue:</w:t>
      </w:r>
    </w:p>
    <w:p w14:paraId="383E621F" w14:textId="77777777" w:rsidR="00264EAF" w:rsidRPr="00D80990" w:rsidRDefault="00264EAF" w:rsidP="00264EAF">
      <w:pPr>
        <w:pStyle w:val="Paragrafoelenco"/>
        <w:numPr>
          <w:ilvl w:val="0"/>
          <w:numId w:val="12"/>
        </w:numPr>
        <w:spacing w:before="120" w:after="60"/>
        <w:jc w:val="both"/>
        <w:rPr>
          <w:rFonts w:ascii="Arial" w:hAnsi="Arial" w:cs="Arial"/>
          <w:sz w:val="22"/>
          <w:szCs w:val="22"/>
        </w:rPr>
      </w:pPr>
      <w:r w:rsidRPr="00D80990">
        <w:rPr>
          <w:rFonts w:ascii="Arial" w:hAnsi="Arial" w:cs="Arial"/>
          <w:sz w:val="22"/>
          <w:szCs w:val="22"/>
        </w:rPr>
        <w:t xml:space="preserve">applicato all’esercizio in corso contestualmente alla delibera di approvazione del rendiconto; </w:t>
      </w:r>
    </w:p>
    <w:p w14:paraId="4C470ACA" w14:textId="77777777" w:rsidR="00264EAF" w:rsidRPr="00D80990" w:rsidRDefault="00264EAF" w:rsidP="00264EAF">
      <w:pPr>
        <w:pStyle w:val="Paragrafoelenco"/>
        <w:numPr>
          <w:ilvl w:val="0"/>
          <w:numId w:val="12"/>
        </w:numPr>
        <w:spacing w:before="120" w:after="60"/>
        <w:jc w:val="both"/>
        <w:rPr>
          <w:rFonts w:ascii="Arial" w:hAnsi="Arial" w:cs="Arial"/>
          <w:sz w:val="22"/>
          <w:szCs w:val="22"/>
        </w:rPr>
      </w:pPr>
      <w:r w:rsidRPr="00D80990">
        <w:rPr>
          <w:rFonts w:ascii="Arial" w:hAnsi="Arial" w:cs="Arial"/>
          <w:sz w:val="22"/>
          <w:szCs w:val="22"/>
        </w:rPr>
        <w:t>ripianato negli esercizi successivi non oltre la data della consiliatura con l’adozione di un piano di rientro che individua i mezzi per il ripiano.</w:t>
      </w:r>
    </w:p>
    <w:p w14:paraId="5C75C4D1" w14:textId="77777777" w:rsidR="00264EAF" w:rsidRPr="00D80990" w:rsidRDefault="00264EAF" w:rsidP="00264EAF">
      <w:pPr>
        <w:pStyle w:val="Paragrafoelenco"/>
        <w:spacing w:before="120" w:after="60"/>
        <w:ind w:left="360"/>
        <w:jc w:val="both"/>
        <w:rPr>
          <w:rFonts w:ascii="Arial" w:hAnsi="Arial" w:cs="Arial"/>
          <w:sz w:val="22"/>
          <w:szCs w:val="22"/>
        </w:rPr>
      </w:pPr>
    </w:p>
    <w:p w14:paraId="2D0C732C"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Con delibera consiliare n…….. del ……. sulla quale l’organo di revisione ha espresso parere in data………………. con verbale n………………per il maggior disavanzo determinato nel rispetto del Decreto del Min. Economia del 2/4/2015, è stato disposto il ripiano in ………esercizi (</w:t>
      </w:r>
      <w:r w:rsidRPr="00F2580C">
        <w:rPr>
          <w:rFonts w:ascii="Arial" w:hAnsi="Arial" w:cs="Arial"/>
          <w:i/>
          <w:color w:val="00B0F0"/>
          <w:sz w:val="22"/>
          <w:szCs w:val="22"/>
        </w:rPr>
        <w:t>non più di trenta anni</w:t>
      </w:r>
      <w:r w:rsidRPr="00D80990">
        <w:rPr>
          <w:rFonts w:ascii="Arial" w:hAnsi="Arial" w:cs="Arial"/>
          <w:color w:val="365F91" w:themeColor="accent1" w:themeShade="BF"/>
          <w:sz w:val="22"/>
          <w:szCs w:val="22"/>
        </w:rPr>
        <w:t xml:space="preserve">) </w:t>
      </w:r>
      <w:r w:rsidRPr="00D80990">
        <w:rPr>
          <w:rFonts w:ascii="Arial" w:hAnsi="Arial" w:cs="Arial"/>
          <w:sz w:val="22"/>
          <w:szCs w:val="22"/>
        </w:rPr>
        <w:t>a quote annuali costanti di euro…………………..</w:t>
      </w:r>
    </w:p>
    <w:p w14:paraId="51AB3261" w14:textId="77777777" w:rsidR="00264EAF" w:rsidRPr="00D80990" w:rsidRDefault="00264EAF" w:rsidP="00264EAF">
      <w:pPr>
        <w:jc w:val="both"/>
        <w:rPr>
          <w:rFonts w:ascii="Arial" w:hAnsi="Arial" w:cs="Arial"/>
          <w:sz w:val="22"/>
          <w:szCs w:val="22"/>
        </w:rPr>
      </w:pPr>
    </w:p>
    <w:p w14:paraId="2FB89373" w14:textId="77777777" w:rsidR="00264EAF" w:rsidRDefault="00264EAF" w:rsidP="00264EAF">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nel caso di piano di rientro</w:t>
      </w:r>
      <w:r w:rsidRPr="00D80990">
        <w:rPr>
          <w:rFonts w:ascii="Arial" w:hAnsi="Arial" w:cs="Arial"/>
          <w:sz w:val="22"/>
          <w:szCs w:val="22"/>
        </w:rPr>
        <w:t xml:space="preserve">) </w:t>
      </w:r>
    </w:p>
    <w:p w14:paraId="56FD5EF2" w14:textId="77777777" w:rsidR="00CF15CD" w:rsidRPr="00D80990" w:rsidRDefault="00CF15CD" w:rsidP="00264EAF">
      <w:pPr>
        <w:jc w:val="both"/>
        <w:rPr>
          <w:rFonts w:ascii="Arial" w:hAnsi="Arial" w:cs="Arial"/>
          <w:sz w:val="22"/>
          <w:szCs w:val="22"/>
        </w:rPr>
      </w:pPr>
    </w:p>
    <w:p w14:paraId="51303E48"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L’organo di revisione ha verificato il rispetto del piano di rientro formulando sulla relazione semestrale del Sinda</w:t>
      </w:r>
      <w:r w:rsidR="00F2580C">
        <w:rPr>
          <w:rFonts w:ascii="Arial" w:hAnsi="Arial" w:cs="Arial"/>
          <w:sz w:val="22"/>
          <w:szCs w:val="22"/>
        </w:rPr>
        <w:t>co parere favorevole con verbale</w:t>
      </w:r>
      <w:r w:rsidRPr="00D80990">
        <w:rPr>
          <w:rFonts w:ascii="Arial" w:hAnsi="Arial" w:cs="Arial"/>
          <w:sz w:val="22"/>
          <w:szCs w:val="22"/>
        </w:rPr>
        <w:t xml:space="preserve"> n…… del …..</w:t>
      </w:r>
    </w:p>
    <w:p w14:paraId="42D23E3A" w14:textId="77777777" w:rsidR="00CF15CD" w:rsidRDefault="00CF15CD" w:rsidP="00264EAF">
      <w:pPr>
        <w:jc w:val="both"/>
        <w:rPr>
          <w:rFonts w:ascii="Arial" w:hAnsi="Arial" w:cs="Arial"/>
          <w:i/>
          <w:sz w:val="22"/>
          <w:szCs w:val="22"/>
        </w:rPr>
      </w:pPr>
    </w:p>
    <w:p w14:paraId="16AA0A65" w14:textId="77777777" w:rsidR="00264EAF" w:rsidRDefault="00264EAF" w:rsidP="00264EAF">
      <w:pPr>
        <w:jc w:val="both"/>
        <w:rPr>
          <w:rFonts w:ascii="Arial" w:hAnsi="Arial" w:cs="Arial"/>
          <w:i/>
          <w:sz w:val="22"/>
          <w:szCs w:val="22"/>
        </w:rPr>
      </w:pPr>
      <w:r w:rsidRPr="00D80990">
        <w:rPr>
          <w:rFonts w:ascii="Arial" w:hAnsi="Arial" w:cs="Arial"/>
          <w:i/>
          <w:sz w:val="22"/>
          <w:szCs w:val="22"/>
        </w:rPr>
        <w:t>(oppure)</w:t>
      </w:r>
    </w:p>
    <w:p w14:paraId="145D7792" w14:textId="77777777" w:rsidR="00FC302C" w:rsidRPr="00D80990" w:rsidRDefault="00FC302C" w:rsidP="00264EAF">
      <w:pPr>
        <w:jc w:val="both"/>
        <w:rPr>
          <w:rFonts w:ascii="Arial" w:hAnsi="Arial" w:cs="Arial"/>
          <w:sz w:val="22"/>
          <w:szCs w:val="22"/>
        </w:rPr>
      </w:pPr>
    </w:p>
    <w:p w14:paraId="60C0DC53"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L’organo di revisione ha rilevato, come indicato ne</w:t>
      </w:r>
      <w:r w:rsidR="00F2580C">
        <w:rPr>
          <w:rFonts w:ascii="Arial" w:hAnsi="Arial" w:cs="Arial"/>
          <w:sz w:val="22"/>
          <w:szCs w:val="22"/>
        </w:rPr>
        <w:t>i</w:t>
      </w:r>
      <w:r w:rsidRPr="00D80990">
        <w:rPr>
          <w:rFonts w:ascii="Arial" w:hAnsi="Arial" w:cs="Arial"/>
          <w:sz w:val="22"/>
          <w:szCs w:val="22"/>
        </w:rPr>
        <w:t xml:space="preserve"> verbali n……. del……., il mancato rispetto del piano di rientro e a tal fine ritiene necessario che nelle previsioni 2019-2021 sia data copertura al mancato rientro.</w:t>
      </w:r>
    </w:p>
    <w:p w14:paraId="61D15682"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non risultano debiti fuori bilancio da riconoscere e finanziare.</w:t>
      </w:r>
    </w:p>
    <w:p w14:paraId="36F0AAD2" w14:textId="77777777" w:rsidR="00F2580C" w:rsidRDefault="00F2580C" w:rsidP="00264EAF">
      <w:pPr>
        <w:jc w:val="both"/>
        <w:rPr>
          <w:rFonts w:ascii="Arial" w:hAnsi="Arial" w:cs="Arial"/>
          <w:i/>
          <w:sz w:val="22"/>
          <w:szCs w:val="22"/>
        </w:rPr>
      </w:pPr>
    </w:p>
    <w:p w14:paraId="49D5FBDA" w14:textId="77777777" w:rsidR="00264EAF" w:rsidRDefault="00CF15CD" w:rsidP="00264EAF">
      <w:pPr>
        <w:jc w:val="both"/>
        <w:rPr>
          <w:rFonts w:ascii="Arial" w:hAnsi="Arial" w:cs="Arial"/>
          <w:i/>
          <w:sz w:val="22"/>
          <w:szCs w:val="22"/>
        </w:rPr>
      </w:pPr>
      <w:r>
        <w:rPr>
          <w:rFonts w:ascii="Arial" w:hAnsi="Arial" w:cs="Arial"/>
          <w:i/>
          <w:sz w:val="22"/>
          <w:szCs w:val="22"/>
        </w:rPr>
        <w:t>(oppure)</w:t>
      </w:r>
    </w:p>
    <w:p w14:paraId="312BB190" w14:textId="77777777" w:rsidR="00CF15CD" w:rsidRPr="00D80990" w:rsidRDefault="00CF15CD" w:rsidP="00264EAF">
      <w:pPr>
        <w:jc w:val="both"/>
        <w:rPr>
          <w:rFonts w:ascii="Arial" w:hAnsi="Arial" w:cs="Arial"/>
          <w:sz w:val="22"/>
          <w:szCs w:val="22"/>
        </w:rPr>
      </w:pPr>
    </w:p>
    <w:p w14:paraId="7447B335"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risultano debiti fuori bilancio e a tal fine ritiene necessario che nelle previsioni 2019-2021 sia data copertura.</w:t>
      </w:r>
    </w:p>
    <w:p w14:paraId="7DB2E68B" w14:textId="77777777" w:rsidR="00264EAF" w:rsidRPr="00D80990" w:rsidRDefault="00264EAF" w:rsidP="00264EAF">
      <w:pPr>
        <w:rPr>
          <w:rFonts w:ascii="Arial" w:hAnsi="Arial" w:cs="Arial"/>
          <w:sz w:val="22"/>
          <w:szCs w:val="22"/>
        </w:rPr>
      </w:pPr>
    </w:p>
    <w:p w14:paraId="53437115"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 xml:space="preserve">Dalle comunicazioni ricevute e dalle verifiche effettuate non risultano passività potenziali probabili per una entità superiore al fondo accantonato nel risultato d’amministrazione. </w:t>
      </w:r>
    </w:p>
    <w:p w14:paraId="5D5625F1" w14:textId="77777777" w:rsidR="00F2580C" w:rsidRDefault="00F2580C" w:rsidP="00264EAF">
      <w:pPr>
        <w:jc w:val="both"/>
        <w:rPr>
          <w:rFonts w:ascii="Arial" w:hAnsi="Arial" w:cs="Arial"/>
          <w:i/>
          <w:sz w:val="22"/>
          <w:szCs w:val="22"/>
        </w:rPr>
      </w:pPr>
    </w:p>
    <w:p w14:paraId="4CFA7D4B" w14:textId="77777777" w:rsidR="00264EAF" w:rsidRPr="00D80990" w:rsidRDefault="00264EAF" w:rsidP="00264EAF">
      <w:pPr>
        <w:jc w:val="both"/>
        <w:rPr>
          <w:rFonts w:ascii="Arial" w:hAnsi="Arial" w:cs="Arial"/>
          <w:sz w:val="22"/>
          <w:szCs w:val="22"/>
        </w:rPr>
      </w:pPr>
      <w:r w:rsidRPr="00D80990">
        <w:rPr>
          <w:rFonts w:ascii="Arial" w:hAnsi="Arial" w:cs="Arial"/>
          <w:i/>
          <w:sz w:val="22"/>
          <w:szCs w:val="22"/>
        </w:rPr>
        <w:t>(oppure</w:t>
      </w:r>
      <w:r w:rsidRPr="00D80990">
        <w:rPr>
          <w:rFonts w:ascii="Arial" w:hAnsi="Arial" w:cs="Arial"/>
          <w:sz w:val="22"/>
          <w:szCs w:val="22"/>
        </w:rPr>
        <w:t xml:space="preserve">): </w:t>
      </w:r>
    </w:p>
    <w:p w14:paraId="40A591EB" w14:textId="77777777" w:rsidR="00FC302C" w:rsidRDefault="00FC302C" w:rsidP="00264EAF">
      <w:pPr>
        <w:jc w:val="both"/>
        <w:rPr>
          <w:rFonts w:ascii="Arial" w:hAnsi="Arial" w:cs="Arial"/>
          <w:sz w:val="22"/>
          <w:szCs w:val="22"/>
        </w:rPr>
      </w:pPr>
    </w:p>
    <w:p w14:paraId="2ADBBEE3"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e dalle verifiche effettuate risultano passività potenziali probabili di entità superiore al fondo accantonato nel risultato di amministrazione per cui si rende necessario provvedere al finanziamento nel bilancio di previsione 2019-2021.</w:t>
      </w:r>
    </w:p>
    <w:p w14:paraId="4B36CE20" w14:textId="77777777" w:rsidR="00264EAF" w:rsidRPr="00D80990" w:rsidRDefault="00264EAF" w:rsidP="00264EAF">
      <w:pPr>
        <w:rPr>
          <w:rFonts w:ascii="Arial" w:hAnsi="Arial" w:cs="Arial"/>
          <w:sz w:val="22"/>
          <w:szCs w:val="22"/>
        </w:rPr>
      </w:pPr>
    </w:p>
    <w:p w14:paraId="108E7C4B" w14:textId="77777777" w:rsidR="00264EAF" w:rsidRPr="00D80990" w:rsidRDefault="00264EAF" w:rsidP="00264EAF">
      <w:pPr>
        <w:tabs>
          <w:tab w:val="num" w:pos="1260"/>
        </w:tabs>
        <w:rPr>
          <w:rFonts w:ascii="Arial" w:hAnsi="Arial" w:cs="Arial"/>
          <w:sz w:val="22"/>
          <w:szCs w:val="22"/>
        </w:rPr>
      </w:pPr>
      <w:r w:rsidRPr="00D80990">
        <w:rPr>
          <w:rFonts w:ascii="Arial" w:hAnsi="Arial" w:cs="Arial"/>
          <w:sz w:val="22"/>
          <w:szCs w:val="22"/>
        </w:rPr>
        <w:t xml:space="preserve">La </w:t>
      </w:r>
      <w:r w:rsidRPr="00D80990">
        <w:rPr>
          <w:rFonts w:ascii="Arial" w:hAnsi="Arial" w:cs="Arial"/>
          <w:bCs/>
          <w:sz w:val="22"/>
          <w:szCs w:val="22"/>
        </w:rPr>
        <w:t>situazione di cassa</w:t>
      </w:r>
      <w:r w:rsidRPr="00D80990">
        <w:rPr>
          <w:rFonts w:ascii="Arial" w:hAnsi="Arial" w:cs="Arial"/>
          <w:sz w:val="22"/>
          <w:szCs w:val="22"/>
        </w:rPr>
        <w:t xml:space="preserve"> dell´ Ente al 31 dicembre degli ultimi tre esercizi presenta i seguenti risultati: </w:t>
      </w:r>
    </w:p>
    <w:p w14:paraId="4542F47B" w14:textId="77777777" w:rsidR="00264EAF" w:rsidRPr="00D80990" w:rsidRDefault="00264EAF" w:rsidP="00264EAF">
      <w:pPr>
        <w:tabs>
          <w:tab w:val="num" w:pos="1260"/>
        </w:tabs>
        <w:rPr>
          <w:rFonts w:ascii="Arial" w:hAnsi="Arial" w:cs="Arial"/>
          <w:sz w:val="22"/>
          <w:szCs w:val="22"/>
        </w:rPr>
      </w:pPr>
    </w:p>
    <w:bookmarkStart w:id="13" w:name="_MON_1609225794"/>
    <w:bookmarkEnd w:id="13"/>
    <w:p w14:paraId="34A9E51B" w14:textId="77777777" w:rsidR="00264EAF" w:rsidRDefault="0068516A" w:rsidP="00FC302C">
      <w:pPr>
        <w:tabs>
          <w:tab w:val="num" w:pos="1260"/>
        </w:tabs>
        <w:jc w:val="center"/>
        <w:rPr>
          <w:rFonts w:ascii="Arial" w:hAnsi="Arial" w:cs="Arial"/>
          <w:sz w:val="22"/>
          <w:szCs w:val="22"/>
        </w:rPr>
      </w:pPr>
      <w:r w:rsidRPr="00213664">
        <w:rPr>
          <w:rFonts w:ascii="Arial" w:hAnsi="Arial" w:cs="Arial"/>
          <w:sz w:val="22"/>
          <w:szCs w:val="22"/>
        </w:rPr>
        <w:object w:dxaOrig="8265" w:dyaOrig="1007" w14:anchorId="18A1568F">
          <v:shape id="_x0000_i1028" type="#_x0000_t75" style="width:410.25pt;height:50.25pt" o:ole="">
            <v:imagedata r:id="rId20" o:title=""/>
          </v:shape>
          <o:OLEObject Type="Embed" ProgID="Excel.Sheet.12" ShapeID="_x0000_i1028" DrawAspect="Content" ObjectID="_1780988717" r:id="rId21"/>
        </w:object>
      </w:r>
    </w:p>
    <w:p w14:paraId="74C70F27" w14:textId="77777777" w:rsidR="00FC302C" w:rsidRDefault="00FC302C" w:rsidP="00264EAF">
      <w:pPr>
        <w:tabs>
          <w:tab w:val="num" w:pos="1260"/>
        </w:tabs>
        <w:jc w:val="both"/>
        <w:rPr>
          <w:rFonts w:ascii="Arial" w:hAnsi="Arial" w:cs="Arial"/>
          <w:sz w:val="22"/>
          <w:szCs w:val="22"/>
        </w:rPr>
      </w:pPr>
    </w:p>
    <w:p w14:paraId="139D3CEA" w14:textId="77777777" w:rsidR="00264EAF" w:rsidRDefault="00264EAF" w:rsidP="00264EAF">
      <w:pPr>
        <w:jc w:val="both"/>
        <w:rPr>
          <w:rFonts w:ascii="Arial" w:hAnsi="Arial" w:cs="Arial"/>
          <w:bCs/>
          <w:sz w:val="22"/>
          <w:szCs w:val="22"/>
        </w:rPr>
      </w:pPr>
      <w:r w:rsidRPr="00D80990">
        <w:rPr>
          <w:rFonts w:ascii="Arial" w:hAnsi="Arial" w:cs="Arial"/>
          <w:bCs/>
          <w:sz w:val="22"/>
          <w:szCs w:val="22"/>
        </w:rPr>
        <w:t xml:space="preserve">L’ente </w:t>
      </w:r>
      <w:r w:rsidRPr="00D80990">
        <w:rPr>
          <w:rFonts w:ascii="Arial" w:hAnsi="Arial" w:cs="Arial"/>
          <w:b/>
          <w:bCs/>
          <w:i/>
          <w:sz w:val="22"/>
          <w:szCs w:val="22"/>
        </w:rPr>
        <w:t>si è/ non si è</w:t>
      </w:r>
      <w:r w:rsidRPr="00D80990">
        <w:rPr>
          <w:rFonts w:ascii="Arial" w:hAnsi="Arial" w:cs="Arial"/>
          <w:bCs/>
          <w:sz w:val="22"/>
          <w:szCs w:val="22"/>
        </w:rPr>
        <w:t xml:space="preserve"> dotato di scritture contabili atte a determinare in ogni momento l’entità della giacenza della cassa vincolata per rendere possibile la conciliazione con la cassa vincolata del tesoriere.</w:t>
      </w:r>
    </w:p>
    <w:p w14:paraId="1236864C" w14:textId="77777777" w:rsidR="000D5C03" w:rsidRDefault="000D5C03">
      <w:pPr>
        <w:rPr>
          <w:rFonts w:ascii="Arial" w:hAnsi="Arial" w:cs="Arial"/>
          <w:bCs/>
          <w:sz w:val="22"/>
          <w:szCs w:val="22"/>
        </w:rPr>
      </w:pPr>
      <w:r>
        <w:rPr>
          <w:rFonts w:ascii="Arial" w:hAnsi="Arial" w:cs="Arial"/>
          <w:bCs/>
          <w:sz w:val="22"/>
          <w:szCs w:val="22"/>
        </w:rPr>
        <w:br w:type="page"/>
      </w:r>
    </w:p>
    <w:p w14:paraId="50CAC84E" w14:textId="77777777" w:rsidR="009F6E3E" w:rsidRPr="00D80990" w:rsidRDefault="007F766F">
      <w:pPr>
        <w:pStyle w:val="Titolo1"/>
        <w:shd w:val="clear" w:color="auto" w:fill="B6DDE8" w:themeFill="accent5" w:themeFillTint="66"/>
      </w:pPr>
      <w:bookmarkStart w:id="14" w:name="_Toc535487600"/>
      <w:r w:rsidRPr="00D80990">
        <w:lastRenderedPageBreak/>
        <w:t xml:space="preserve">BILANCIO DI PREVISIONE </w:t>
      </w:r>
      <w:bookmarkEnd w:id="3"/>
      <w:r w:rsidR="00CB26F7" w:rsidRPr="00D80990">
        <w:t>2019</w:t>
      </w:r>
      <w:r w:rsidRPr="00D80990">
        <w:t>-202</w:t>
      </w:r>
      <w:r w:rsidR="00CB26F7" w:rsidRPr="00D80990">
        <w:t>1</w:t>
      </w:r>
      <w:bookmarkEnd w:id="14"/>
    </w:p>
    <w:p w14:paraId="0E73491B" w14:textId="77777777" w:rsidR="00E453A3" w:rsidRPr="00D80990" w:rsidRDefault="00E453A3" w:rsidP="00E453A3">
      <w:pPr>
        <w:autoSpaceDE w:val="0"/>
        <w:autoSpaceDN w:val="0"/>
        <w:adjustRightInd w:val="0"/>
        <w:jc w:val="both"/>
        <w:rPr>
          <w:rFonts w:ascii="Arial" w:hAnsi="Arial" w:cs="Arial"/>
          <w:sz w:val="22"/>
          <w:szCs w:val="22"/>
        </w:rPr>
      </w:pPr>
      <w:bookmarkStart w:id="15" w:name="_Toc346838819"/>
      <w:r>
        <w:rPr>
          <w:rFonts w:ascii="Arial" w:hAnsi="Arial" w:cs="Arial"/>
          <w:sz w:val="22"/>
          <w:szCs w:val="22"/>
        </w:rPr>
        <w:t>L’Organo di revisione ha verificato, mediante controlli a campione, che il sistema contabile adottato dall’ente, nell’ambito del quale è stato predisposto il bilancio di previsione, utilizza le codifiche della contabilità armonizzata.</w:t>
      </w:r>
    </w:p>
    <w:p w14:paraId="77C85271" w14:textId="77777777" w:rsidR="00615F65" w:rsidRDefault="00615F65" w:rsidP="00E453A3">
      <w:pPr>
        <w:autoSpaceDE w:val="0"/>
        <w:autoSpaceDN w:val="0"/>
        <w:adjustRightInd w:val="0"/>
        <w:jc w:val="both"/>
        <w:rPr>
          <w:rFonts w:ascii="Arial" w:hAnsi="Arial" w:cs="Arial"/>
          <w:sz w:val="22"/>
          <w:szCs w:val="22"/>
        </w:rPr>
      </w:pPr>
    </w:p>
    <w:p w14:paraId="5B0FBDBF" w14:textId="77777777" w:rsidR="00E453A3" w:rsidRPr="00D80990" w:rsidRDefault="00E453A3" w:rsidP="00E453A3">
      <w:pPr>
        <w:autoSpaceDE w:val="0"/>
        <w:autoSpaceDN w:val="0"/>
        <w:adjustRightInd w:val="0"/>
        <w:jc w:val="both"/>
        <w:rPr>
          <w:rFonts w:ascii="Arial" w:hAnsi="Arial" w:cs="Arial"/>
          <w:sz w:val="22"/>
          <w:szCs w:val="22"/>
        </w:rPr>
      </w:pPr>
      <w:r w:rsidRPr="00D80990">
        <w:rPr>
          <w:rFonts w:ascii="Arial" w:hAnsi="Arial" w:cs="Arial"/>
          <w:sz w:val="22"/>
          <w:szCs w:val="22"/>
        </w:rPr>
        <w:t>Il bilancio di previsione proposto rispett</w:t>
      </w:r>
      <w:r>
        <w:rPr>
          <w:rFonts w:ascii="Arial" w:hAnsi="Arial" w:cs="Arial"/>
          <w:sz w:val="22"/>
          <w:szCs w:val="22"/>
        </w:rPr>
        <w:t>ail</w:t>
      </w:r>
      <w:r w:rsidRPr="00D80990">
        <w:rPr>
          <w:rFonts w:ascii="Arial" w:hAnsi="Arial" w:cs="Arial"/>
          <w:sz w:val="22"/>
          <w:szCs w:val="22"/>
        </w:rPr>
        <w:t xml:space="preserve"> pareggio finanziario complessivo di competenza e </w:t>
      </w:r>
      <w:r>
        <w:rPr>
          <w:rFonts w:ascii="Arial" w:hAnsi="Arial" w:cs="Arial"/>
          <w:sz w:val="22"/>
          <w:szCs w:val="22"/>
        </w:rPr>
        <w:t>gli</w:t>
      </w:r>
      <w:r w:rsidRPr="00D80990">
        <w:rPr>
          <w:rFonts w:ascii="Arial" w:hAnsi="Arial" w:cs="Arial"/>
          <w:sz w:val="22"/>
          <w:szCs w:val="22"/>
        </w:rPr>
        <w:t xml:space="preserve"> equilibri di parte corrente e in conto capitale</w:t>
      </w:r>
      <w:r>
        <w:rPr>
          <w:rFonts w:ascii="Arial" w:hAnsi="Arial" w:cs="Arial"/>
          <w:sz w:val="22"/>
          <w:szCs w:val="22"/>
        </w:rPr>
        <w:t>, ai sensi dell’articolo 162 del Tuel.</w:t>
      </w:r>
    </w:p>
    <w:p w14:paraId="05EF3C9B" w14:textId="77777777" w:rsidR="00615F65" w:rsidRDefault="00615F65" w:rsidP="00E453A3">
      <w:pPr>
        <w:autoSpaceDE w:val="0"/>
        <w:autoSpaceDN w:val="0"/>
        <w:adjustRightInd w:val="0"/>
        <w:jc w:val="both"/>
        <w:rPr>
          <w:rFonts w:ascii="Arial" w:hAnsi="Arial" w:cs="Arial"/>
          <w:sz w:val="22"/>
          <w:szCs w:val="22"/>
        </w:rPr>
      </w:pPr>
    </w:p>
    <w:p w14:paraId="45F4AF38" w14:textId="77777777" w:rsidR="00E453A3" w:rsidRDefault="00E453A3" w:rsidP="00E453A3">
      <w:pPr>
        <w:autoSpaceDE w:val="0"/>
        <w:autoSpaceDN w:val="0"/>
        <w:adjustRightInd w:val="0"/>
        <w:jc w:val="both"/>
        <w:rPr>
          <w:rFonts w:ascii="Arial" w:hAnsi="Arial" w:cs="Arial"/>
          <w:sz w:val="22"/>
          <w:szCs w:val="22"/>
        </w:rPr>
      </w:pPr>
      <w:r w:rsidRPr="00D80990">
        <w:rPr>
          <w:rFonts w:ascii="Arial" w:hAnsi="Arial" w:cs="Arial"/>
          <w:sz w:val="22"/>
          <w:szCs w:val="22"/>
        </w:rPr>
        <w:t xml:space="preserve">Le previsioni di competenza per gli anni 2019, 2020 e 2021 confrontate con le previsioni definitive per l’anno 2018 sono così formulate: </w:t>
      </w:r>
    </w:p>
    <w:p w14:paraId="56F2D7ED" w14:textId="77777777" w:rsidR="0098773B" w:rsidRDefault="0098773B" w:rsidP="00E453A3">
      <w:pPr>
        <w:autoSpaceDE w:val="0"/>
        <w:autoSpaceDN w:val="0"/>
        <w:adjustRightInd w:val="0"/>
        <w:jc w:val="both"/>
        <w:rPr>
          <w:rFonts w:ascii="Arial" w:hAnsi="Arial" w:cs="Arial"/>
          <w:sz w:val="22"/>
          <w:szCs w:val="22"/>
        </w:rPr>
      </w:pPr>
    </w:p>
    <w:p w14:paraId="3D527E1B" w14:textId="77777777" w:rsidR="0098773B" w:rsidRPr="00D80990" w:rsidRDefault="0098773B" w:rsidP="00E453A3">
      <w:pPr>
        <w:autoSpaceDE w:val="0"/>
        <w:autoSpaceDN w:val="0"/>
        <w:adjustRightInd w:val="0"/>
        <w:jc w:val="both"/>
        <w:rPr>
          <w:rFonts w:ascii="Arial" w:hAnsi="Arial" w:cs="Arial"/>
          <w:sz w:val="22"/>
          <w:szCs w:val="22"/>
        </w:rPr>
      </w:pPr>
    </w:p>
    <w:p w14:paraId="20BCB7F0" w14:textId="77777777" w:rsidR="00E453A3" w:rsidRPr="00D80990" w:rsidRDefault="00E453A3" w:rsidP="00E453A3">
      <w:pPr>
        <w:pStyle w:val="Titolo2"/>
      </w:pPr>
      <w:bookmarkStart w:id="16" w:name="_Toc535487601"/>
      <w:r w:rsidRPr="00D80990">
        <w:t>Riepilogo generale entrate e spese per titoli</w:t>
      </w:r>
      <w:bookmarkEnd w:id="15"/>
      <w:bookmarkEnd w:id="16"/>
    </w:p>
    <w:p w14:paraId="02E93BC5" w14:textId="77777777" w:rsidR="00E453A3" w:rsidRDefault="00E453A3" w:rsidP="00E453A3">
      <w:pPr>
        <w:rPr>
          <w:rFonts w:ascii="Arial" w:hAnsi="Arial" w:cs="Arial"/>
        </w:rPr>
      </w:pPr>
    </w:p>
    <w:p w14:paraId="48A6B647" w14:textId="77777777" w:rsidR="005D790B" w:rsidRDefault="005D790B" w:rsidP="00B531CC">
      <w:pPr>
        <w:tabs>
          <w:tab w:val="left" w:pos="2325"/>
          <w:tab w:val="left" w:pos="5387"/>
        </w:tabs>
        <w:rPr>
          <w:rFonts w:ascii="Arial" w:hAnsi="Arial" w:cs="Arial"/>
          <w:b/>
          <w:u w:val="single"/>
        </w:rPr>
      </w:pPr>
      <w:r>
        <w:br w:type="page"/>
      </w:r>
      <w:bookmarkStart w:id="17" w:name="_MON_1609225884"/>
      <w:bookmarkEnd w:id="17"/>
      <w:r w:rsidR="00B531CC">
        <w:object w:dxaOrig="18272" w:dyaOrig="21622" w14:anchorId="0082692B">
          <v:shape id="_x0000_i1029" type="#_x0000_t75" style="width:474.75pt;height:568.5pt" o:ole="">
            <v:imagedata r:id="rId22" o:title=""/>
          </v:shape>
          <o:OLEObject Type="Embed" ProgID="Excel.Sheet.12" ShapeID="_x0000_i1029" DrawAspect="Content" ObjectID="_1780988718" r:id="rId23"/>
        </w:object>
      </w:r>
    </w:p>
    <w:p w14:paraId="3EABA719" w14:textId="77777777" w:rsidR="00662097" w:rsidRDefault="00062BED" w:rsidP="00E453A3">
      <w:pPr>
        <w:pStyle w:val="Corpodeltesto2"/>
        <w:spacing w:before="120"/>
        <w:jc w:val="both"/>
        <w:rPr>
          <w:szCs w:val="22"/>
        </w:rPr>
      </w:pPr>
      <w:r w:rsidRPr="00213664">
        <w:rPr>
          <w:szCs w:val="22"/>
        </w:rPr>
        <w:object w:dxaOrig="18932" w:dyaOrig="16235" w14:anchorId="26095976">
          <v:shape id="_x0000_i1030" type="#_x0000_t75" style="width:497.25pt;height:424.5pt" o:ole="">
            <v:imagedata r:id="rId24" o:title=""/>
          </v:shape>
          <o:OLEObject Type="Embed" ProgID="Excel.Sheet.12" ShapeID="_x0000_i1030" DrawAspect="Content" ObjectID="_1780988719" r:id="rId25"/>
        </w:object>
      </w:r>
    </w:p>
    <w:p w14:paraId="5A364ABD" w14:textId="77777777" w:rsidR="00E453A3" w:rsidRPr="00D80990" w:rsidRDefault="00E453A3" w:rsidP="00E453A3">
      <w:pPr>
        <w:pStyle w:val="Corpodeltesto2"/>
        <w:spacing w:before="120"/>
        <w:jc w:val="both"/>
        <w:rPr>
          <w:szCs w:val="22"/>
        </w:rPr>
      </w:pPr>
      <w:r w:rsidRPr="00D80990">
        <w:rPr>
          <w:szCs w:val="22"/>
        </w:rPr>
        <w:t xml:space="preserve">Le previsioni di competenza rispettano il </w:t>
      </w:r>
      <w:r w:rsidRPr="0068516A">
        <w:rPr>
          <w:rStyle w:val="Collegamentoipertestuale"/>
          <w:rFonts w:cs="Arial"/>
          <w:color w:val="auto"/>
          <w:szCs w:val="22"/>
          <w:u w:val="none"/>
        </w:rPr>
        <w:t>principio generale n.16</w:t>
      </w:r>
      <w:r>
        <w:rPr>
          <w:szCs w:val="22"/>
        </w:rPr>
        <w:t xml:space="preserve">e i principi contabili </w:t>
      </w:r>
      <w:r w:rsidRPr="00D80990">
        <w:rPr>
          <w:szCs w:val="22"/>
        </w:rPr>
        <w:t>e rappresentano le entrate e le spese che si prevede saranno esigibili in ciascuno degli esercizi considerati anche se l’obbligazione giuridica è sorta in esercizi precedenti.</w:t>
      </w:r>
    </w:p>
    <w:p w14:paraId="6FDE1AA3" w14:textId="77777777" w:rsidR="00E453A3" w:rsidRPr="00D80990" w:rsidRDefault="00E453A3" w:rsidP="00E453A3">
      <w:pPr>
        <w:pStyle w:val="Corpodeltesto2"/>
        <w:spacing w:before="120"/>
        <w:jc w:val="both"/>
        <w:rPr>
          <w:szCs w:val="22"/>
        </w:rPr>
      </w:pPr>
    </w:p>
    <w:p w14:paraId="36B0C139" w14:textId="77777777" w:rsidR="00E453A3" w:rsidRPr="00D80990" w:rsidRDefault="00E453A3" w:rsidP="00E453A3">
      <w:pPr>
        <w:rPr>
          <w:rFonts w:ascii="Arial" w:hAnsi="Arial" w:cs="Arial"/>
          <w:i/>
          <w:sz w:val="22"/>
          <w:szCs w:val="22"/>
        </w:rPr>
      </w:pPr>
      <w:r w:rsidRPr="00D80990">
        <w:rPr>
          <w:rFonts w:ascii="Arial" w:hAnsi="Arial" w:cs="Arial"/>
          <w:i/>
          <w:sz w:val="22"/>
          <w:szCs w:val="22"/>
        </w:rPr>
        <w:t>(eventuale)</w:t>
      </w:r>
    </w:p>
    <w:p w14:paraId="35F171AA" w14:textId="77777777" w:rsidR="00E453A3" w:rsidRPr="00D80990" w:rsidRDefault="00E453A3" w:rsidP="00E453A3">
      <w:pPr>
        <w:rPr>
          <w:rFonts w:ascii="Arial" w:hAnsi="Arial" w:cs="Arial"/>
          <w:b/>
          <w:sz w:val="22"/>
          <w:szCs w:val="22"/>
          <w:u w:val="single"/>
        </w:rPr>
      </w:pPr>
      <w:r w:rsidRPr="00D80990">
        <w:rPr>
          <w:rFonts w:ascii="Arial" w:hAnsi="Arial" w:cs="Arial"/>
          <w:b/>
          <w:sz w:val="22"/>
          <w:szCs w:val="22"/>
          <w:u w:val="single"/>
        </w:rPr>
        <w:t>Disavanzo o avanzo tecnico</w:t>
      </w:r>
    </w:p>
    <w:p w14:paraId="0AA244F4" w14:textId="77777777" w:rsidR="00E453A3" w:rsidRPr="00D80990" w:rsidRDefault="00E453A3" w:rsidP="00E453A3">
      <w:pPr>
        <w:pStyle w:val="provvr0"/>
        <w:rPr>
          <w:rFonts w:ascii="Arial" w:hAnsi="Arial" w:cs="Arial"/>
          <w:color w:val="000000"/>
          <w:sz w:val="22"/>
          <w:szCs w:val="22"/>
        </w:rPr>
      </w:pPr>
      <w:r w:rsidRPr="00D80990">
        <w:rPr>
          <w:rFonts w:ascii="Arial" w:hAnsi="Arial" w:cs="Arial"/>
          <w:sz w:val="22"/>
          <w:szCs w:val="22"/>
        </w:rPr>
        <w:t xml:space="preserve">Il totale generale delle spese previste è superiore al totale generale delle entrate per euro…………………….. Tale differenza deriva dal disavanzo tecnico come previsto dal comma 13 dell’art.3 del D.Lgs 118/2011, quando a seguito del riaccertamento straordinario i </w:t>
      </w:r>
      <w:r w:rsidRPr="00D80990">
        <w:rPr>
          <w:rFonts w:ascii="Arial" w:hAnsi="Arial" w:cs="Arial"/>
          <w:color w:val="000000"/>
          <w:sz w:val="22"/>
          <w:szCs w:val="22"/>
        </w:rPr>
        <w:t xml:space="preserve">residui passivi reimputati ad un esercizio sono di importo superiore alla somma del fondo pluriennale vincolato stanziato in entrata e dei residui attivi reimputati al medesimo esercizio. La differenza può essere finanziata con le risorse dell'esercizio o costituire un disavanzo tecnico da coprirsi, nei bilanci degli esercizi successivi con i residui attivi reimputati a tali esercizi eccedenti rispetto alla somma dei residui passivi reimputati e del fondo pluriennale vincolato di entrata. </w:t>
      </w:r>
      <w:r>
        <w:rPr>
          <w:rFonts w:ascii="Arial" w:hAnsi="Arial" w:cs="Arial"/>
          <w:color w:val="000000"/>
          <w:sz w:val="22"/>
          <w:szCs w:val="22"/>
        </w:rPr>
        <w:t>Tale disavanzo tecnico sarà coperto nell’esercizio.......</w:t>
      </w:r>
    </w:p>
    <w:p w14:paraId="0E3BEEFA" w14:textId="77777777" w:rsidR="00E453A3" w:rsidRPr="00D80990" w:rsidRDefault="00E453A3" w:rsidP="00E453A3">
      <w:pPr>
        <w:pStyle w:val="provvr0"/>
        <w:rPr>
          <w:rFonts w:ascii="Arial" w:hAnsi="Arial" w:cs="Arial"/>
          <w:color w:val="000000"/>
          <w:sz w:val="22"/>
          <w:szCs w:val="22"/>
        </w:rPr>
      </w:pPr>
      <w:r w:rsidRPr="00D80990">
        <w:rPr>
          <w:rFonts w:ascii="Arial" w:hAnsi="Arial" w:cs="Arial"/>
          <w:color w:val="000000"/>
          <w:sz w:val="22"/>
          <w:szCs w:val="22"/>
        </w:rPr>
        <w:t>Gli esercizi per i quali si è determinato il disavanzo tecnico possono essere approvati in disavanzo di competenza, per un importo non superiore al disavanzo tecnico.</w:t>
      </w:r>
    </w:p>
    <w:p w14:paraId="2C4BB859" w14:textId="77777777" w:rsidR="00E453A3" w:rsidRPr="00D80990" w:rsidRDefault="00E453A3" w:rsidP="00E453A3">
      <w:pPr>
        <w:spacing w:before="100" w:beforeAutospacing="1" w:after="100" w:afterAutospacing="1"/>
        <w:jc w:val="both"/>
        <w:rPr>
          <w:rFonts w:ascii="Arial" w:hAnsi="Arial" w:cs="Arial"/>
          <w:color w:val="000000"/>
          <w:sz w:val="22"/>
          <w:szCs w:val="22"/>
        </w:rPr>
      </w:pPr>
      <w:r w:rsidRPr="00D80990">
        <w:rPr>
          <w:rFonts w:ascii="Arial" w:hAnsi="Arial" w:cs="Arial"/>
          <w:sz w:val="22"/>
          <w:szCs w:val="22"/>
        </w:rPr>
        <w:lastRenderedPageBreak/>
        <w:t>Il totale generale delle spese previste è inferiore al totale generale delle entrate per euro……………………. Tale differenza deriva dall’avanzo tecnico</w:t>
      </w:r>
      <w:r w:rsidRPr="00D80990">
        <w:rPr>
          <w:rFonts w:ascii="Arial" w:hAnsi="Arial" w:cs="Arial"/>
          <w:color w:val="000000"/>
          <w:sz w:val="22"/>
          <w:szCs w:val="22"/>
        </w:rPr>
        <w:t xml:space="preserve"> come previsto dal comma 14 dell’</w:t>
      </w:r>
      <w:r w:rsidRPr="00D80990">
        <w:rPr>
          <w:rFonts w:ascii="Arial" w:hAnsi="Arial" w:cs="Arial"/>
          <w:sz w:val="22"/>
          <w:szCs w:val="22"/>
        </w:rPr>
        <w:t>art.3 del D.Lgs.118/2011</w:t>
      </w:r>
      <w:r w:rsidRPr="00D80990">
        <w:rPr>
          <w:rFonts w:ascii="Arial" w:hAnsi="Arial" w:cs="Arial"/>
          <w:color w:val="000000"/>
          <w:sz w:val="22"/>
          <w:szCs w:val="22"/>
        </w:rPr>
        <w:t>, nella ipotesi in cui a seguito del riaccertamento straordinario,  i residui attivi reimputati ad un esercizio sono di importo superiore alla somma del fondo pluriennale vincolato stanziato in entrata e dei residui passivi reimputati nel medesimo esercizio, tale differenza è vincolata alla copertura dell'eventuale eccedenza degli impegni reimputati agli esercizi successivi rispetto alla somma del fondo pluriennale vincolato di entrata e dei residui attivi. Nel bilancio di previsione dell'esercizio in cui si verifica tale differenza è effettuato un accantonamento di pari importo agli stanziamenti di spesa del fondo pluriennale vincolato.</w:t>
      </w:r>
    </w:p>
    <w:p w14:paraId="6FEC0BC4" w14:textId="77777777" w:rsidR="00E453A3" w:rsidRPr="00FA177C" w:rsidRDefault="00E453A3" w:rsidP="00E453A3">
      <w:pPr>
        <w:spacing w:before="100" w:beforeAutospacing="1" w:after="100" w:afterAutospacing="1"/>
        <w:jc w:val="both"/>
        <w:rPr>
          <w:rFonts w:ascii="Arial" w:hAnsi="Arial" w:cs="Arial"/>
          <w:i/>
          <w:color w:val="FF0000"/>
          <w:sz w:val="20"/>
          <w:szCs w:val="20"/>
        </w:rPr>
      </w:pPr>
      <w:r w:rsidRPr="00536A56">
        <w:rPr>
          <w:rFonts w:ascii="Arial" w:hAnsi="Arial" w:cs="Arial"/>
          <w:i/>
          <w:color w:val="00B0F0"/>
          <w:sz w:val="20"/>
          <w:szCs w:val="20"/>
        </w:rPr>
        <w:t>La nota integrativa</w:t>
      </w:r>
      <w:r>
        <w:rPr>
          <w:rFonts w:ascii="Arial" w:hAnsi="Arial" w:cs="Arial"/>
          <w:i/>
          <w:color w:val="00B0F0"/>
          <w:sz w:val="20"/>
          <w:szCs w:val="20"/>
        </w:rPr>
        <w:t xml:space="preserve"> al bilanciodeve indicare</w:t>
      </w:r>
      <w:r w:rsidRPr="00536A56">
        <w:rPr>
          <w:rFonts w:ascii="Arial" w:hAnsi="Arial" w:cs="Arial"/>
          <w:i/>
          <w:color w:val="00B0F0"/>
          <w:sz w:val="20"/>
          <w:szCs w:val="20"/>
        </w:rPr>
        <w:t xml:space="preserve"> le modalità di copertura contabile dell’eventuale disavanzo tecnico </w:t>
      </w:r>
      <w:r>
        <w:rPr>
          <w:rFonts w:ascii="Arial" w:hAnsi="Arial" w:cs="Arial"/>
          <w:i/>
          <w:color w:val="00B0F0"/>
          <w:sz w:val="20"/>
          <w:szCs w:val="20"/>
        </w:rPr>
        <w:t xml:space="preserve">di cui all’art. 3, comma 13 del D.Lgs. 118/11 </w:t>
      </w:r>
      <w:r w:rsidRPr="00536A56">
        <w:rPr>
          <w:rFonts w:ascii="Arial" w:hAnsi="Arial" w:cs="Arial"/>
          <w:i/>
          <w:color w:val="00B0F0"/>
          <w:sz w:val="20"/>
          <w:szCs w:val="20"/>
        </w:rPr>
        <w:t>o dell’eventuale disavanzo applicato al bilancio, distinguendo la quota derivante dal riaccertamento straordinario da quella derivante dalla gestione ordinaria (art. 4, co. 6, DM 2 aprile 2015)</w:t>
      </w:r>
      <w:r>
        <w:rPr>
          <w:rFonts w:ascii="Arial" w:hAnsi="Arial" w:cs="Arial"/>
          <w:i/>
          <w:color w:val="00B0F0"/>
          <w:sz w:val="20"/>
          <w:szCs w:val="20"/>
        </w:rPr>
        <w:t>.</w:t>
      </w:r>
    </w:p>
    <w:p w14:paraId="4D8C4B73" w14:textId="77777777" w:rsidR="00D717C6" w:rsidRPr="00B531CC" w:rsidRDefault="00B531CC" w:rsidP="002167AE">
      <w:pPr>
        <w:jc w:val="both"/>
        <w:rPr>
          <w:rFonts w:ascii="Arial" w:hAnsi="Arial" w:cs="Arial"/>
          <w:i/>
          <w:sz w:val="22"/>
          <w:szCs w:val="22"/>
        </w:rPr>
      </w:pPr>
      <w:r>
        <w:rPr>
          <w:rFonts w:ascii="Arial" w:hAnsi="Arial" w:cs="Arial"/>
          <w:i/>
          <w:sz w:val="22"/>
          <w:szCs w:val="22"/>
        </w:rPr>
        <w:t>(</w:t>
      </w:r>
      <w:r w:rsidR="00D717C6" w:rsidRPr="00B531CC">
        <w:rPr>
          <w:rFonts w:ascii="Arial" w:hAnsi="Arial" w:cs="Arial"/>
          <w:i/>
          <w:sz w:val="22"/>
          <w:szCs w:val="22"/>
        </w:rPr>
        <w:t>eventuale</w:t>
      </w:r>
      <w:r>
        <w:rPr>
          <w:rFonts w:ascii="Arial" w:hAnsi="Arial" w:cs="Arial"/>
          <w:i/>
          <w:sz w:val="22"/>
          <w:szCs w:val="22"/>
        </w:rPr>
        <w:t>)</w:t>
      </w:r>
    </w:p>
    <w:p w14:paraId="1A374E53" w14:textId="77777777" w:rsidR="00FA177C" w:rsidRPr="00B531CC" w:rsidRDefault="00B531CC" w:rsidP="002167AE">
      <w:pPr>
        <w:jc w:val="both"/>
        <w:rPr>
          <w:rFonts w:ascii="Arial" w:hAnsi="Arial" w:cs="Arial"/>
          <w:b/>
          <w:sz w:val="22"/>
          <w:szCs w:val="22"/>
          <w:u w:val="single"/>
        </w:rPr>
      </w:pPr>
      <w:r>
        <w:rPr>
          <w:rFonts w:ascii="Arial" w:hAnsi="Arial" w:cs="Arial"/>
          <w:b/>
          <w:sz w:val="22"/>
          <w:szCs w:val="22"/>
          <w:u w:val="single"/>
        </w:rPr>
        <w:t>Disavanzo presu</w:t>
      </w:r>
      <w:r w:rsidR="00FA177C" w:rsidRPr="00B531CC">
        <w:rPr>
          <w:rFonts w:ascii="Arial" w:hAnsi="Arial" w:cs="Arial"/>
          <w:b/>
          <w:sz w:val="22"/>
          <w:szCs w:val="22"/>
          <w:u w:val="single"/>
        </w:rPr>
        <w:t>nto</w:t>
      </w:r>
    </w:p>
    <w:p w14:paraId="56C48DEF" w14:textId="77777777" w:rsidR="00FA177C" w:rsidRPr="00B531CC" w:rsidRDefault="00FA177C" w:rsidP="002167AE">
      <w:pPr>
        <w:spacing w:before="100" w:beforeAutospacing="1" w:after="100" w:afterAutospacing="1"/>
        <w:jc w:val="both"/>
        <w:rPr>
          <w:rFonts w:ascii="Arial" w:hAnsi="Arial" w:cs="Arial"/>
          <w:i/>
          <w:color w:val="00B0F0"/>
          <w:sz w:val="20"/>
          <w:szCs w:val="20"/>
        </w:rPr>
      </w:pPr>
      <w:r w:rsidRPr="00B531CC">
        <w:rPr>
          <w:rFonts w:ascii="Arial" w:hAnsi="Arial" w:cs="Arial"/>
          <w:i/>
          <w:color w:val="00B0F0"/>
          <w:sz w:val="20"/>
          <w:szCs w:val="20"/>
        </w:rPr>
        <w:t>Il principio cont</w:t>
      </w:r>
      <w:r w:rsidR="00D717C6" w:rsidRPr="00B531CC">
        <w:rPr>
          <w:rFonts w:ascii="Arial" w:hAnsi="Arial" w:cs="Arial"/>
          <w:i/>
          <w:color w:val="00B0F0"/>
          <w:sz w:val="20"/>
          <w:szCs w:val="20"/>
        </w:rPr>
        <w:t xml:space="preserve">abile </w:t>
      </w:r>
      <w:r w:rsidRPr="00B531CC">
        <w:rPr>
          <w:rFonts w:ascii="Arial" w:hAnsi="Arial" w:cs="Arial"/>
          <w:i/>
          <w:color w:val="00B0F0"/>
          <w:sz w:val="20"/>
          <w:szCs w:val="20"/>
        </w:rPr>
        <w:t>4/1</w:t>
      </w:r>
      <w:r w:rsidR="00D717C6" w:rsidRPr="00B531CC">
        <w:rPr>
          <w:rFonts w:ascii="Arial" w:hAnsi="Arial" w:cs="Arial"/>
          <w:i/>
          <w:color w:val="00B0F0"/>
          <w:sz w:val="20"/>
          <w:szCs w:val="20"/>
        </w:rPr>
        <w:t xml:space="preserve"> prevede la descrizione della composizione del risultato di amministrazione presunto individuato nell’allegato a) al bilancio di previsione (lettera E), se negativo e, per ciascuna componente del disavanzo, indica le modalità di ripiano definite in attuazione delle rispettive discipline e l’importo da ripianare per ciascuno degli esercizi considerati nel bilancio di previsione.  </w:t>
      </w:r>
    </w:p>
    <w:p w14:paraId="4D85E41D" w14:textId="77777777" w:rsidR="00D717C6" w:rsidRPr="00B531CC" w:rsidRDefault="00D717C6" w:rsidP="002167AE">
      <w:pPr>
        <w:spacing w:before="100" w:beforeAutospacing="1" w:after="100" w:afterAutospacing="1"/>
        <w:jc w:val="both"/>
        <w:rPr>
          <w:rFonts w:ascii="Arial" w:hAnsi="Arial" w:cs="Arial"/>
          <w:i/>
          <w:color w:val="00B0F0"/>
          <w:sz w:val="20"/>
          <w:szCs w:val="20"/>
        </w:rPr>
      </w:pPr>
      <w:r w:rsidRPr="00B531CC">
        <w:rPr>
          <w:rFonts w:ascii="Arial" w:hAnsi="Arial" w:cs="Arial"/>
          <w:i/>
          <w:color w:val="00B0F0"/>
          <w:sz w:val="20"/>
          <w:szCs w:val="20"/>
        </w:rPr>
        <w:t>Tali indicazioni sono sinteticamente riepilogate nelle seguenti tabelle:</w:t>
      </w:r>
    </w:p>
    <w:bookmarkStart w:id="18" w:name="_MON_1609226003"/>
    <w:bookmarkEnd w:id="18"/>
    <w:p w14:paraId="248D01A8" w14:textId="77777777" w:rsidR="005D790B" w:rsidRDefault="00310840" w:rsidP="00310840">
      <w:r>
        <w:object w:dxaOrig="19595" w:dyaOrig="10378" w14:anchorId="4FB9B83E">
          <v:shape id="_x0000_i1031" type="#_x0000_t75" style="width:503.25pt;height:266.25pt" o:ole="">
            <v:imagedata r:id="rId26" o:title=""/>
          </v:shape>
          <o:OLEObject Type="Embed" ProgID="Excel.Sheet.12" ShapeID="_x0000_i1031" DrawAspect="Content" ObjectID="_1780988720" r:id="rId27"/>
        </w:object>
      </w:r>
    </w:p>
    <w:p w14:paraId="50854AB2" w14:textId="77777777" w:rsidR="002167AE" w:rsidRDefault="002167AE" w:rsidP="002167AE"/>
    <w:p w14:paraId="248F5F24" w14:textId="77777777" w:rsidR="002167AE" w:rsidRPr="002167AE" w:rsidRDefault="002167AE" w:rsidP="002167AE"/>
    <w:p w14:paraId="2B419EB4" w14:textId="77777777" w:rsidR="00B531CC" w:rsidRDefault="00B531CC" w:rsidP="002167AE">
      <w:pPr>
        <w:jc w:val="both"/>
      </w:pPr>
    </w:p>
    <w:p w14:paraId="0F7222D4" w14:textId="77777777" w:rsidR="00B531CC" w:rsidRDefault="00B531CC" w:rsidP="00B531CC"/>
    <w:p w14:paraId="28AEE4C7" w14:textId="77777777" w:rsidR="00B531CC" w:rsidRDefault="00B531CC" w:rsidP="00B531CC"/>
    <w:p w14:paraId="588B5DE3" w14:textId="77777777" w:rsidR="00B531CC" w:rsidRDefault="00B531CC">
      <w:r>
        <w:br w:type="page"/>
      </w:r>
    </w:p>
    <w:p w14:paraId="759DC51F" w14:textId="77777777" w:rsidR="00E453A3" w:rsidRPr="00D80990" w:rsidRDefault="00E453A3" w:rsidP="00E453A3">
      <w:pPr>
        <w:pStyle w:val="Titolo2"/>
      </w:pPr>
      <w:bookmarkStart w:id="19" w:name="_Toc535487602"/>
      <w:r w:rsidRPr="00D80990">
        <w:lastRenderedPageBreak/>
        <w:t>Fondo pluriennale vincolato (FPV)</w:t>
      </w:r>
      <w:bookmarkEnd w:id="19"/>
    </w:p>
    <w:p w14:paraId="40A03989" w14:textId="77777777" w:rsidR="00E453A3" w:rsidRPr="00D80990" w:rsidRDefault="00E453A3" w:rsidP="00E453A3">
      <w:pPr>
        <w:pStyle w:val="Titolo2"/>
      </w:pPr>
    </w:p>
    <w:p w14:paraId="5DCC1F99" w14:textId="77777777" w:rsidR="00806EFE" w:rsidRDefault="00806EFE" w:rsidP="00806EFE">
      <w:pPr>
        <w:autoSpaceDE w:val="0"/>
        <w:autoSpaceDN w:val="0"/>
        <w:adjustRightInd w:val="0"/>
        <w:jc w:val="both"/>
        <w:rPr>
          <w:rFonts w:ascii="Arial" w:hAnsi="Arial" w:cs="Arial"/>
          <w:color w:val="000000"/>
          <w:sz w:val="22"/>
          <w:szCs w:val="22"/>
        </w:rPr>
      </w:pPr>
      <w:r w:rsidRPr="00FB3680">
        <w:rPr>
          <w:rFonts w:ascii="Arial" w:hAnsi="Arial" w:cs="Arial"/>
          <w:color w:val="000000"/>
          <w:sz w:val="22"/>
          <w:szCs w:val="22"/>
        </w:rPr>
        <w:t>Il fondo pluriennale vincolato</w:t>
      </w:r>
      <w:r>
        <w:rPr>
          <w:rFonts w:ascii="Arial" w:hAnsi="Arial" w:cs="Arial"/>
          <w:color w:val="000000"/>
          <w:sz w:val="22"/>
          <w:szCs w:val="22"/>
        </w:rPr>
        <w:t xml:space="preserve">, disciplinato dal principio contabile applicato della competenza </w:t>
      </w:r>
      <w:r w:rsidRPr="00C10440">
        <w:rPr>
          <w:rFonts w:ascii="Arial" w:hAnsi="Arial" w:cs="Arial"/>
          <w:color w:val="000000"/>
          <w:sz w:val="22"/>
          <w:szCs w:val="22"/>
        </w:rPr>
        <w:t>finanziaria,</w:t>
      </w:r>
      <w:r w:rsidRPr="00FB3680">
        <w:rPr>
          <w:rFonts w:ascii="Arial" w:hAnsi="Arial" w:cs="Arial"/>
          <w:color w:val="000000"/>
          <w:sz w:val="22"/>
          <w:szCs w:val="22"/>
        </w:rPr>
        <w:t>è un saldo finanzi</w:t>
      </w:r>
      <w:r>
        <w:rPr>
          <w:rFonts w:ascii="Arial" w:hAnsi="Arial" w:cs="Arial"/>
          <w:color w:val="000000"/>
          <w:sz w:val="22"/>
          <w:szCs w:val="22"/>
        </w:rPr>
        <w:t>a</w:t>
      </w:r>
      <w:r w:rsidRPr="00FB3680">
        <w:rPr>
          <w:rFonts w:ascii="Arial" w:hAnsi="Arial" w:cs="Arial"/>
          <w:color w:val="000000"/>
          <w:sz w:val="22"/>
          <w:szCs w:val="22"/>
        </w:rPr>
        <w:t>rio, costituito da risorse già accertate destinate al finanziamento di obbligazioni passive dell’ente già impegnate, ma esigibili in esercizi successivi a quello in cui è accertata l’entrata.</w:t>
      </w:r>
    </w:p>
    <w:p w14:paraId="7AE520D2" w14:textId="77777777" w:rsidR="00806EFE" w:rsidRDefault="00806EFE" w:rsidP="00806EFE">
      <w:pPr>
        <w:autoSpaceDE w:val="0"/>
        <w:autoSpaceDN w:val="0"/>
        <w:adjustRightInd w:val="0"/>
        <w:jc w:val="both"/>
        <w:rPr>
          <w:rFonts w:ascii="Arial" w:hAnsi="Arial" w:cs="Arial"/>
          <w:color w:val="000000"/>
          <w:sz w:val="22"/>
          <w:szCs w:val="22"/>
        </w:rPr>
      </w:pPr>
    </w:p>
    <w:p w14:paraId="43291C3D" w14:textId="77777777" w:rsidR="00806EFE" w:rsidRPr="00EC5DA2" w:rsidRDefault="00806EFE" w:rsidP="00806EFE">
      <w:pPr>
        <w:autoSpaceDE w:val="0"/>
        <w:autoSpaceDN w:val="0"/>
        <w:adjustRightInd w:val="0"/>
        <w:jc w:val="both"/>
        <w:rPr>
          <w:rFonts w:ascii="Arial" w:hAnsi="Arial" w:cs="Arial"/>
          <w:i/>
          <w:color w:val="00B0F0"/>
          <w:sz w:val="22"/>
          <w:szCs w:val="22"/>
        </w:rPr>
      </w:pPr>
      <w:r w:rsidRPr="00EA4A99">
        <w:rPr>
          <w:rFonts w:ascii="Arial" w:hAnsi="Arial" w:cs="Arial"/>
          <w:i/>
          <w:color w:val="00B0F0"/>
          <w:sz w:val="22"/>
          <w:szCs w:val="22"/>
        </w:rPr>
        <w:t>La Commissione Arconet nella seduta del 9 gennaio</w:t>
      </w:r>
      <w:r w:rsidR="00EA4A99">
        <w:rPr>
          <w:rFonts w:ascii="Arial" w:hAnsi="Arial" w:cs="Arial"/>
          <w:i/>
          <w:color w:val="00B0F0"/>
          <w:sz w:val="22"/>
          <w:szCs w:val="22"/>
        </w:rPr>
        <w:t xml:space="preserve"> 2019</w:t>
      </w:r>
      <w:r w:rsidRPr="00EA4A99">
        <w:rPr>
          <w:rFonts w:ascii="Arial" w:hAnsi="Arial" w:cs="Arial"/>
          <w:i/>
          <w:color w:val="00B0F0"/>
          <w:sz w:val="22"/>
          <w:szCs w:val="22"/>
        </w:rPr>
        <w:t xml:space="preserve"> ha </w:t>
      </w:r>
      <w:r w:rsidR="00EA4A99">
        <w:rPr>
          <w:rFonts w:ascii="Arial" w:hAnsi="Arial" w:cs="Arial"/>
          <w:i/>
          <w:color w:val="00B0F0"/>
          <w:sz w:val="22"/>
          <w:szCs w:val="22"/>
        </w:rPr>
        <w:t>condiviso</w:t>
      </w:r>
      <w:r w:rsidRPr="00EA4A99">
        <w:rPr>
          <w:rFonts w:ascii="Arial" w:hAnsi="Arial" w:cs="Arial"/>
          <w:i/>
          <w:color w:val="00B0F0"/>
          <w:sz w:val="22"/>
          <w:szCs w:val="22"/>
        </w:rPr>
        <w:t xml:space="preserve"> il decreto ministeriale di aggiornamento degli allegati al D.lgs. 118/2011</w:t>
      </w:r>
      <w:r w:rsidR="00EA4A99">
        <w:rPr>
          <w:rFonts w:ascii="Arial" w:hAnsi="Arial" w:cs="Arial"/>
          <w:i/>
          <w:color w:val="00B0F0"/>
          <w:sz w:val="22"/>
          <w:szCs w:val="22"/>
        </w:rPr>
        <w:t xml:space="preserve"> che è in corso di pubblicazione</w:t>
      </w:r>
      <w:r w:rsidRPr="00EA4A99">
        <w:rPr>
          <w:rFonts w:ascii="Arial" w:hAnsi="Arial" w:cs="Arial"/>
          <w:i/>
          <w:color w:val="00B0F0"/>
          <w:sz w:val="22"/>
          <w:szCs w:val="22"/>
        </w:rPr>
        <w:t>, chiamato a definire, dopo la legge di bilancio 2019 (articolo 1, commi 909 e 910), la modalità di con</w:t>
      </w:r>
      <w:r w:rsidR="00EA4A99">
        <w:rPr>
          <w:rFonts w:ascii="Arial" w:hAnsi="Arial" w:cs="Arial"/>
          <w:i/>
          <w:color w:val="00B0F0"/>
          <w:sz w:val="22"/>
          <w:szCs w:val="22"/>
        </w:rPr>
        <w:t>tabilizzazione delle spese per opere pubbliche</w:t>
      </w:r>
      <w:r w:rsidRPr="00EA4A99">
        <w:rPr>
          <w:rFonts w:ascii="Arial" w:hAnsi="Arial" w:cs="Arial"/>
          <w:i/>
          <w:color w:val="00B0F0"/>
          <w:sz w:val="22"/>
          <w:szCs w:val="22"/>
        </w:rPr>
        <w:t xml:space="preserve"> in linea con quanto previsto dal codice dei contratti pubblici (D.lg. 50/2016).</w:t>
      </w:r>
    </w:p>
    <w:p w14:paraId="1B2D250E" w14:textId="77777777" w:rsidR="00E453A3" w:rsidRPr="00D80990" w:rsidRDefault="00E453A3" w:rsidP="00E453A3">
      <w:pPr>
        <w:autoSpaceDE w:val="0"/>
        <w:autoSpaceDN w:val="0"/>
        <w:adjustRightInd w:val="0"/>
        <w:jc w:val="both"/>
        <w:rPr>
          <w:rFonts w:ascii="Arial" w:hAnsi="Arial" w:cs="Arial"/>
          <w:color w:val="000000"/>
          <w:sz w:val="22"/>
          <w:szCs w:val="22"/>
        </w:rPr>
      </w:pPr>
    </w:p>
    <w:p w14:paraId="2DF35C35" w14:textId="77777777" w:rsidR="00E453A3" w:rsidRDefault="00E453A3" w:rsidP="00E453A3">
      <w:pPr>
        <w:autoSpaceDE w:val="0"/>
        <w:autoSpaceDN w:val="0"/>
        <w:adjustRightInd w:val="0"/>
        <w:jc w:val="both"/>
        <w:rPr>
          <w:rFonts w:ascii="Arial" w:hAnsi="Arial" w:cs="Arial"/>
          <w:color w:val="000000"/>
          <w:sz w:val="22"/>
          <w:szCs w:val="22"/>
        </w:rPr>
      </w:pPr>
      <w:r w:rsidRPr="00D80990">
        <w:rPr>
          <w:rFonts w:ascii="Arial" w:hAnsi="Arial" w:cs="Arial"/>
          <w:color w:val="000000"/>
          <w:sz w:val="22"/>
          <w:szCs w:val="22"/>
        </w:rPr>
        <w:t>Le fonti di finanziamento del Fondo pluriennale vincolato iscritto nella parte entrata del bilancio per l’esercizio 2019 sono le seguenti:</w:t>
      </w:r>
    </w:p>
    <w:p w14:paraId="6C253A16" w14:textId="77777777" w:rsidR="00E453A3" w:rsidRDefault="00E453A3" w:rsidP="00E453A3">
      <w:pPr>
        <w:autoSpaceDE w:val="0"/>
        <w:autoSpaceDN w:val="0"/>
        <w:adjustRightInd w:val="0"/>
        <w:jc w:val="both"/>
        <w:rPr>
          <w:rFonts w:ascii="Arial" w:hAnsi="Arial" w:cs="Arial"/>
          <w:color w:val="000000"/>
          <w:sz w:val="22"/>
          <w:szCs w:val="22"/>
        </w:rPr>
      </w:pPr>
    </w:p>
    <w:bookmarkStart w:id="20" w:name="_MON_1609226044"/>
    <w:bookmarkEnd w:id="20"/>
    <w:p w14:paraId="6B326037" w14:textId="77777777" w:rsidR="00190B8C" w:rsidRPr="00D80990" w:rsidRDefault="00B531CC" w:rsidP="009B7E14">
      <w:pPr>
        <w:autoSpaceDE w:val="0"/>
        <w:autoSpaceDN w:val="0"/>
        <w:adjustRightInd w:val="0"/>
        <w:jc w:val="center"/>
        <w:rPr>
          <w:rFonts w:ascii="Arial" w:hAnsi="Arial" w:cs="Arial"/>
          <w:color w:val="000000"/>
          <w:sz w:val="22"/>
          <w:szCs w:val="22"/>
        </w:rPr>
      </w:pPr>
      <w:r w:rsidRPr="00213664">
        <w:rPr>
          <w:rFonts w:ascii="Arial" w:hAnsi="Arial" w:cs="Arial"/>
          <w:sz w:val="22"/>
          <w:szCs w:val="22"/>
        </w:rPr>
        <w:object w:dxaOrig="8279" w:dyaOrig="2341" w14:anchorId="22DE0698">
          <v:shape id="_x0000_i1032" type="#_x0000_t75" style="width:410.25pt;height:115.5pt" o:ole="">
            <v:imagedata r:id="rId28" o:title=""/>
          </v:shape>
          <o:OLEObject Type="Embed" ProgID="Excel.Sheet.12" ShapeID="_x0000_i1032" DrawAspect="Content" ObjectID="_1780988721" r:id="rId29"/>
        </w:object>
      </w:r>
    </w:p>
    <w:p w14:paraId="06A2127F" w14:textId="77777777" w:rsidR="00550857" w:rsidRDefault="00550857" w:rsidP="00E453A3">
      <w:pPr>
        <w:autoSpaceDE w:val="0"/>
        <w:autoSpaceDN w:val="0"/>
        <w:adjustRightInd w:val="0"/>
        <w:jc w:val="center"/>
        <w:rPr>
          <w:rFonts w:ascii="Arial" w:hAnsi="Arial" w:cs="Arial"/>
          <w:color w:val="000000"/>
          <w:sz w:val="22"/>
          <w:szCs w:val="22"/>
        </w:rPr>
      </w:pPr>
    </w:p>
    <w:p w14:paraId="12AC5700" w14:textId="77777777" w:rsidR="00753FDD" w:rsidRPr="00D80990" w:rsidRDefault="00E453A3" w:rsidP="00E453A3">
      <w:pPr>
        <w:autoSpaceDE w:val="0"/>
        <w:autoSpaceDN w:val="0"/>
        <w:adjustRightInd w:val="0"/>
        <w:jc w:val="both"/>
        <w:rPr>
          <w:rFonts w:ascii="Arial" w:hAnsi="Arial" w:cs="Arial"/>
          <w:i/>
          <w:color w:val="00B0F0"/>
          <w:sz w:val="22"/>
          <w:szCs w:val="22"/>
        </w:rPr>
      </w:pPr>
      <w:r>
        <w:rPr>
          <w:rFonts w:ascii="Arial" w:hAnsi="Arial" w:cs="Arial"/>
          <w:color w:val="000000"/>
          <w:sz w:val="22"/>
          <w:szCs w:val="22"/>
        </w:rPr>
        <w:t>L’organo di revisione ha verificato, anche mediante</w:t>
      </w:r>
      <w:r w:rsidR="009C2E60">
        <w:rPr>
          <w:rFonts w:ascii="Arial" w:hAnsi="Arial" w:cs="Arial"/>
          <w:color w:val="000000"/>
          <w:sz w:val="22"/>
          <w:szCs w:val="22"/>
        </w:rPr>
        <w:t xml:space="preserve"> controlli a campione, i cronop</w:t>
      </w:r>
      <w:r>
        <w:rPr>
          <w:rFonts w:ascii="Arial" w:hAnsi="Arial" w:cs="Arial"/>
          <w:color w:val="000000"/>
          <w:sz w:val="22"/>
          <w:szCs w:val="22"/>
        </w:rPr>
        <w:t>rogrammi di spesa e che il Fpv di spesa corrisponda al Fpv di entrata dell’esercizio successivo.</w:t>
      </w:r>
    </w:p>
    <w:p w14:paraId="78924BB3" w14:textId="77777777" w:rsidR="00E453A3" w:rsidRDefault="00E453A3">
      <w:pPr>
        <w:pStyle w:val="Titolo2"/>
      </w:pPr>
    </w:p>
    <w:p w14:paraId="1F6F14C8" w14:textId="77777777" w:rsidR="005D790B" w:rsidRDefault="005D790B" w:rsidP="005D790B"/>
    <w:p w14:paraId="037CEECA" w14:textId="77777777" w:rsidR="005D790B" w:rsidRDefault="005D790B" w:rsidP="005D790B"/>
    <w:p w14:paraId="6AE15C59" w14:textId="77777777" w:rsidR="005D790B" w:rsidRDefault="005D790B" w:rsidP="005D790B"/>
    <w:p w14:paraId="62A0BF89" w14:textId="77777777" w:rsidR="005D790B" w:rsidRDefault="005D790B" w:rsidP="005D790B"/>
    <w:p w14:paraId="4BE0D8B0" w14:textId="77777777" w:rsidR="005D790B" w:rsidRDefault="005D790B" w:rsidP="005D790B"/>
    <w:p w14:paraId="0BE5C3B0" w14:textId="77777777" w:rsidR="005D790B" w:rsidRDefault="005D790B" w:rsidP="005D790B"/>
    <w:p w14:paraId="0890F20F" w14:textId="77777777" w:rsidR="005D790B" w:rsidRDefault="005D790B" w:rsidP="005D790B"/>
    <w:p w14:paraId="3BA2E8FD" w14:textId="77777777" w:rsidR="005D790B" w:rsidRDefault="005D790B" w:rsidP="005D790B"/>
    <w:p w14:paraId="73D10CF2" w14:textId="77777777" w:rsidR="005D790B" w:rsidRDefault="005D790B" w:rsidP="005D790B"/>
    <w:p w14:paraId="35EA945B" w14:textId="77777777" w:rsidR="005D790B" w:rsidRDefault="005D790B" w:rsidP="005D790B"/>
    <w:p w14:paraId="034A2507" w14:textId="77777777" w:rsidR="005D790B" w:rsidRDefault="005D790B" w:rsidP="005D790B"/>
    <w:p w14:paraId="4E7B3956" w14:textId="77777777" w:rsidR="005D790B" w:rsidRDefault="005D790B" w:rsidP="005D790B"/>
    <w:p w14:paraId="68537022" w14:textId="77777777" w:rsidR="005D790B" w:rsidRDefault="005D790B" w:rsidP="005D790B"/>
    <w:p w14:paraId="6401BBAA" w14:textId="77777777" w:rsidR="005D790B" w:rsidRDefault="005D790B" w:rsidP="005D790B"/>
    <w:p w14:paraId="31895781" w14:textId="77777777" w:rsidR="005D790B" w:rsidRDefault="005D790B" w:rsidP="005D790B"/>
    <w:p w14:paraId="7CEEB52B" w14:textId="77777777" w:rsidR="005D790B" w:rsidRDefault="005D790B" w:rsidP="005D790B"/>
    <w:p w14:paraId="6CA9337F" w14:textId="77777777" w:rsidR="005D790B" w:rsidRDefault="005D790B" w:rsidP="005D790B"/>
    <w:p w14:paraId="32297929" w14:textId="77777777" w:rsidR="005D790B" w:rsidRDefault="005D790B" w:rsidP="005D790B"/>
    <w:p w14:paraId="7C19F4A1" w14:textId="77777777" w:rsidR="005D790B" w:rsidRDefault="005D790B" w:rsidP="005D790B"/>
    <w:p w14:paraId="0ACAC36C" w14:textId="77777777" w:rsidR="005D790B" w:rsidRDefault="005D790B" w:rsidP="005D790B"/>
    <w:p w14:paraId="1FB7AE53" w14:textId="77777777" w:rsidR="005D790B" w:rsidRDefault="005D790B" w:rsidP="005D790B"/>
    <w:p w14:paraId="64A76072" w14:textId="77777777" w:rsidR="005D790B" w:rsidRDefault="005D790B" w:rsidP="008E4E51">
      <w:pPr>
        <w:pStyle w:val="Titolo2"/>
      </w:pPr>
    </w:p>
    <w:p w14:paraId="042BDB65" w14:textId="77777777" w:rsidR="005D790B" w:rsidRDefault="005D790B" w:rsidP="008E4E51">
      <w:pPr>
        <w:pStyle w:val="Titolo2"/>
      </w:pPr>
      <w:r>
        <w:br w:type="page"/>
      </w:r>
    </w:p>
    <w:p w14:paraId="218C6D56" w14:textId="77777777" w:rsidR="009F6E3E" w:rsidRPr="00D80990" w:rsidRDefault="007F766F">
      <w:pPr>
        <w:pStyle w:val="Titolo2"/>
      </w:pPr>
      <w:bookmarkStart w:id="21" w:name="_Toc535487603"/>
      <w:r w:rsidRPr="00D80990">
        <w:lastRenderedPageBreak/>
        <w:t>Previsioni di cassa</w:t>
      </w:r>
      <w:bookmarkEnd w:id="21"/>
    </w:p>
    <w:p w14:paraId="234B4633" w14:textId="77777777" w:rsidR="009F6E3E" w:rsidRPr="00D80990" w:rsidRDefault="009F6E3E" w:rsidP="008E4E51">
      <w:pPr>
        <w:jc w:val="both"/>
        <w:rPr>
          <w:rFonts w:ascii="Arial" w:hAnsi="Arial" w:cs="Arial"/>
        </w:rPr>
      </w:pPr>
    </w:p>
    <w:bookmarkStart w:id="22" w:name="_MON_1609226088"/>
    <w:bookmarkEnd w:id="22"/>
    <w:p w14:paraId="19D0D0B8" w14:textId="77777777" w:rsidR="00781E03" w:rsidRDefault="00F54464" w:rsidP="009B7E14">
      <w:pPr>
        <w:jc w:val="center"/>
        <w:rPr>
          <w:rFonts w:ascii="Arial" w:hAnsi="Arial" w:cs="Arial"/>
          <w:b/>
        </w:rPr>
      </w:pPr>
      <w:r>
        <w:rPr>
          <w:rFonts w:ascii="Arial" w:hAnsi="Arial" w:cs="Arial"/>
          <w:b/>
        </w:rPr>
        <w:object w:dxaOrig="6838" w:dyaOrig="7985" w14:anchorId="3AAFABC4">
          <v:shape id="_x0000_i1033" type="#_x0000_t75" style="width:342pt;height:399pt" o:ole="">
            <v:imagedata r:id="rId30" o:title=""/>
          </v:shape>
          <o:OLEObject Type="Embed" ProgID="Excel.Sheet.8" ShapeID="_x0000_i1033" DrawAspect="Content" ObjectID="_1780988722" r:id="rId31"/>
        </w:object>
      </w:r>
    </w:p>
    <w:p w14:paraId="7AE3F38A" w14:textId="77777777" w:rsidR="00781E03" w:rsidRDefault="00781E03" w:rsidP="009B7E14">
      <w:pPr>
        <w:jc w:val="center"/>
        <w:rPr>
          <w:rFonts w:ascii="Arial" w:hAnsi="Arial" w:cs="Arial"/>
          <w:b/>
        </w:rPr>
      </w:pPr>
    </w:p>
    <w:p w14:paraId="1602E707" w14:textId="77777777" w:rsidR="009F6E3E" w:rsidRPr="00D80990" w:rsidRDefault="00FF131B">
      <w:pPr>
        <w:jc w:val="both"/>
        <w:rPr>
          <w:rFonts w:ascii="Arial" w:hAnsi="Arial" w:cs="Arial"/>
          <w:color w:val="000000"/>
          <w:sz w:val="22"/>
          <w:szCs w:val="22"/>
        </w:rPr>
      </w:pPr>
      <w:bookmarkStart w:id="23" w:name="_MON_1609226147"/>
      <w:bookmarkStart w:id="24" w:name="_MON_1512111425"/>
      <w:bookmarkStart w:id="25" w:name="_2._Verifica_equilibrio"/>
      <w:bookmarkStart w:id="26" w:name="_Toc346838820"/>
      <w:bookmarkEnd w:id="23"/>
      <w:bookmarkEnd w:id="24"/>
      <w:bookmarkEnd w:id="25"/>
      <w:r>
        <w:rPr>
          <w:rFonts w:ascii="Arial" w:hAnsi="Arial" w:cs="Arial"/>
          <w:color w:val="000000"/>
          <w:sz w:val="22"/>
          <w:szCs w:val="22"/>
        </w:rPr>
        <w:t>G</w:t>
      </w:r>
      <w:r w:rsidR="007F766F" w:rsidRPr="00D80990">
        <w:rPr>
          <w:rFonts w:ascii="Arial" w:hAnsi="Arial" w:cs="Arial"/>
          <w:color w:val="000000"/>
          <w:sz w:val="22"/>
          <w:szCs w:val="22"/>
        </w:rPr>
        <w:t>li stanziamenti di cassa comprendono le previsioni di riscossioni e pagamenti in conto competenza e in conto residui e sono elaborate in considerazione dei presumibili ritardi nella riscossione e nei pagamenti delle obbligazioni già esigibili.</w:t>
      </w:r>
    </w:p>
    <w:p w14:paraId="0865AE9E" w14:textId="77777777" w:rsidR="009F6E3E" w:rsidRPr="00D80990" w:rsidRDefault="007F766F">
      <w:pPr>
        <w:jc w:val="both"/>
        <w:rPr>
          <w:rFonts w:ascii="Arial" w:hAnsi="Arial" w:cs="Arial"/>
          <w:color w:val="000000"/>
          <w:sz w:val="22"/>
          <w:szCs w:val="22"/>
        </w:rPr>
      </w:pPr>
      <w:r w:rsidRPr="00D80990">
        <w:rPr>
          <w:rFonts w:ascii="Arial" w:hAnsi="Arial" w:cs="Arial"/>
          <w:color w:val="000000"/>
          <w:sz w:val="22"/>
          <w:szCs w:val="22"/>
        </w:rPr>
        <w:t>Il saldo di cassa non negativo assicura il rispetto del comma 6 dell’</w:t>
      </w:r>
      <w:r w:rsidRPr="00D80990">
        <w:rPr>
          <w:rFonts w:ascii="Arial" w:hAnsi="Arial" w:cs="Arial"/>
          <w:sz w:val="22"/>
          <w:szCs w:val="22"/>
        </w:rPr>
        <w:t>art.162 del TUEL</w:t>
      </w:r>
      <w:r w:rsidRPr="00D80990">
        <w:rPr>
          <w:rFonts w:ascii="Arial" w:hAnsi="Arial" w:cs="Arial"/>
          <w:color w:val="000000"/>
          <w:sz w:val="22"/>
          <w:szCs w:val="22"/>
        </w:rPr>
        <w:t>.</w:t>
      </w:r>
    </w:p>
    <w:p w14:paraId="3FE8AA48" w14:textId="77777777" w:rsidR="00DB3EFA" w:rsidRDefault="00DB3EFA" w:rsidP="00DB3EFA">
      <w:pPr>
        <w:jc w:val="both"/>
        <w:rPr>
          <w:rFonts w:ascii="Arial" w:hAnsi="Arial" w:cs="Arial"/>
          <w:sz w:val="22"/>
          <w:szCs w:val="22"/>
        </w:rPr>
      </w:pPr>
      <w:r w:rsidRPr="00D80990">
        <w:rPr>
          <w:rFonts w:ascii="Arial" w:hAnsi="Arial" w:cs="Arial"/>
          <w:sz w:val="22"/>
          <w:szCs w:val="22"/>
        </w:rPr>
        <w:t>L’organo di revisione ha verific</w:t>
      </w:r>
      <w:r>
        <w:rPr>
          <w:rFonts w:ascii="Arial" w:hAnsi="Arial" w:cs="Arial"/>
          <w:sz w:val="22"/>
          <w:szCs w:val="22"/>
        </w:rPr>
        <w:t xml:space="preserve">ato che la previsione di cassa </w:t>
      </w:r>
      <w:r w:rsidRPr="000A2806">
        <w:rPr>
          <w:rFonts w:ascii="Arial" w:hAnsi="Arial" w:cs="Arial"/>
          <w:sz w:val="22"/>
          <w:szCs w:val="22"/>
        </w:rPr>
        <w:t>relativa all’entrata</w:t>
      </w:r>
      <w:r>
        <w:rPr>
          <w:rFonts w:ascii="Arial" w:hAnsi="Arial" w:cs="Arial"/>
          <w:sz w:val="22"/>
          <w:szCs w:val="22"/>
        </w:rPr>
        <w:t xml:space="preserve"> sia</w:t>
      </w:r>
      <w:r w:rsidRPr="00D80990">
        <w:rPr>
          <w:rFonts w:ascii="Arial" w:hAnsi="Arial" w:cs="Arial"/>
          <w:sz w:val="22"/>
          <w:szCs w:val="22"/>
        </w:rPr>
        <w:t xml:space="preserve"> stata calcolata tenendo conto del trend della riscossione nonché di quanto accantonato al Fondo Crediti dubbia esigibilità di competenza e in sede di rendiconto.</w:t>
      </w:r>
    </w:p>
    <w:p w14:paraId="5BD95F8D" w14:textId="77777777" w:rsidR="00DB3EFA" w:rsidRPr="00D80990" w:rsidRDefault="00DB3EFA" w:rsidP="00DB3EFA">
      <w:pPr>
        <w:jc w:val="both"/>
        <w:rPr>
          <w:rFonts w:ascii="Arial" w:hAnsi="Arial" w:cs="Arial"/>
          <w:b/>
          <w:sz w:val="22"/>
          <w:szCs w:val="22"/>
        </w:rPr>
      </w:pPr>
      <w:r>
        <w:rPr>
          <w:rFonts w:ascii="Arial" w:hAnsi="Arial" w:cs="Arial"/>
          <w:sz w:val="22"/>
          <w:szCs w:val="22"/>
        </w:rPr>
        <w:t>In merito alla previsione di cassa spesa, l’organo di revisione ha verificato che la previsione tenga in considerazione le poste per le quali risulta prevista la reimputazione (“di cui FPV”) e che, pertanto, non possono essere oggetto di pagamento nel corso dell’esercizio.</w:t>
      </w:r>
    </w:p>
    <w:p w14:paraId="3D33846E" w14:textId="77777777" w:rsidR="009F6E3E" w:rsidRPr="00D80990" w:rsidRDefault="009F6E3E">
      <w:pPr>
        <w:jc w:val="both"/>
        <w:rPr>
          <w:rFonts w:ascii="Arial" w:hAnsi="Arial" w:cs="Arial"/>
          <w:b/>
          <w:sz w:val="22"/>
          <w:szCs w:val="22"/>
        </w:rPr>
      </w:pPr>
    </w:p>
    <w:p w14:paraId="7C6C527D" w14:textId="77777777" w:rsidR="009F6E3E" w:rsidRPr="008B1A79" w:rsidRDefault="007F766F">
      <w:pPr>
        <w:jc w:val="both"/>
        <w:rPr>
          <w:rFonts w:ascii="Arial" w:hAnsi="Arial" w:cs="Arial"/>
          <w:i/>
          <w:color w:val="00B0F0"/>
          <w:sz w:val="22"/>
          <w:szCs w:val="22"/>
        </w:rPr>
      </w:pPr>
      <w:r w:rsidRPr="008B1A79">
        <w:rPr>
          <w:rFonts w:ascii="Arial" w:hAnsi="Arial" w:cs="Arial"/>
          <w:i/>
          <w:color w:val="00B0F0"/>
          <w:sz w:val="22"/>
          <w:szCs w:val="22"/>
        </w:rPr>
        <w:t>L’organo di revisione rammenta che i singoli dirigenti o responsabili di servizi devono partecipare alle proposte di previsione autorizzatorie di cassa anche ai fini dell’accertamento preventivo di compatibilità di cui all’art. 183, comma 8, del TUEL.</w:t>
      </w:r>
    </w:p>
    <w:p w14:paraId="62A58024" w14:textId="77777777" w:rsidR="00DB3EFA" w:rsidRPr="00D80990" w:rsidRDefault="00DB3EFA">
      <w:pPr>
        <w:jc w:val="both"/>
        <w:rPr>
          <w:rFonts w:ascii="Arial" w:hAnsi="Arial" w:cs="Arial"/>
          <w:sz w:val="22"/>
          <w:szCs w:val="22"/>
        </w:rPr>
      </w:pPr>
    </w:p>
    <w:p w14:paraId="0231D34D" w14:textId="77777777" w:rsidR="009B7E14" w:rsidRDefault="007F766F" w:rsidP="008E4E51">
      <w:pPr>
        <w:jc w:val="both"/>
        <w:rPr>
          <w:rFonts w:ascii="Arial" w:hAnsi="Arial" w:cs="Arial"/>
          <w:color w:val="000000"/>
          <w:sz w:val="22"/>
          <w:szCs w:val="22"/>
        </w:rPr>
      </w:pPr>
      <w:r w:rsidRPr="00D80990">
        <w:rPr>
          <w:rFonts w:ascii="Arial" w:hAnsi="Arial" w:cs="Arial"/>
          <w:color w:val="000000"/>
          <w:sz w:val="22"/>
          <w:szCs w:val="22"/>
        </w:rPr>
        <w:t xml:space="preserve">Il fondo iniziale di cassa comprende la cassa vincolata per euro……….. </w:t>
      </w:r>
    </w:p>
    <w:p w14:paraId="4C83EBDE" w14:textId="77777777" w:rsidR="009F6E3E" w:rsidRDefault="007F766F" w:rsidP="008E4E51">
      <w:pPr>
        <w:jc w:val="both"/>
        <w:rPr>
          <w:rFonts w:ascii="Arial" w:hAnsi="Arial" w:cs="Arial"/>
          <w:sz w:val="22"/>
          <w:szCs w:val="22"/>
        </w:rPr>
      </w:pPr>
      <w:r w:rsidRPr="00D80990">
        <w:rPr>
          <w:rFonts w:ascii="Arial" w:hAnsi="Arial" w:cs="Arial"/>
          <w:sz w:val="22"/>
          <w:szCs w:val="22"/>
        </w:rPr>
        <w:t>La differenza fra residui + previsione di competenza e previsione di cassa è dimostrata nel seguente prospetto:</w:t>
      </w:r>
      <w:bookmarkStart w:id="27" w:name="_MON_1513432777"/>
      <w:bookmarkEnd w:id="27"/>
    </w:p>
    <w:p w14:paraId="7BFC74A5" w14:textId="77777777" w:rsidR="009B7E14" w:rsidRDefault="009B7E14" w:rsidP="008E4E51">
      <w:pPr>
        <w:jc w:val="both"/>
        <w:rPr>
          <w:rFonts w:ascii="Arial" w:hAnsi="Arial" w:cs="Arial"/>
          <w:sz w:val="22"/>
          <w:szCs w:val="22"/>
        </w:rPr>
      </w:pPr>
    </w:p>
    <w:p w14:paraId="1F13DC59" w14:textId="77777777" w:rsidR="00B353B0" w:rsidRPr="00D80990" w:rsidRDefault="00B353B0" w:rsidP="008E4E51">
      <w:pPr>
        <w:jc w:val="both"/>
        <w:rPr>
          <w:rFonts w:ascii="Arial" w:hAnsi="Arial" w:cs="Arial"/>
          <w:sz w:val="22"/>
          <w:szCs w:val="22"/>
        </w:rPr>
      </w:pPr>
    </w:p>
    <w:bookmarkStart w:id="28" w:name="_MON_1609226328"/>
    <w:bookmarkEnd w:id="28"/>
    <w:p w14:paraId="57F9064A" w14:textId="77777777" w:rsidR="009672FA" w:rsidRDefault="00B531CC" w:rsidP="008E4E51">
      <w:pPr>
        <w:jc w:val="both"/>
        <w:rPr>
          <w:rFonts w:ascii="Arial" w:hAnsi="Arial" w:cs="Arial"/>
          <w:sz w:val="22"/>
          <w:szCs w:val="22"/>
        </w:rPr>
      </w:pPr>
      <w:r w:rsidRPr="00213664">
        <w:rPr>
          <w:rFonts w:ascii="Arial" w:hAnsi="Arial" w:cs="Arial"/>
          <w:sz w:val="22"/>
          <w:szCs w:val="22"/>
        </w:rPr>
        <w:object w:dxaOrig="10685" w:dyaOrig="5140" w14:anchorId="005D610A">
          <v:shape id="_x0000_i1034" type="#_x0000_t75" style="width:482.25pt;height:230.25pt" o:ole="">
            <v:imagedata r:id="rId32" o:title=""/>
          </v:shape>
          <o:OLEObject Type="Embed" ProgID="Excel.Sheet.12" ShapeID="_x0000_i1034" DrawAspect="Content" ObjectID="_1780988723" r:id="rId33"/>
        </w:object>
      </w:r>
    </w:p>
    <w:p w14:paraId="07733B6C" w14:textId="77777777" w:rsidR="003B58BD" w:rsidRDefault="003B58BD" w:rsidP="008E4E51">
      <w:pPr>
        <w:jc w:val="both"/>
        <w:rPr>
          <w:rFonts w:ascii="Arial" w:hAnsi="Arial" w:cs="Arial"/>
          <w:sz w:val="22"/>
          <w:szCs w:val="22"/>
        </w:rPr>
      </w:pPr>
    </w:p>
    <w:p w14:paraId="6ABB5F58" w14:textId="77777777" w:rsidR="003B58BD" w:rsidRDefault="003B58BD" w:rsidP="008E4E51">
      <w:pPr>
        <w:jc w:val="both"/>
        <w:rPr>
          <w:rFonts w:ascii="Arial" w:hAnsi="Arial" w:cs="Arial"/>
          <w:sz w:val="22"/>
          <w:szCs w:val="22"/>
        </w:rPr>
      </w:pPr>
      <w:r w:rsidRPr="00213664">
        <w:rPr>
          <w:rFonts w:ascii="Arial" w:hAnsi="Arial" w:cs="Arial"/>
          <w:sz w:val="22"/>
          <w:szCs w:val="22"/>
        </w:rPr>
        <w:object w:dxaOrig="10730" w:dyaOrig="3120" w14:anchorId="19606027">
          <v:shape id="_x0000_i1035" type="#_x0000_t75" style="width:482.25pt;height:2in" o:ole="">
            <v:imagedata r:id="rId34" o:title=""/>
          </v:shape>
          <o:OLEObject Type="Embed" ProgID="Excel.Sheet.12" ShapeID="_x0000_i1035" DrawAspect="Content" ObjectID="_1780988724" r:id="rId35"/>
        </w:object>
      </w:r>
    </w:p>
    <w:p w14:paraId="3145AD41" w14:textId="77777777" w:rsidR="003B58BD" w:rsidRDefault="003B58BD" w:rsidP="009672FA">
      <w:pPr>
        <w:ind w:right="-1"/>
        <w:jc w:val="both"/>
        <w:rPr>
          <w:rFonts w:ascii="Arial" w:hAnsi="Arial" w:cs="Arial"/>
          <w:color w:val="FF0000"/>
          <w:sz w:val="22"/>
          <w:szCs w:val="22"/>
        </w:rPr>
      </w:pPr>
    </w:p>
    <w:p w14:paraId="59145ADF" w14:textId="77777777" w:rsidR="0036319E" w:rsidRPr="00B531CC" w:rsidRDefault="009672FA" w:rsidP="009672FA">
      <w:pPr>
        <w:ind w:right="-1"/>
        <w:jc w:val="both"/>
        <w:rPr>
          <w:rFonts w:ascii="Arial" w:hAnsi="Arial" w:cs="Arial"/>
          <w:b/>
          <w:i/>
          <w:color w:val="00B0F0"/>
          <w:sz w:val="22"/>
          <w:szCs w:val="22"/>
          <w:u w:val="single"/>
        </w:rPr>
      </w:pPr>
      <w:r w:rsidRPr="00B531CC">
        <w:rPr>
          <w:rFonts w:ascii="Arial" w:hAnsi="Arial" w:cs="Arial"/>
          <w:i/>
          <w:color w:val="00B0F0"/>
          <w:sz w:val="22"/>
          <w:szCs w:val="22"/>
        </w:rPr>
        <w:t>N.B. La Legge di Bilancio 2019 (</w:t>
      </w:r>
      <w:r w:rsidR="00B531CC">
        <w:rPr>
          <w:rFonts w:ascii="Arial" w:hAnsi="Arial" w:cs="Arial"/>
          <w:i/>
          <w:color w:val="00B0F0"/>
          <w:sz w:val="22"/>
          <w:szCs w:val="22"/>
        </w:rPr>
        <w:t xml:space="preserve">n. 145/2018) prevede al comma </w:t>
      </w:r>
      <w:r w:rsidRPr="00B531CC">
        <w:rPr>
          <w:rFonts w:ascii="Arial" w:hAnsi="Arial" w:cs="Arial"/>
          <w:i/>
          <w:color w:val="00B0F0"/>
          <w:sz w:val="22"/>
          <w:szCs w:val="22"/>
        </w:rPr>
        <w:t>906</w:t>
      </w:r>
      <w:r w:rsidR="00B531CC">
        <w:rPr>
          <w:rFonts w:ascii="Arial" w:hAnsi="Arial" w:cs="Arial"/>
          <w:i/>
          <w:color w:val="00B0F0"/>
          <w:sz w:val="22"/>
          <w:szCs w:val="22"/>
        </w:rPr>
        <w:t xml:space="preserve"> “</w:t>
      </w:r>
      <w:r w:rsidRPr="00B531CC">
        <w:rPr>
          <w:rFonts w:ascii="Arial" w:hAnsi="Arial" w:cs="Arial"/>
          <w:i/>
          <w:color w:val="00B0F0"/>
          <w:sz w:val="22"/>
          <w:szCs w:val="22"/>
        </w:rPr>
        <w:t xml:space="preserve">Al fine di agevolare il rispetto dei tempi di pagamento di cui al decreto legislativo 9 ottobre 2002, n. 231, il limite massimo di ricorso da parte degli enti locali ad anticipazioni di tesoreria, di cui al comma 1 dell’articolo 222 del testo unico di cui al decreto legislativo 18 agosto 2000, n. 267, è elevato da tre a </w:t>
      </w:r>
      <w:r w:rsidRPr="00B531CC">
        <w:rPr>
          <w:rFonts w:ascii="Arial" w:hAnsi="Arial" w:cs="Arial"/>
          <w:b/>
          <w:i/>
          <w:color w:val="00B0F0"/>
          <w:sz w:val="22"/>
          <w:szCs w:val="22"/>
        </w:rPr>
        <w:t>quattro dodicesimi</w:t>
      </w:r>
      <w:r w:rsidRPr="00B531CC">
        <w:rPr>
          <w:rFonts w:ascii="Arial" w:hAnsi="Arial" w:cs="Arial"/>
          <w:i/>
          <w:color w:val="00B0F0"/>
          <w:sz w:val="22"/>
          <w:szCs w:val="22"/>
        </w:rPr>
        <w:t xml:space="preserve"> sino alla data del 31 dicembre 2019”. </w:t>
      </w:r>
      <w:r w:rsidRPr="00B531CC">
        <w:rPr>
          <w:rFonts w:ascii="Arial" w:hAnsi="Arial" w:cs="Arial"/>
          <w:b/>
          <w:i/>
          <w:color w:val="00B0F0"/>
          <w:sz w:val="22"/>
          <w:szCs w:val="22"/>
          <w:u w:val="single"/>
        </w:rPr>
        <w:t>Non viene ripristinano il limite derogatorio dei cinque dodicesimi.</w:t>
      </w:r>
    </w:p>
    <w:p w14:paraId="7CEF090E" w14:textId="77777777" w:rsidR="0036319E" w:rsidRPr="00B531CC" w:rsidRDefault="0036319E" w:rsidP="009672FA">
      <w:pPr>
        <w:ind w:right="-1"/>
        <w:jc w:val="both"/>
        <w:rPr>
          <w:rFonts w:ascii="Arial" w:hAnsi="Arial" w:cs="Arial"/>
          <w:b/>
          <w:i/>
          <w:color w:val="00B0F0"/>
          <w:u w:val="single"/>
        </w:rPr>
      </w:pPr>
    </w:p>
    <w:p w14:paraId="793B5B70" w14:textId="77777777" w:rsidR="00C574F8" w:rsidRPr="009672FA" w:rsidRDefault="0036319E" w:rsidP="009672FA">
      <w:pPr>
        <w:ind w:right="-1"/>
        <w:jc w:val="both"/>
        <w:rPr>
          <w:rFonts w:ascii="Arial" w:hAnsi="Arial" w:cs="Arial"/>
          <w:b/>
          <w:u w:val="single"/>
        </w:rPr>
      </w:pPr>
      <w:r w:rsidRPr="00B531CC">
        <w:rPr>
          <w:rFonts w:ascii="Arial" w:hAnsi="Arial" w:cs="Arial"/>
          <w:i/>
          <w:color w:val="00B0F0"/>
          <w:sz w:val="22"/>
          <w:szCs w:val="22"/>
        </w:rPr>
        <w:t>La legge di bilancio 2019 (n. 145/2018) introduce unaltr</w:t>
      </w:r>
      <w:r w:rsidR="00FA74C8">
        <w:rPr>
          <w:rFonts w:ascii="Arial" w:hAnsi="Arial" w:cs="Arial"/>
          <w:i/>
          <w:color w:val="00B0F0"/>
          <w:sz w:val="22"/>
          <w:szCs w:val="22"/>
        </w:rPr>
        <w:t>o</w:t>
      </w:r>
      <w:r w:rsidRPr="00B531CC">
        <w:rPr>
          <w:rFonts w:ascii="Arial" w:hAnsi="Arial" w:cs="Arial"/>
          <w:i/>
          <w:color w:val="00B0F0"/>
          <w:sz w:val="22"/>
          <w:szCs w:val="22"/>
        </w:rPr>
        <w:t xml:space="preserve"> tipo di anticipazione di liquidità. I commi da 849 a 857 introducono un dispositivo che consente a Regioni, Province, Città metropolitane e Comuni di richiedere anticipazioni di liquidità a breve termine finalizzandone l’utilizzo alla accelerazione del pagamento dei debiti commerciali. La norma consente agli istituti di credito (banche, Cdp, intermediari finanziari, istituzioni finanziarie UE) di concedere anticipazioni di liquidità agli enti, da destinare al pagamento di debiti certi, liquidi ed esigibili, maturati alla data del 31 dicembre 2018, relativi a somministrazioni, forniture, appalti e ad obbligazioni per prestazioni professionali. La misura massima concedibile per gli Enti locali, e quindi anche ai Comuni, è di 3/12 delle entrate accertate nel 2017 relativamente ai primi tre titoli delle entrat</w:t>
      </w:r>
      <w:r w:rsidR="00B531CC">
        <w:rPr>
          <w:rFonts w:ascii="Arial" w:hAnsi="Arial" w:cs="Arial"/>
          <w:i/>
          <w:color w:val="00B0F0"/>
          <w:sz w:val="22"/>
          <w:szCs w:val="22"/>
        </w:rPr>
        <w:t xml:space="preserve">e (comma 850). </w:t>
      </w:r>
      <w:r w:rsidRPr="00B531CC">
        <w:rPr>
          <w:rFonts w:ascii="Arial" w:hAnsi="Arial" w:cs="Arial"/>
          <w:i/>
          <w:color w:val="00B0F0"/>
          <w:sz w:val="22"/>
          <w:szCs w:val="22"/>
        </w:rPr>
        <w:t>Alle anticipazioni, che non costituiscono indebitamento ai sensi dell’articolo 3, comma 17, della legge 24 dicembre 2003, n. 350, non si applicano gli articoli 203, comma 1, lettera b), e 204 del testo unico di cui al decreto legislativo 18 agosto 2000, n. 267, nonché l’articolo 62 del decreto legislativo 23 giugno</w:t>
      </w:r>
      <w:r w:rsidR="00FA74C8">
        <w:rPr>
          <w:rFonts w:ascii="Arial" w:hAnsi="Arial" w:cs="Arial"/>
          <w:i/>
          <w:color w:val="00B0F0"/>
          <w:sz w:val="22"/>
          <w:szCs w:val="22"/>
        </w:rPr>
        <w:t>.</w:t>
      </w:r>
      <w:r w:rsidRPr="00B531CC">
        <w:rPr>
          <w:rFonts w:ascii="Arial" w:hAnsi="Arial" w:cs="Arial"/>
          <w:i/>
          <w:color w:val="00B0F0"/>
          <w:sz w:val="22"/>
          <w:szCs w:val="22"/>
        </w:rPr>
        <w:t xml:space="preserve"> Le anticipazioni non costituiscono indebitamento e possono essere richieste anche nel cors</w:t>
      </w:r>
      <w:r w:rsidR="00671FB2">
        <w:rPr>
          <w:rFonts w:ascii="Arial" w:hAnsi="Arial" w:cs="Arial"/>
          <w:i/>
          <w:color w:val="00B0F0"/>
          <w:sz w:val="22"/>
          <w:szCs w:val="22"/>
        </w:rPr>
        <w:t>o dell’esercizio provvisorio (comma</w:t>
      </w:r>
      <w:r w:rsidRPr="00B531CC">
        <w:rPr>
          <w:rFonts w:ascii="Arial" w:hAnsi="Arial" w:cs="Arial"/>
          <w:i/>
          <w:color w:val="00B0F0"/>
          <w:sz w:val="22"/>
          <w:szCs w:val="22"/>
        </w:rPr>
        <w:t>. 851). Possono essere finanziati anche i debiti fuori bilancio, purché riconosciuti con le modalità previste dal TUEL (art. 194).</w:t>
      </w:r>
      <w:r w:rsidR="00C574F8" w:rsidRPr="0036319E">
        <w:rPr>
          <w:rFonts w:ascii="Arial" w:hAnsi="Arial" w:cs="Arial"/>
          <w:color w:val="FF0000"/>
          <w:sz w:val="22"/>
          <w:szCs w:val="22"/>
        </w:rPr>
        <w:br w:type="page"/>
      </w:r>
    </w:p>
    <w:p w14:paraId="752FD38B" w14:textId="77777777" w:rsidR="009F6E3E" w:rsidRPr="00D80990" w:rsidRDefault="007F766F">
      <w:pPr>
        <w:pStyle w:val="Titolo2"/>
      </w:pPr>
      <w:bookmarkStart w:id="29" w:name="_Toc529960130"/>
      <w:bookmarkStart w:id="30" w:name="_Toc535487604"/>
      <w:bookmarkEnd w:id="29"/>
      <w:r w:rsidRPr="00D80990">
        <w:lastRenderedPageBreak/>
        <w:t>Verifica equilibrio corrente anni 20</w:t>
      </w:r>
      <w:bookmarkEnd w:id="26"/>
      <w:r w:rsidR="00B31869" w:rsidRPr="00D80990">
        <w:t>19</w:t>
      </w:r>
      <w:r w:rsidRPr="00D80990">
        <w:t>-20</w:t>
      </w:r>
      <w:r w:rsidR="00B31869" w:rsidRPr="00D80990">
        <w:t>21</w:t>
      </w:r>
      <w:bookmarkEnd w:id="30"/>
    </w:p>
    <w:p w14:paraId="46D35F13" w14:textId="77777777" w:rsidR="009F6E3E" w:rsidRPr="00D80990" w:rsidRDefault="009F6E3E">
      <w:pPr>
        <w:rPr>
          <w:rFonts w:ascii="Arial" w:hAnsi="Arial" w:cs="Arial"/>
        </w:rPr>
      </w:pPr>
    </w:p>
    <w:p w14:paraId="35F3452D" w14:textId="77777777" w:rsidR="009F6E3E" w:rsidRDefault="007F766F">
      <w:pPr>
        <w:rPr>
          <w:rFonts w:ascii="Arial" w:hAnsi="Arial" w:cs="Arial"/>
          <w:sz w:val="22"/>
          <w:szCs w:val="22"/>
        </w:rPr>
      </w:pPr>
      <w:r w:rsidRPr="00D80990">
        <w:rPr>
          <w:rFonts w:ascii="Arial" w:hAnsi="Arial" w:cs="Arial"/>
          <w:sz w:val="22"/>
          <w:szCs w:val="22"/>
        </w:rPr>
        <w:t xml:space="preserve">Gli equilibri richiesti dal comma 6 dell’art.162 del TUEL sono così assicurati: </w:t>
      </w:r>
    </w:p>
    <w:p w14:paraId="50B1B10E" w14:textId="77777777" w:rsidR="006139FE" w:rsidRDefault="006139FE">
      <w:pPr>
        <w:rPr>
          <w:rFonts w:ascii="Arial" w:hAnsi="Arial" w:cs="Arial"/>
          <w:sz w:val="22"/>
          <w:szCs w:val="22"/>
        </w:rPr>
      </w:pPr>
    </w:p>
    <w:p w14:paraId="4BE23A88" w14:textId="77777777" w:rsidR="00671FB2" w:rsidRDefault="00671FB2" w:rsidP="00671FB2">
      <w:pPr>
        <w:rPr>
          <w:rFonts w:ascii="Arial" w:hAnsi="Arial" w:cs="Arial"/>
          <w:sz w:val="22"/>
          <w:szCs w:val="22"/>
        </w:rPr>
      </w:pPr>
      <w:r w:rsidRPr="00213664">
        <w:rPr>
          <w:rFonts w:ascii="Arial" w:hAnsi="Arial" w:cs="Arial"/>
          <w:sz w:val="22"/>
          <w:szCs w:val="22"/>
        </w:rPr>
        <w:object w:dxaOrig="15121" w:dyaOrig="13601" w14:anchorId="21556F65">
          <v:shape id="_x0000_i1036" type="#_x0000_t75" style="width:510.75pt;height:461.25pt" o:ole="">
            <v:imagedata r:id="rId36" o:title=""/>
          </v:shape>
          <o:OLEObject Type="Embed" ProgID="Excel.Sheet.12" ShapeID="_x0000_i1036" DrawAspect="Content" ObjectID="_1780988725" r:id="rId37"/>
        </w:object>
      </w:r>
      <w:bookmarkStart w:id="31" w:name="_MON_1497441630"/>
      <w:bookmarkEnd w:id="31"/>
    </w:p>
    <w:p w14:paraId="40EC4215" w14:textId="77777777" w:rsidR="009F6E3E" w:rsidRPr="00D80990" w:rsidRDefault="007F766F" w:rsidP="00671FB2">
      <w:pPr>
        <w:rPr>
          <w:rFonts w:ascii="Arial" w:hAnsi="Arial" w:cs="Arial"/>
          <w:sz w:val="22"/>
          <w:szCs w:val="22"/>
        </w:rPr>
      </w:pPr>
      <w:r w:rsidRPr="00D80990">
        <w:rPr>
          <w:rFonts w:ascii="Arial" w:hAnsi="Arial" w:cs="Arial"/>
          <w:sz w:val="22"/>
          <w:szCs w:val="22"/>
        </w:rPr>
        <w:t>L’importo di euro…….. di entrate in conto capitale destinate al ripiano del bilancio corrente sono costituite:</w:t>
      </w:r>
    </w:p>
    <w:p w14:paraId="42AFEED4" w14:textId="77777777" w:rsidR="009F6E3E" w:rsidRPr="00D80990" w:rsidRDefault="007F766F">
      <w:pPr>
        <w:jc w:val="both"/>
        <w:rPr>
          <w:rFonts w:ascii="Arial" w:hAnsi="Arial" w:cs="Arial"/>
          <w:sz w:val="22"/>
          <w:szCs w:val="22"/>
        </w:rPr>
      </w:pPr>
      <w:r w:rsidRPr="00D80990">
        <w:rPr>
          <w:rFonts w:ascii="Arial" w:hAnsi="Arial" w:cs="Arial"/>
          <w:sz w:val="22"/>
          <w:szCs w:val="22"/>
        </w:rPr>
        <w:t>………………..</w:t>
      </w:r>
    </w:p>
    <w:p w14:paraId="726A14A1" w14:textId="77777777" w:rsidR="009F6E3E" w:rsidRPr="00D80990" w:rsidRDefault="007F766F">
      <w:pPr>
        <w:jc w:val="both"/>
        <w:rPr>
          <w:rFonts w:ascii="Arial" w:hAnsi="Arial" w:cs="Arial"/>
          <w:sz w:val="22"/>
          <w:szCs w:val="22"/>
        </w:rPr>
      </w:pPr>
      <w:r w:rsidRPr="00D80990">
        <w:rPr>
          <w:rFonts w:ascii="Arial" w:hAnsi="Arial" w:cs="Arial"/>
          <w:sz w:val="22"/>
          <w:szCs w:val="22"/>
        </w:rPr>
        <w:t>………………..</w:t>
      </w:r>
    </w:p>
    <w:p w14:paraId="6AA6479E" w14:textId="77777777" w:rsidR="009F6E3E" w:rsidRDefault="007F766F">
      <w:pPr>
        <w:jc w:val="both"/>
        <w:rPr>
          <w:rFonts w:ascii="Arial" w:hAnsi="Arial" w:cs="Arial"/>
          <w:sz w:val="22"/>
          <w:szCs w:val="22"/>
        </w:rPr>
      </w:pPr>
      <w:r w:rsidRPr="00D80990">
        <w:rPr>
          <w:rFonts w:ascii="Arial" w:hAnsi="Arial" w:cs="Arial"/>
          <w:sz w:val="22"/>
          <w:szCs w:val="22"/>
        </w:rPr>
        <w:t xml:space="preserve">……………….. </w:t>
      </w:r>
    </w:p>
    <w:p w14:paraId="08165E3B" w14:textId="77777777" w:rsidR="00B75B67" w:rsidRPr="00D80990" w:rsidRDefault="00B75B67">
      <w:pPr>
        <w:jc w:val="both"/>
        <w:rPr>
          <w:rFonts w:ascii="Arial" w:hAnsi="Arial" w:cs="Arial"/>
          <w:sz w:val="22"/>
          <w:szCs w:val="22"/>
        </w:rPr>
      </w:pPr>
    </w:p>
    <w:p w14:paraId="5D29AB23" w14:textId="77777777" w:rsidR="009F6E3E" w:rsidRPr="00D80990" w:rsidRDefault="007F766F">
      <w:pPr>
        <w:jc w:val="both"/>
        <w:rPr>
          <w:rFonts w:ascii="Arial" w:hAnsi="Arial" w:cs="Arial"/>
          <w:sz w:val="22"/>
          <w:szCs w:val="22"/>
        </w:rPr>
      </w:pPr>
      <w:r w:rsidRPr="00D80990">
        <w:rPr>
          <w:rFonts w:ascii="Arial" w:hAnsi="Arial" w:cs="Arial"/>
          <w:sz w:val="22"/>
          <w:szCs w:val="22"/>
        </w:rPr>
        <w:t>L’importo di euro ………………. di entrate di parte corrente destinate a spese del titolo secondo sono costituite da:</w:t>
      </w:r>
    </w:p>
    <w:p w14:paraId="22975647" w14:textId="77777777" w:rsidR="009F6E3E" w:rsidRPr="00D80990" w:rsidRDefault="007F766F">
      <w:pPr>
        <w:jc w:val="both"/>
        <w:rPr>
          <w:rFonts w:ascii="Arial" w:hAnsi="Arial" w:cs="Arial"/>
          <w:sz w:val="22"/>
          <w:szCs w:val="22"/>
        </w:rPr>
      </w:pPr>
      <w:r w:rsidRPr="00D80990">
        <w:rPr>
          <w:rFonts w:ascii="Arial" w:hAnsi="Arial" w:cs="Arial"/>
          <w:sz w:val="22"/>
          <w:szCs w:val="22"/>
        </w:rPr>
        <w:t xml:space="preserve">…………………….. </w:t>
      </w:r>
    </w:p>
    <w:p w14:paraId="22D59F3C" w14:textId="77777777" w:rsidR="009F6E3E" w:rsidRPr="00D80990" w:rsidRDefault="007F766F">
      <w:pPr>
        <w:jc w:val="both"/>
        <w:rPr>
          <w:rFonts w:ascii="Arial" w:hAnsi="Arial" w:cs="Arial"/>
          <w:sz w:val="22"/>
          <w:szCs w:val="22"/>
        </w:rPr>
      </w:pPr>
      <w:r w:rsidRPr="00D80990">
        <w:rPr>
          <w:rFonts w:ascii="Arial" w:hAnsi="Arial" w:cs="Arial"/>
          <w:sz w:val="22"/>
          <w:szCs w:val="22"/>
        </w:rPr>
        <w:t>……………………</w:t>
      </w:r>
    </w:p>
    <w:p w14:paraId="784A9889" w14:textId="77777777" w:rsidR="009F6E3E" w:rsidRPr="00D80990" w:rsidRDefault="009F6E3E">
      <w:pPr>
        <w:jc w:val="both"/>
        <w:rPr>
          <w:rFonts w:ascii="Arial" w:hAnsi="Arial" w:cs="Arial"/>
          <w:sz w:val="22"/>
          <w:szCs w:val="22"/>
        </w:rPr>
      </w:pPr>
    </w:p>
    <w:p w14:paraId="60CAB482" w14:textId="77777777" w:rsidR="009F6E3E" w:rsidRPr="00D80990" w:rsidRDefault="007F766F">
      <w:pPr>
        <w:jc w:val="both"/>
        <w:rPr>
          <w:rFonts w:ascii="Arial" w:hAnsi="Arial" w:cs="Arial"/>
          <w:sz w:val="22"/>
          <w:szCs w:val="22"/>
        </w:rPr>
      </w:pPr>
      <w:r w:rsidRPr="00D80990">
        <w:rPr>
          <w:rFonts w:ascii="Arial" w:hAnsi="Arial" w:cs="Arial"/>
          <w:sz w:val="22"/>
          <w:szCs w:val="22"/>
        </w:rPr>
        <w:t>L’avanzo di parte corrente è destinato a:</w:t>
      </w:r>
    </w:p>
    <w:p w14:paraId="5B7BB910"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al finanziamento del saldo negativo delle partite finanziarie;</w:t>
      </w:r>
    </w:p>
    <w:p w14:paraId="347792D9"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w:t>
      </w:r>
    </w:p>
    <w:p w14:paraId="6A496838" w14:textId="77777777" w:rsidR="009F6E3E" w:rsidRPr="00D80990" w:rsidRDefault="00326753" w:rsidP="003D52F2">
      <w:pPr>
        <w:pStyle w:val="Nessunaspaziatura"/>
        <w:rPr>
          <w:rFonts w:ascii="Arial" w:hAnsi="Arial" w:cs="Arial"/>
          <w:i/>
          <w:sz w:val="22"/>
          <w:szCs w:val="22"/>
          <w:u w:val="single"/>
        </w:rPr>
      </w:pPr>
      <w:bookmarkStart w:id="32" w:name="_MON_1497441881"/>
      <w:bookmarkEnd w:id="32"/>
      <w:r w:rsidRPr="00D80990">
        <w:rPr>
          <w:rFonts w:ascii="Arial" w:hAnsi="Arial" w:cs="Arial"/>
          <w:i/>
          <w:sz w:val="22"/>
          <w:szCs w:val="22"/>
          <w:u w:val="single"/>
        </w:rPr>
        <w:lastRenderedPageBreak/>
        <w:t xml:space="preserve">Utilizzo </w:t>
      </w:r>
      <w:r w:rsidR="007F766F" w:rsidRPr="00D80990">
        <w:rPr>
          <w:rFonts w:ascii="Arial" w:hAnsi="Arial" w:cs="Arial"/>
          <w:i/>
          <w:sz w:val="22"/>
          <w:szCs w:val="22"/>
          <w:u w:val="single"/>
        </w:rPr>
        <w:t>proventi alienazioni</w:t>
      </w:r>
    </w:p>
    <w:p w14:paraId="1D3020EF" w14:textId="77777777" w:rsidR="009F6E3E" w:rsidRPr="00D80990" w:rsidRDefault="009F6E3E" w:rsidP="00627609">
      <w:pPr>
        <w:pStyle w:val="Nessunaspaziatura"/>
        <w:jc w:val="both"/>
        <w:rPr>
          <w:rFonts w:ascii="Arial" w:hAnsi="Arial" w:cs="Arial"/>
          <w:i/>
          <w:color w:val="00B0F0"/>
          <w:sz w:val="22"/>
          <w:szCs w:val="22"/>
        </w:rPr>
      </w:pPr>
    </w:p>
    <w:p w14:paraId="5A6C3C93" w14:textId="77777777" w:rsidR="00326753" w:rsidRPr="00D80990" w:rsidRDefault="00665E61"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Il </w:t>
      </w:r>
      <w:r w:rsidR="007F766F" w:rsidRPr="00D80990">
        <w:rPr>
          <w:rFonts w:ascii="Arial" w:hAnsi="Arial" w:cs="Arial"/>
          <w:i/>
          <w:color w:val="00B0F0"/>
          <w:sz w:val="22"/>
          <w:szCs w:val="22"/>
        </w:rPr>
        <w:t xml:space="preserve">comma 866 </w:t>
      </w:r>
      <w:r w:rsidRPr="00D80990">
        <w:rPr>
          <w:rFonts w:ascii="Arial" w:hAnsi="Arial" w:cs="Arial"/>
          <w:i/>
          <w:color w:val="00B0F0"/>
          <w:sz w:val="22"/>
          <w:szCs w:val="22"/>
        </w:rPr>
        <w:t xml:space="preserve">dell’art.1 </w:t>
      </w:r>
      <w:r w:rsidR="00364E24" w:rsidRPr="00D80990">
        <w:rPr>
          <w:rFonts w:ascii="Arial" w:hAnsi="Arial" w:cs="Arial"/>
          <w:i/>
          <w:color w:val="00B0F0"/>
          <w:sz w:val="22"/>
          <w:szCs w:val="22"/>
        </w:rPr>
        <w:t>della L</w:t>
      </w:r>
      <w:r w:rsidR="007F766F" w:rsidRPr="00D80990">
        <w:rPr>
          <w:rFonts w:ascii="Arial" w:hAnsi="Arial" w:cs="Arial"/>
          <w:i/>
          <w:color w:val="00B0F0"/>
          <w:sz w:val="22"/>
          <w:szCs w:val="22"/>
        </w:rPr>
        <w:t xml:space="preserve">egge 205/2017 consente </w:t>
      </w:r>
      <w:r w:rsidR="00326753" w:rsidRPr="00D80990">
        <w:rPr>
          <w:rFonts w:ascii="Arial" w:hAnsi="Arial" w:cs="Arial"/>
          <w:i/>
          <w:color w:val="00B0F0"/>
          <w:sz w:val="22"/>
          <w:szCs w:val="22"/>
        </w:rPr>
        <w:t xml:space="preserve">che, per gli anni </w:t>
      </w:r>
      <w:r w:rsidR="007F766F" w:rsidRPr="00D80990">
        <w:rPr>
          <w:rFonts w:ascii="Arial" w:hAnsi="Arial" w:cs="Arial"/>
          <w:i/>
          <w:color w:val="00B0F0"/>
          <w:sz w:val="22"/>
          <w:szCs w:val="22"/>
        </w:rPr>
        <w:t>2018-2020</w:t>
      </w:r>
      <w:r w:rsidR="00326753" w:rsidRPr="00D80990">
        <w:rPr>
          <w:rFonts w:ascii="Arial" w:hAnsi="Arial" w:cs="Arial"/>
          <w:i/>
          <w:color w:val="00B0F0"/>
          <w:sz w:val="22"/>
          <w:szCs w:val="22"/>
        </w:rPr>
        <w:t xml:space="preserve">, gli enti locali possonoavvalersi della possibilità di </w:t>
      </w:r>
      <w:r w:rsidR="007F766F" w:rsidRPr="00D80990">
        <w:rPr>
          <w:rFonts w:ascii="Arial" w:hAnsi="Arial" w:cs="Arial"/>
          <w:i/>
          <w:color w:val="00B0F0"/>
          <w:sz w:val="22"/>
          <w:szCs w:val="22"/>
        </w:rPr>
        <w:t xml:space="preserve">utilizzare </w:t>
      </w:r>
      <w:r w:rsidR="00326753" w:rsidRPr="00D80990">
        <w:rPr>
          <w:rFonts w:ascii="Arial" w:hAnsi="Arial" w:cs="Arial"/>
          <w:i/>
          <w:color w:val="00B0F0"/>
          <w:sz w:val="22"/>
          <w:szCs w:val="22"/>
        </w:rPr>
        <w:t>i proventi</w:t>
      </w:r>
      <w:r w:rsidR="007F766F" w:rsidRPr="00D80990">
        <w:rPr>
          <w:rFonts w:ascii="Arial" w:hAnsi="Arial" w:cs="Arial"/>
          <w:i/>
          <w:color w:val="00B0F0"/>
          <w:sz w:val="22"/>
          <w:szCs w:val="22"/>
        </w:rPr>
        <w:t xml:space="preserve"> derivanti da</w:t>
      </w:r>
      <w:r w:rsidR="00326753" w:rsidRPr="00D80990">
        <w:rPr>
          <w:rFonts w:ascii="Arial" w:hAnsi="Arial" w:cs="Arial"/>
          <w:i/>
          <w:color w:val="00B0F0"/>
          <w:sz w:val="22"/>
          <w:szCs w:val="22"/>
        </w:rPr>
        <w:t>lle</w:t>
      </w:r>
      <w:r w:rsidR="007F766F" w:rsidRPr="00D80990">
        <w:rPr>
          <w:rFonts w:ascii="Arial" w:hAnsi="Arial" w:cs="Arial"/>
          <w:i/>
          <w:color w:val="00B0F0"/>
          <w:sz w:val="22"/>
          <w:szCs w:val="22"/>
        </w:rPr>
        <w:t xml:space="preserve"> alienazioni patrimoniali, </w:t>
      </w:r>
      <w:r w:rsidR="00326753" w:rsidRPr="00D80990">
        <w:rPr>
          <w:rFonts w:ascii="Arial" w:hAnsi="Arial" w:cs="Arial"/>
          <w:i/>
          <w:color w:val="00B0F0"/>
          <w:sz w:val="22"/>
          <w:szCs w:val="22"/>
        </w:rPr>
        <w:t>anche derivanti da azioni o piani di razionalizzazione, per finanziare le quote capitali dei mutui o dei prestiti obbligazionari in ammortamento nell'anno o in anticipo rispetto all'originario piano di ammortamento. Tale possibilit</w:t>
      </w:r>
      <w:r w:rsidR="003D52F2" w:rsidRPr="00D80990">
        <w:rPr>
          <w:rFonts w:ascii="Arial" w:hAnsi="Arial" w:cs="Arial"/>
          <w:i/>
          <w:color w:val="00B0F0"/>
          <w:sz w:val="22"/>
          <w:szCs w:val="22"/>
        </w:rPr>
        <w:t>àè</w:t>
      </w:r>
      <w:r w:rsidR="00326753" w:rsidRPr="00D80990">
        <w:rPr>
          <w:rFonts w:ascii="Arial" w:hAnsi="Arial" w:cs="Arial"/>
          <w:i/>
          <w:color w:val="00B0F0"/>
          <w:sz w:val="22"/>
          <w:szCs w:val="22"/>
        </w:rPr>
        <w:t xml:space="preserve"> consentita esclusivamente agli enti locali che: </w:t>
      </w:r>
    </w:p>
    <w:p w14:paraId="055CC5BF" w14:textId="77777777" w:rsidR="00326753"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a) dimostrino, con riferimento al bilancio consolidato dell'esercizio precedente, un rapporto tra totale delle immobilizzazioni e debiti da finanziamento superiore a 2; </w:t>
      </w:r>
    </w:p>
    <w:p w14:paraId="531AEAE8" w14:textId="77777777" w:rsidR="00326753"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b) in sede di bilancio di previsione non registrino incrementi di spesa corrente ricorrente, come definita dall'allegato 7 annesso al decreto legislativo 23 giugno 2011, n. 118; </w:t>
      </w:r>
    </w:p>
    <w:p w14:paraId="4AB29ACD" w14:textId="77777777" w:rsidR="009F6E3E"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c) siano in regola con gli accantonamenti al fondo crediti di dubbia esigibilit</w:t>
      </w:r>
      <w:r w:rsidR="003D52F2" w:rsidRPr="00D80990">
        <w:rPr>
          <w:rFonts w:ascii="Arial" w:hAnsi="Arial" w:cs="Arial"/>
          <w:i/>
          <w:color w:val="00B0F0"/>
          <w:sz w:val="22"/>
          <w:szCs w:val="22"/>
        </w:rPr>
        <w:t>à</w:t>
      </w:r>
      <w:r w:rsidRPr="00D80990">
        <w:rPr>
          <w:rFonts w:ascii="Arial" w:hAnsi="Arial" w:cs="Arial"/>
          <w:i/>
          <w:color w:val="00B0F0"/>
          <w:sz w:val="22"/>
          <w:szCs w:val="22"/>
        </w:rPr>
        <w:t>.</w:t>
      </w:r>
    </w:p>
    <w:p w14:paraId="40E9801E" w14:textId="77777777" w:rsidR="00627609" w:rsidRPr="00D80990" w:rsidRDefault="00627609" w:rsidP="00627609">
      <w:pPr>
        <w:pStyle w:val="Nessunaspaziatura"/>
        <w:jc w:val="both"/>
        <w:rPr>
          <w:rFonts w:ascii="Arial" w:hAnsi="Arial" w:cs="Arial"/>
          <w:i/>
          <w:color w:val="00B0F0"/>
          <w:sz w:val="22"/>
          <w:szCs w:val="22"/>
        </w:rPr>
      </w:pPr>
    </w:p>
    <w:p w14:paraId="58E4C9FA" w14:textId="77777777" w:rsidR="00627609" w:rsidRPr="00D80990" w:rsidRDefault="00627609" w:rsidP="00627609">
      <w:pPr>
        <w:jc w:val="both"/>
        <w:rPr>
          <w:rFonts w:ascii="Arial" w:hAnsi="Arial" w:cs="Arial"/>
          <w:i/>
          <w:color w:val="00B0F0"/>
          <w:sz w:val="22"/>
          <w:szCs w:val="22"/>
        </w:rPr>
      </w:pPr>
      <w:r w:rsidRPr="00D80990">
        <w:rPr>
          <w:rFonts w:ascii="Arial" w:hAnsi="Arial" w:cs="Arial"/>
          <w:i/>
          <w:color w:val="00B0F0"/>
          <w:sz w:val="22"/>
          <w:szCs w:val="22"/>
        </w:rPr>
        <w:t>L’utilizzo di tali risorse in parte corrente richiede una previa verifica delle condizioni previste dall’art.1 comma 866 della Legge 205/2017, a seguito della stipula dell’atto di vendita.</w:t>
      </w:r>
    </w:p>
    <w:p w14:paraId="5C2555CF" w14:textId="77777777" w:rsidR="00627609" w:rsidRPr="00D80990" w:rsidRDefault="00627609" w:rsidP="00627609">
      <w:pPr>
        <w:jc w:val="both"/>
        <w:rPr>
          <w:rFonts w:ascii="Arial" w:hAnsi="Arial" w:cs="Arial"/>
          <w:i/>
          <w:color w:val="00B0F0"/>
          <w:sz w:val="22"/>
          <w:szCs w:val="22"/>
        </w:rPr>
      </w:pPr>
    </w:p>
    <w:p w14:paraId="1F59C5CF" w14:textId="77777777" w:rsidR="00326753" w:rsidRPr="00D80990" w:rsidRDefault="00326753" w:rsidP="00627609">
      <w:pPr>
        <w:pStyle w:val="Nessunaspaziatura"/>
        <w:jc w:val="both"/>
        <w:rPr>
          <w:rFonts w:ascii="Arial" w:hAnsi="Arial" w:cs="Arial"/>
          <w:i/>
          <w:color w:val="00B0F0"/>
          <w:sz w:val="22"/>
          <w:szCs w:val="22"/>
        </w:rPr>
      </w:pPr>
    </w:p>
    <w:p w14:paraId="52066759" w14:textId="77777777" w:rsidR="009F6E3E" w:rsidRPr="00D80990" w:rsidRDefault="007F766F" w:rsidP="00627609">
      <w:pPr>
        <w:pStyle w:val="Nessunaspaziatura"/>
        <w:jc w:val="both"/>
        <w:rPr>
          <w:rFonts w:ascii="Arial" w:hAnsi="Arial" w:cs="Arial"/>
          <w:i/>
          <w:sz w:val="22"/>
          <w:szCs w:val="22"/>
          <w:u w:val="single"/>
        </w:rPr>
      </w:pPr>
      <w:r w:rsidRPr="00D80990">
        <w:rPr>
          <w:rFonts w:ascii="Arial" w:hAnsi="Arial" w:cs="Arial"/>
          <w:i/>
          <w:sz w:val="22"/>
          <w:szCs w:val="22"/>
          <w:u w:val="single"/>
        </w:rPr>
        <w:t xml:space="preserve">Risorse </w:t>
      </w:r>
      <w:r w:rsidR="00FF7087" w:rsidRPr="00D80990">
        <w:rPr>
          <w:rFonts w:ascii="Arial" w:hAnsi="Arial" w:cs="Arial"/>
          <w:i/>
          <w:sz w:val="22"/>
          <w:szCs w:val="22"/>
          <w:u w:val="single"/>
        </w:rPr>
        <w:t xml:space="preserve">derivanti </w:t>
      </w:r>
      <w:r w:rsidRPr="00D80990">
        <w:rPr>
          <w:rFonts w:ascii="Arial" w:hAnsi="Arial" w:cs="Arial"/>
          <w:i/>
          <w:sz w:val="22"/>
          <w:szCs w:val="22"/>
          <w:u w:val="single"/>
        </w:rPr>
        <w:t>da rinegoziazione mutui</w:t>
      </w:r>
    </w:p>
    <w:p w14:paraId="5AB7904E" w14:textId="77777777" w:rsidR="009F6E3E" w:rsidRPr="00D80990" w:rsidRDefault="009F6E3E" w:rsidP="00627609">
      <w:pPr>
        <w:pStyle w:val="Nessunaspaziatura"/>
        <w:jc w:val="both"/>
        <w:rPr>
          <w:rFonts w:ascii="Arial" w:hAnsi="Arial" w:cs="Arial"/>
          <w:i/>
          <w:color w:val="00B0F0"/>
          <w:sz w:val="22"/>
          <w:szCs w:val="22"/>
        </w:rPr>
      </w:pPr>
    </w:p>
    <w:p w14:paraId="4F27EB68" w14:textId="77777777" w:rsidR="004A1706" w:rsidRPr="00D80990" w:rsidRDefault="00665E61"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Il </w:t>
      </w:r>
      <w:r w:rsidR="00FF7087" w:rsidRPr="00D80990">
        <w:rPr>
          <w:rFonts w:ascii="Arial" w:hAnsi="Arial" w:cs="Arial"/>
          <w:i/>
          <w:color w:val="00B0F0"/>
          <w:sz w:val="22"/>
          <w:szCs w:val="22"/>
        </w:rPr>
        <w:t>comma 867</w:t>
      </w:r>
      <w:r w:rsidRPr="00D80990">
        <w:rPr>
          <w:rFonts w:ascii="Arial" w:hAnsi="Arial" w:cs="Arial"/>
          <w:i/>
          <w:color w:val="00B0F0"/>
          <w:sz w:val="22"/>
          <w:szCs w:val="22"/>
        </w:rPr>
        <w:t>dell’art.1</w:t>
      </w:r>
      <w:r w:rsidR="00364E24" w:rsidRPr="00D80990">
        <w:rPr>
          <w:rFonts w:ascii="Arial" w:hAnsi="Arial" w:cs="Arial"/>
          <w:i/>
          <w:color w:val="00B0F0"/>
          <w:sz w:val="22"/>
          <w:szCs w:val="22"/>
        </w:rPr>
        <w:t xml:space="preserve"> della L</w:t>
      </w:r>
      <w:r w:rsidR="007F766F" w:rsidRPr="00D80990">
        <w:rPr>
          <w:rFonts w:ascii="Arial" w:hAnsi="Arial" w:cs="Arial"/>
          <w:i/>
          <w:color w:val="00B0F0"/>
          <w:sz w:val="22"/>
          <w:szCs w:val="22"/>
        </w:rPr>
        <w:t>egge 205/2017 estende fino al 2020 la disposizione che consenteagli enti territoriali</w:t>
      </w:r>
      <w:r w:rsidR="00FF7087" w:rsidRPr="00D80990">
        <w:rPr>
          <w:rFonts w:ascii="Arial" w:hAnsi="Arial" w:cs="Arial"/>
          <w:i/>
          <w:color w:val="00B0F0"/>
          <w:sz w:val="22"/>
          <w:szCs w:val="22"/>
        </w:rPr>
        <w:t>, per gli anni 2015-2020,</w:t>
      </w:r>
      <w:r w:rsidR="007F766F" w:rsidRPr="00D80990">
        <w:rPr>
          <w:rFonts w:ascii="Arial" w:hAnsi="Arial" w:cs="Arial"/>
          <w:i/>
          <w:color w:val="00B0F0"/>
          <w:sz w:val="22"/>
          <w:szCs w:val="22"/>
        </w:rPr>
        <w:t xml:space="preserve"> l’utilizzo senza vincoli di destinazione delle risorse derivanti da operazioni di rinegoziazione di mutui, nonché dal riacquisto dei titoli obbligazionari emessi (art. 7, co. 2, D.L. n.78/2015), anche per spesa corrente</w:t>
      </w:r>
      <w:r w:rsidR="004A1706" w:rsidRPr="00D80990">
        <w:rPr>
          <w:rFonts w:ascii="Arial" w:hAnsi="Arial" w:cs="Arial"/>
          <w:i/>
          <w:color w:val="00B0F0"/>
          <w:sz w:val="22"/>
          <w:szCs w:val="22"/>
        </w:rPr>
        <w:t>.</w:t>
      </w:r>
    </w:p>
    <w:p w14:paraId="497EE446" w14:textId="77777777" w:rsidR="009F6E3E" w:rsidRPr="00D80990" w:rsidRDefault="007F766F"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La disposizione previgente limitava l’applicazione della disposizione al periodo 2015-2017.</w:t>
      </w:r>
    </w:p>
    <w:p w14:paraId="2408360F" w14:textId="77777777" w:rsidR="00627609" w:rsidRPr="00D80990" w:rsidRDefault="00627609" w:rsidP="00627609">
      <w:pPr>
        <w:pStyle w:val="Nessunaspaziatura"/>
        <w:jc w:val="both"/>
        <w:rPr>
          <w:rFonts w:ascii="Arial" w:hAnsi="Arial" w:cs="Arial"/>
          <w:i/>
          <w:color w:val="00B0F0"/>
          <w:sz w:val="22"/>
          <w:szCs w:val="22"/>
        </w:rPr>
      </w:pPr>
    </w:p>
    <w:p w14:paraId="6A0EB51D" w14:textId="77777777" w:rsidR="00627609" w:rsidRPr="00D80990" w:rsidRDefault="00627609" w:rsidP="00627609">
      <w:pPr>
        <w:jc w:val="both"/>
        <w:rPr>
          <w:rFonts w:ascii="Arial" w:hAnsi="Arial" w:cs="Arial"/>
          <w:sz w:val="22"/>
          <w:szCs w:val="22"/>
        </w:rPr>
      </w:pPr>
      <w:r w:rsidRPr="00D80990">
        <w:rPr>
          <w:rFonts w:ascii="Arial" w:hAnsi="Arial" w:cs="Arial"/>
          <w:sz w:val="22"/>
          <w:szCs w:val="22"/>
        </w:rPr>
        <w:t xml:space="preserve">L’ente </w:t>
      </w:r>
      <w:r w:rsidRPr="00D80990">
        <w:rPr>
          <w:rFonts w:ascii="Arial" w:hAnsi="Arial" w:cs="Arial"/>
          <w:b/>
          <w:sz w:val="22"/>
          <w:szCs w:val="22"/>
        </w:rPr>
        <w:t>si è avvalso / non si è avvalso</w:t>
      </w:r>
      <w:r w:rsidRPr="00D80990">
        <w:rPr>
          <w:rFonts w:ascii="Arial" w:hAnsi="Arial" w:cs="Arial"/>
          <w:sz w:val="22"/>
          <w:szCs w:val="22"/>
        </w:rPr>
        <w:t xml:space="preserve"> della facoltà di utilizzare le economie di risorse derivanti da operazioni di rinegoziazione mutui e prestiti per finanziare, in deroga, spese di parte corrente ai sensi dell’art. 1 comma 867 Legge 205/2017.</w:t>
      </w:r>
    </w:p>
    <w:p w14:paraId="5147074E" w14:textId="77777777" w:rsidR="00627609" w:rsidRPr="00D80990" w:rsidRDefault="00627609" w:rsidP="00627609">
      <w:pPr>
        <w:pStyle w:val="Nessunaspaziatura"/>
        <w:jc w:val="both"/>
        <w:rPr>
          <w:rFonts w:ascii="Arial" w:hAnsi="Arial" w:cs="Arial"/>
          <w:i/>
          <w:color w:val="00B0F0"/>
          <w:sz w:val="22"/>
          <w:szCs w:val="22"/>
        </w:rPr>
      </w:pPr>
    </w:p>
    <w:p w14:paraId="2CF01926" w14:textId="77777777" w:rsidR="009F6E3E" w:rsidRPr="00D80990" w:rsidRDefault="007F766F">
      <w:pPr>
        <w:pStyle w:val="Titolo2"/>
      </w:pPr>
      <w:bookmarkStart w:id="33" w:name="_Toc535487605"/>
      <w:r w:rsidRPr="00D80990">
        <w:t>Entrate e spese di carattere non ripetitivo</w:t>
      </w:r>
      <w:bookmarkEnd w:id="33"/>
    </w:p>
    <w:p w14:paraId="12018A2B" w14:textId="77777777" w:rsidR="009F6E3E" w:rsidRPr="00D80990" w:rsidRDefault="007F766F">
      <w:pPr>
        <w:spacing w:before="120"/>
        <w:jc w:val="both"/>
        <w:rPr>
          <w:rFonts w:ascii="Arial" w:hAnsi="Arial" w:cs="Arial"/>
          <w:sz w:val="22"/>
          <w:szCs w:val="22"/>
        </w:rPr>
      </w:pPr>
      <w:r w:rsidRPr="00D80990">
        <w:rPr>
          <w:rFonts w:ascii="Arial" w:hAnsi="Arial" w:cs="Arial"/>
          <w:sz w:val="22"/>
          <w:szCs w:val="22"/>
        </w:rPr>
        <w:t>L’articolo 25, comma 1, lettera b) della legge 31/12/2009, n.196</w:t>
      </w:r>
      <w:r w:rsidR="00BC7A78">
        <w:rPr>
          <w:rFonts w:ascii="Arial" w:hAnsi="Arial" w:cs="Arial"/>
          <w:sz w:val="22"/>
          <w:szCs w:val="22"/>
        </w:rPr>
        <w:t xml:space="preserve">, relativamente alla classificazione delle entrate dello stato, </w:t>
      </w:r>
      <w:r w:rsidRPr="00D80990">
        <w:rPr>
          <w:rFonts w:ascii="Arial" w:hAnsi="Arial" w:cs="Arial"/>
          <w:sz w:val="22"/>
          <w:szCs w:val="22"/>
        </w:rPr>
        <w:t>distingue le entrate ricorrenti da quelle non ricorrenti, a seconda che si riferiscano a proventi la cui acquisizione sia prevista a regime ovvero limitata a uno o più esercizi.</w:t>
      </w:r>
    </w:p>
    <w:p w14:paraId="601E5269" w14:textId="77777777"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E’ definita “a regime” un’entrata che si presenta con continuità in almeno 5 esercizi, per importi costanti nel tempo.</w:t>
      </w:r>
    </w:p>
    <w:p w14:paraId="064C683B" w14:textId="77777777"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Tutti i trasferimenti in conto capitale sono non ricorrenti a meno che non siano espressamente definiti “continuativi” dal provvedimento o dalla norma che ne autorizza l’erogazione.</w:t>
      </w:r>
    </w:p>
    <w:p w14:paraId="3C4749FE" w14:textId="77777777"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 xml:space="preserve">E' opportuno includere tra le entrate “non ricorrenti” anche le entrate presenti “a regime” nei bilanci dell’ente, quando presentano importi superiori alla media riscontrata nei cinque esercizi precedenti. </w:t>
      </w:r>
    </w:p>
    <w:p w14:paraId="15EE75B6" w14:textId="77777777"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In questo caso le entrate devono essere considerate ricorrenti fino a quando superano tale importo e devono essere invece considerate non ricorrenti quando tale importo viene superato.</w:t>
      </w:r>
    </w:p>
    <w:p w14:paraId="782671D3" w14:textId="77777777"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Le entrate da concessioni pluriennali che non garantiscono accertamenti costanti negli esercizi e costituiscono entrate straordinarie non ricorrenti sono destinate al finanziamento di interventi di investimento. (cfr. punto 3.10 del principio contabile applicato 4/2 D.Lgs.118/2011)</w:t>
      </w:r>
    </w:p>
    <w:p w14:paraId="75E99A05" w14:textId="77777777" w:rsidR="0001679F" w:rsidRDefault="0001679F">
      <w:pPr>
        <w:spacing w:before="120"/>
        <w:jc w:val="both"/>
        <w:rPr>
          <w:rFonts w:ascii="Arial" w:hAnsi="Arial" w:cs="Arial"/>
          <w:sz w:val="22"/>
          <w:szCs w:val="22"/>
        </w:rPr>
      </w:pPr>
    </w:p>
    <w:p w14:paraId="1DC6A116" w14:textId="77777777" w:rsidR="009F6E3E" w:rsidRDefault="007F766F">
      <w:pPr>
        <w:spacing w:before="120"/>
        <w:jc w:val="both"/>
        <w:rPr>
          <w:rFonts w:ascii="Arial" w:hAnsi="Arial" w:cs="Arial"/>
          <w:sz w:val="22"/>
          <w:szCs w:val="22"/>
        </w:rPr>
      </w:pPr>
      <w:r w:rsidRPr="00D80990">
        <w:rPr>
          <w:rFonts w:ascii="Arial" w:hAnsi="Arial" w:cs="Arial"/>
          <w:sz w:val="22"/>
          <w:szCs w:val="22"/>
        </w:rPr>
        <w:t>Nel bilancio sono previste nei primi tre titoli le seguenti entrate e nel titolo I le seguenti spese non ricorrenti (indicare solo l’importo che, come riportato nel commento, supera la media dei cinque anni precedenti).</w:t>
      </w:r>
    </w:p>
    <w:p w14:paraId="681E98CA" w14:textId="77777777" w:rsidR="00511D8A" w:rsidRDefault="00511D8A">
      <w:pPr>
        <w:spacing w:before="120"/>
        <w:jc w:val="both"/>
        <w:rPr>
          <w:rFonts w:ascii="Arial" w:hAnsi="Arial" w:cs="Arial"/>
          <w:sz w:val="22"/>
          <w:szCs w:val="22"/>
        </w:rPr>
      </w:pPr>
    </w:p>
    <w:p w14:paraId="78D86861" w14:textId="77777777" w:rsidR="00511D8A" w:rsidRPr="00D80990" w:rsidRDefault="00511D8A" w:rsidP="00511D8A">
      <w:pPr>
        <w:spacing w:before="120"/>
        <w:jc w:val="center"/>
        <w:rPr>
          <w:rFonts w:ascii="Arial" w:hAnsi="Arial" w:cs="Arial"/>
          <w:sz w:val="22"/>
          <w:szCs w:val="22"/>
        </w:rPr>
      </w:pPr>
    </w:p>
    <w:p w14:paraId="212939C4" w14:textId="77777777" w:rsidR="00F3032F" w:rsidRDefault="00F3032F">
      <w:pPr>
        <w:jc w:val="both"/>
        <w:rPr>
          <w:rFonts w:ascii="Arial" w:hAnsi="Arial" w:cs="Arial"/>
          <w:sz w:val="22"/>
          <w:szCs w:val="22"/>
        </w:rPr>
      </w:pPr>
    </w:p>
    <w:p w14:paraId="4599D6AA" w14:textId="77777777" w:rsidR="00B75B67" w:rsidRDefault="003B58BD" w:rsidP="00B75B67">
      <w:pPr>
        <w:jc w:val="center"/>
        <w:rPr>
          <w:rFonts w:ascii="Arial" w:hAnsi="Arial" w:cs="Arial"/>
          <w:sz w:val="22"/>
          <w:szCs w:val="22"/>
        </w:rPr>
      </w:pPr>
      <w:r w:rsidRPr="00213664">
        <w:rPr>
          <w:rFonts w:ascii="Arial" w:hAnsi="Arial" w:cs="Arial"/>
          <w:sz w:val="22"/>
          <w:szCs w:val="22"/>
        </w:rPr>
        <w:object w:dxaOrig="9072" w:dyaOrig="2493" w14:anchorId="659F3283">
          <v:shape id="_x0000_i1037" type="#_x0000_t75" style="width:453.75pt;height:122.25pt" o:ole="">
            <v:imagedata r:id="rId38" o:title=""/>
          </v:shape>
          <o:OLEObject Type="Embed" ProgID="Excel.Sheet.12" ShapeID="_x0000_i1037" DrawAspect="Content" ObjectID="_1780988726" r:id="rId39"/>
        </w:object>
      </w:r>
    </w:p>
    <w:p w14:paraId="39CD1605" w14:textId="77777777" w:rsidR="00B75B67" w:rsidRDefault="00B75B67" w:rsidP="00B75B67">
      <w:pPr>
        <w:jc w:val="center"/>
        <w:rPr>
          <w:rFonts w:ascii="Arial" w:hAnsi="Arial" w:cs="Arial"/>
          <w:sz w:val="22"/>
          <w:szCs w:val="22"/>
        </w:rPr>
      </w:pPr>
    </w:p>
    <w:p w14:paraId="0BD284A1" w14:textId="77777777" w:rsidR="003B58BD" w:rsidRDefault="003B58BD" w:rsidP="00B75B67">
      <w:pPr>
        <w:jc w:val="center"/>
        <w:rPr>
          <w:rFonts w:ascii="Arial" w:hAnsi="Arial" w:cs="Arial"/>
          <w:sz w:val="22"/>
          <w:szCs w:val="22"/>
        </w:rPr>
      </w:pPr>
      <w:r w:rsidRPr="00213664">
        <w:rPr>
          <w:rFonts w:ascii="Arial" w:hAnsi="Arial" w:cs="Arial"/>
          <w:sz w:val="22"/>
          <w:szCs w:val="22"/>
        </w:rPr>
        <w:object w:dxaOrig="9072" w:dyaOrig="2246" w14:anchorId="2761C02E">
          <v:shape id="_x0000_i1038" type="#_x0000_t75" style="width:453.75pt;height:115.5pt" o:ole="">
            <v:imagedata r:id="rId40" o:title=""/>
          </v:shape>
          <o:OLEObject Type="Embed" ProgID="Excel.Sheet.12" ShapeID="_x0000_i1038" DrawAspect="Content" ObjectID="_1780988727" r:id="rId41"/>
        </w:object>
      </w:r>
    </w:p>
    <w:p w14:paraId="2636BA8E" w14:textId="77777777" w:rsidR="003B58BD" w:rsidRDefault="003B58BD" w:rsidP="00B75B67">
      <w:pPr>
        <w:jc w:val="center"/>
        <w:rPr>
          <w:rFonts w:ascii="Arial" w:hAnsi="Arial" w:cs="Arial"/>
          <w:sz w:val="22"/>
          <w:szCs w:val="22"/>
        </w:rPr>
      </w:pPr>
    </w:p>
    <w:p w14:paraId="1C9F978E" w14:textId="77777777" w:rsidR="009F6E3E" w:rsidRPr="00D80990" w:rsidRDefault="007F766F" w:rsidP="00AE2698">
      <w:pPr>
        <w:jc w:val="both"/>
        <w:rPr>
          <w:rFonts w:ascii="Arial" w:hAnsi="Arial" w:cs="Arial"/>
          <w:i/>
          <w:color w:val="00B0F0"/>
          <w:sz w:val="20"/>
          <w:szCs w:val="20"/>
        </w:rPr>
      </w:pPr>
      <w:r w:rsidRPr="00D80990">
        <w:rPr>
          <w:rFonts w:ascii="Arial" w:hAnsi="Arial" w:cs="Arial"/>
          <w:i/>
          <w:color w:val="00B0F0"/>
          <w:sz w:val="20"/>
          <w:szCs w:val="20"/>
        </w:rPr>
        <w:t>Nella nota integrativa sono analizzate le articolazioni e la relazione fra entrate ricorrenti e quelle non ricorrenti.</w:t>
      </w:r>
    </w:p>
    <w:p w14:paraId="3185DE61" w14:textId="77777777" w:rsidR="009F6E3E" w:rsidRPr="00D80990" w:rsidRDefault="007F766F" w:rsidP="00AE2698">
      <w:pPr>
        <w:jc w:val="both"/>
        <w:rPr>
          <w:rFonts w:ascii="Arial" w:hAnsi="Arial" w:cs="Arial"/>
          <w:i/>
          <w:color w:val="00B0F0"/>
          <w:sz w:val="20"/>
          <w:szCs w:val="20"/>
        </w:rPr>
      </w:pPr>
      <w:r w:rsidRPr="00D80990">
        <w:rPr>
          <w:rFonts w:ascii="Arial" w:hAnsi="Arial" w:cs="Arial"/>
          <w:i/>
          <w:color w:val="00B0F0"/>
          <w:sz w:val="20"/>
          <w:szCs w:val="20"/>
        </w:rPr>
        <w:t>Il codice identificativo della transazione elementare delle entrate non ricorrenti è 2, quella delle spese non ricorrenti 4.</w:t>
      </w:r>
    </w:p>
    <w:p w14:paraId="77B10720" w14:textId="77777777" w:rsidR="009F6E3E" w:rsidRPr="00D80990" w:rsidRDefault="007F766F" w:rsidP="00AE2698">
      <w:pPr>
        <w:pStyle w:val="NormaleWeb"/>
        <w:spacing w:before="0" w:beforeAutospacing="0" w:after="265" w:afterAutospacing="0"/>
        <w:jc w:val="both"/>
        <w:rPr>
          <w:rFonts w:ascii="Arial" w:hAnsi="Arial" w:cs="Arial"/>
          <w:i/>
          <w:color w:val="00B0F0"/>
          <w:sz w:val="20"/>
          <w:szCs w:val="20"/>
        </w:rPr>
      </w:pPr>
      <w:r w:rsidRPr="00D80990">
        <w:rPr>
          <w:rFonts w:ascii="Arial" w:hAnsi="Arial" w:cs="Arial"/>
          <w:i/>
          <w:color w:val="00B0F0"/>
          <w:sz w:val="20"/>
          <w:szCs w:val="20"/>
        </w:rPr>
        <w:t>Alcune entrate sono considerate per definizione dai nuovi principi contabili come non ricorrenti, in particolare l’allegato 7 al D.lgs. 118/2011 precisa la distinzione tra entrata ricorrente e non ricorrente, a seconda se l’acquisizione dell’entrata sia prevista a regime ovvero limitata ad uno o più esercizi, e della spesa ricorrente e non ricorrente, a seconda se la spesa sia prevista a regime o limitata ad uno o più esercizi (vedi punto 1 lett. g). A prescindere dall’entrata o dalla spesa a regime, il successivo punto 5 del citato allegato precisa che:</w:t>
      </w:r>
    </w:p>
    <w:p w14:paraId="5D6B594C" w14:textId="77777777" w:rsidR="009F6E3E" w:rsidRPr="00D80990" w:rsidRDefault="007F766F" w:rsidP="0001679F">
      <w:pPr>
        <w:pStyle w:val="NormaleWeb"/>
        <w:numPr>
          <w:ilvl w:val="0"/>
          <w:numId w:val="30"/>
        </w:numPr>
        <w:spacing w:before="0" w:beforeAutospacing="0" w:after="0" w:afterAutospacing="0"/>
        <w:rPr>
          <w:rFonts w:ascii="Arial" w:hAnsi="Arial" w:cs="Arial"/>
          <w:i/>
          <w:color w:val="00B0F0"/>
          <w:sz w:val="20"/>
          <w:szCs w:val="20"/>
        </w:rPr>
      </w:pPr>
      <w:r w:rsidRPr="00D80990">
        <w:rPr>
          <w:rFonts w:ascii="Arial" w:hAnsi="Arial" w:cs="Arial"/>
          <w:i/>
          <w:color w:val="00B0F0"/>
          <w:sz w:val="20"/>
          <w:szCs w:val="20"/>
        </w:rPr>
        <w:t>Sono in ogni caso da considerare non ricorrenti le entrate riguardanti:</w:t>
      </w:r>
    </w:p>
    <w:p w14:paraId="7A4DB06B" w14:textId="77777777" w:rsidR="005D5C5F" w:rsidRDefault="007F766F" w:rsidP="005D5C5F">
      <w:pPr>
        <w:pStyle w:val="NormaleWeb"/>
        <w:numPr>
          <w:ilvl w:val="0"/>
          <w:numId w:val="31"/>
        </w:numPr>
        <w:spacing w:before="0" w:beforeAutospacing="0" w:after="0" w:afterAutospacing="0"/>
        <w:ind w:firstLine="65"/>
        <w:rPr>
          <w:rFonts w:ascii="Arial" w:hAnsi="Arial" w:cs="Arial"/>
          <w:i/>
          <w:color w:val="00B0F0"/>
          <w:sz w:val="20"/>
          <w:szCs w:val="20"/>
        </w:rPr>
      </w:pPr>
      <w:r w:rsidRPr="00D80990">
        <w:rPr>
          <w:rFonts w:ascii="Arial" w:hAnsi="Arial" w:cs="Arial"/>
          <w:i/>
          <w:color w:val="00B0F0"/>
          <w:sz w:val="20"/>
          <w:szCs w:val="20"/>
        </w:rPr>
        <w:t>donazioni, sanatorie, abusi edilizi e sanzioni;</w:t>
      </w:r>
    </w:p>
    <w:p w14:paraId="1175E3B9" w14:textId="77777777" w:rsidR="009F6E3E" w:rsidRPr="00D80990" w:rsidRDefault="007F766F" w:rsidP="005D5C5F">
      <w:pPr>
        <w:pStyle w:val="NormaleWeb"/>
        <w:numPr>
          <w:ilvl w:val="0"/>
          <w:numId w:val="31"/>
        </w:numPr>
        <w:spacing w:before="0" w:beforeAutospacing="0" w:after="0" w:afterAutospacing="0"/>
        <w:ind w:left="1134" w:firstLine="0"/>
        <w:rPr>
          <w:rFonts w:ascii="Arial" w:hAnsi="Arial" w:cs="Arial"/>
          <w:i/>
          <w:color w:val="00B0F0"/>
          <w:sz w:val="20"/>
          <w:szCs w:val="20"/>
        </w:rPr>
      </w:pPr>
      <w:r w:rsidRPr="00D80990">
        <w:rPr>
          <w:rFonts w:ascii="Arial" w:hAnsi="Arial" w:cs="Arial"/>
          <w:i/>
          <w:color w:val="00B0F0"/>
          <w:sz w:val="20"/>
          <w:szCs w:val="20"/>
        </w:rPr>
        <w:t>condoni;</w:t>
      </w:r>
      <w:r w:rsidRPr="00D80990">
        <w:rPr>
          <w:rFonts w:ascii="Arial" w:hAnsi="Arial" w:cs="Arial"/>
          <w:i/>
          <w:color w:val="00B0F0"/>
          <w:sz w:val="20"/>
          <w:szCs w:val="20"/>
        </w:rPr>
        <w:br/>
        <w:t>c) gettiti derivanti dalla lotta all’evasione tributaria;</w:t>
      </w:r>
      <w:r w:rsidRPr="00D80990">
        <w:rPr>
          <w:rFonts w:ascii="Arial" w:hAnsi="Arial" w:cs="Arial"/>
          <w:i/>
          <w:color w:val="00B0F0"/>
          <w:sz w:val="20"/>
          <w:szCs w:val="20"/>
        </w:rPr>
        <w:br/>
        <w:t>d) entrate per eventi calamitosi;</w:t>
      </w:r>
      <w:r w:rsidRPr="00D80990">
        <w:rPr>
          <w:rFonts w:ascii="Arial" w:hAnsi="Arial" w:cs="Arial"/>
          <w:i/>
          <w:color w:val="00B0F0"/>
          <w:sz w:val="20"/>
          <w:szCs w:val="20"/>
        </w:rPr>
        <w:br/>
        <w:t>e) alienazione di immobilizzazioni;</w:t>
      </w:r>
      <w:r w:rsidRPr="00D80990">
        <w:rPr>
          <w:rFonts w:ascii="Arial" w:hAnsi="Arial" w:cs="Arial"/>
          <w:i/>
          <w:color w:val="00B0F0"/>
          <w:sz w:val="20"/>
          <w:szCs w:val="20"/>
        </w:rPr>
        <w:br/>
        <w:t>f) accensioni di prestiti;</w:t>
      </w:r>
      <w:r w:rsidRPr="00D80990">
        <w:rPr>
          <w:rFonts w:ascii="Arial" w:hAnsi="Arial" w:cs="Arial"/>
          <w:i/>
          <w:color w:val="00B0F0"/>
          <w:sz w:val="20"/>
          <w:szCs w:val="20"/>
        </w:rPr>
        <w:br/>
        <w:t>g)contributi agli investimenti, a meno che non siano espressamente definitivi “continuativi” dal provvedimento o dalla norma che ne autorizza l’erogazione.</w:t>
      </w:r>
    </w:p>
    <w:p w14:paraId="72ADE494" w14:textId="77777777" w:rsidR="009F6E3E" w:rsidRPr="00D80990" w:rsidRDefault="007F766F" w:rsidP="0001679F">
      <w:pPr>
        <w:pStyle w:val="NormaleWeb"/>
        <w:numPr>
          <w:ilvl w:val="0"/>
          <w:numId w:val="30"/>
        </w:numPr>
        <w:spacing w:before="0" w:beforeAutospacing="0" w:after="0" w:afterAutospacing="0"/>
        <w:rPr>
          <w:rFonts w:ascii="Arial" w:hAnsi="Arial" w:cs="Arial"/>
          <w:i/>
          <w:color w:val="00B0F0"/>
          <w:sz w:val="20"/>
          <w:szCs w:val="20"/>
        </w:rPr>
      </w:pPr>
      <w:r w:rsidRPr="00D80990">
        <w:rPr>
          <w:rFonts w:ascii="Arial" w:hAnsi="Arial" w:cs="Arial"/>
          <w:i/>
          <w:color w:val="00B0F0"/>
          <w:sz w:val="20"/>
          <w:szCs w:val="20"/>
        </w:rPr>
        <w:t>Sono, in ogni caso, da considerarsi non ricorrenti, le spese riguardanti:</w:t>
      </w:r>
    </w:p>
    <w:p w14:paraId="142700B2" w14:textId="77777777" w:rsidR="009F6E3E" w:rsidRDefault="007F766F" w:rsidP="005D5C5F">
      <w:pPr>
        <w:pStyle w:val="NormaleWeb"/>
        <w:numPr>
          <w:ilvl w:val="0"/>
          <w:numId w:val="42"/>
        </w:numPr>
        <w:spacing w:before="0" w:beforeAutospacing="0" w:after="0" w:afterAutospacing="0"/>
        <w:ind w:left="1134" w:firstLine="0"/>
        <w:rPr>
          <w:rFonts w:ascii="Arial" w:hAnsi="Arial" w:cs="Arial"/>
          <w:i/>
          <w:color w:val="00B0F0"/>
          <w:sz w:val="20"/>
          <w:szCs w:val="20"/>
        </w:rPr>
      </w:pPr>
      <w:r w:rsidRPr="00D80990">
        <w:rPr>
          <w:rFonts w:ascii="Arial" w:hAnsi="Arial" w:cs="Arial"/>
          <w:i/>
          <w:color w:val="00B0F0"/>
          <w:sz w:val="20"/>
          <w:szCs w:val="20"/>
        </w:rPr>
        <w:t>consultazioni elettorali o referendarie locali,</w:t>
      </w:r>
      <w:r w:rsidRPr="00D80990">
        <w:rPr>
          <w:rFonts w:ascii="Arial" w:hAnsi="Arial" w:cs="Arial"/>
          <w:i/>
          <w:color w:val="00B0F0"/>
          <w:sz w:val="20"/>
          <w:szCs w:val="20"/>
        </w:rPr>
        <w:br/>
        <w:t>b) ripiani disavanzi pregressi di aziende e società e altri trasferimenti in c/capitale,</w:t>
      </w:r>
      <w:r w:rsidRPr="00D80990">
        <w:rPr>
          <w:rFonts w:ascii="Arial" w:hAnsi="Arial" w:cs="Arial"/>
          <w:i/>
          <w:color w:val="00B0F0"/>
          <w:sz w:val="20"/>
          <w:szCs w:val="20"/>
        </w:rPr>
        <w:br/>
        <w:t>c) eventi calamitosi,</w:t>
      </w:r>
      <w:r w:rsidRPr="00D80990">
        <w:rPr>
          <w:rFonts w:ascii="Arial" w:hAnsi="Arial" w:cs="Arial"/>
          <w:i/>
          <w:color w:val="00B0F0"/>
          <w:sz w:val="20"/>
          <w:szCs w:val="20"/>
        </w:rPr>
        <w:br/>
        <w:t>d) sentenze esecutive ed atti equiparati,</w:t>
      </w:r>
      <w:r w:rsidRPr="00D80990">
        <w:rPr>
          <w:rFonts w:ascii="Arial" w:hAnsi="Arial" w:cs="Arial"/>
          <w:i/>
          <w:color w:val="00B0F0"/>
          <w:sz w:val="20"/>
          <w:szCs w:val="20"/>
        </w:rPr>
        <w:br/>
        <w:t>e) investimenti diretti,</w:t>
      </w:r>
      <w:r w:rsidRPr="00D80990">
        <w:rPr>
          <w:rFonts w:ascii="Arial" w:hAnsi="Arial" w:cs="Arial"/>
          <w:i/>
          <w:color w:val="00B0F0"/>
          <w:sz w:val="20"/>
          <w:szCs w:val="20"/>
        </w:rPr>
        <w:br/>
        <w:t>f) contributi agli investimenti.</w:t>
      </w:r>
    </w:p>
    <w:p w14:paraId="37527B1D" w14:textId="77777777" w:rsidR="0013061E" w:rsidRPr="00D80990" w:rsidRDefault="0013061E" w:rsidP="008B1A79">
      <w:pPr>
        <w:pStyle w:val="NormaleWeb"/>
        <w:spacing w:before="0" w:beforeAutospacing="0" w:after="0" w:afterAutospacing="0"/>
        <w:ind w:left="1080"/>
        <w:rPr>
          <w:rFonts w:ascii="Arial" w:hAnsi="Arial" w:cs="Arial"/>
          <w:i/>
          <w:color w:val="00B0F0"/>
          <w:sz w:val="20"/>
          <w:szCs w:val="20"/>
        </w:rPr>
      </w:pPr>
    </w:p>
    <w:p w14:paraId="7249E831" w14:textId="77777777" w:rsidR="00B75B67" w:rsidRDefault="00B75B67">
      <w:pPr>
        <w:pStyle w:val="Titolo2"/>
      </w:pPr>
    </w:p>
    <w:p w14:paraId="185D85C8" w14:textId="77777777" w:rsidR="00B75B67" w:rsidRDefault="00B75B67">
      <w:pPr>
        <w:pStyle w:val="Titolo2"/>
      </w:pPr>
    </w:p>
    <w:p w14:paraId="56E2055F" w14:textId="77777777" w:rsidR="000D5C03" w:rsidRDefault="000D5C03" w:rsidP="000D5C03"/>
    <w:p w14:paraId="37F504CC" w14:textId="77777777" w:rsidR="000D5C03" w:rsidRDefault="000D5C03" w:rsidP="000D5C03"/>
    <w:p w14:paraId="4DC5E68B" w14:textId="77777777" w:rsidR="000D5C03" w:rsidRDefault="000D5C03" w:rsidP="000D5C03"/>
    <w:p w14:paraId="3C2A3392" w14:textId="77777777" w:rsidR="000D5C03" w:rsidRDefault="000D5C03" w:rsidP="000D5C03"/>
    <w:p w14:paraId="3A09300C" w14:textId="77777777" w:rsidR="000D5C03" w:rsidRDefault="000D5C03" w:rsidP="000D5C03"/>
    <w:p w14:paraId="0D850531" w14:textId="77777777" w:rsidR="000D5C03" w:rsidRDefault="000D5C03" w:rsidP="000D5C03"/>
    <w:p w14:paraId="4324F18E" w14:textId="77777777" w:rsidR="000D5C03" w:rsidRDefault="000D5C03">
      <w:r>
        <w:lastRenderedPageBreak/>
        <w:br w:type="page"/>
      </w:r>
    </w:p>
    <w:p w14:paraId="7B53BCBC" w14:textId="77777777" w:rsidR="009F6E3E" w:rsidRPr="00D80990" w:rsidRDefault="007F766F">
      <w:pPr>
        <w:pStyle w:val="Titolo2"/>
      </w:pPr>
      <w:bookmarkStart w:id="34" w:name="_Toc535487606"/>
      <w:r w:rsidRPr="00D80990">
        <w:lastRenderedPageBreak/>
        <w:t>La nota integrativa</w:t>
      </w:r>
      <w:bookmarkEnd w:id="34"/>
    </w:p>
    <w:p w14:paraId="567C6491" w14:textId="77777777" w:rsidR="009F6E3E" w:rsidRPr="00D80990" w:rsidRDefault="007F766F">
      <w:pPr>
        <w:pStyle w:val="provvr0"/>
        <w:rPr>
          <w:rFonts w:ascii="Arial" w:hAnsi="Arial" w:cs="Arial"/>
          <w:sz w:val="22"/>
          <w:szCs w:val="22"/>
        </w:rPr>
      </w:pPr>
      <w:r w:rsidRPr="00D80990">
        <w:rPr>
          <w:rFonts w:ascii="Arial" w:hAnsi="Arial" w:cs="Arial"/>
          <w:sz w:val="22"/>
          <w:szCs w:val="22"/>
        </w:rPr>
        <w:t>La nota integrativa allegata al bilancio di previsione indica come disposto dal comma 5 dell’art.11 del D.Lgs. 23/6/2011 n.118 tutte le seguenti informazioni:</w:t>
      </w:r>
    </w:p>
    <w:p w14:paraId="7D2AFAA5"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i criteri di valutazione adottati per la formulazione delle previsioni, con particolare riferimento agli stanziamenti riguardanti gli accantonamenti per le spese potenziali e al fondo crediti di dubbia esigibilità, dando illustrazione dei crediti per i quali non è previsto l'accantonamento a tale fondo; </w:t>
      </w:r>
    </w:p>
    <w:p w14:paraId="74DE8253"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analitico delle quote vincolate e accantonate del risultato di amministrazione presunto al 31 dicembre dell'esercizio precedente, distinguendo i vincoli derivanti dalla legge e dai principi contabili, dai trasferimenti, da mutui e altri finanziamenti, vincoli formalmente attribuiti dall'ente; </w:t>
      </w:r>
    </w:p>
    <w:p w14:paraId="173AAA0F"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analitico degli utilizzi delle quote vincolate e accantonate del risultato di amministrazione presunto, distinguendo i vincoli derivanti dalla legge e dai principi contabili, dai trasferimenti, da mutui e altri finanziamenti, vincoli formalmente attribuiti dall'ente; </w:t>
      </w:r>
    </w:p>
    <w:p w14:paraId="409AB753"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degli interventi programmati per spese di investimento finanziati col ricorso al debito e con le risorse disponibili; </w:t>
      </w:r>
    </w:p>
    <w:p w14:paraId="0A77B5A2"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nel caso in cui gli stanziamenti riguardanti il fondo pluriennale vincolato comprendono anche investimenti ancora in corso di definizione, le cause che non hanno reso possibile porre in essere la programmazione necessaria alla definizione dei relativi cronoprogrammi; </w:t>
      </w:r>
    </w:p>
    <w:p w14:paraId="2D7FD075"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delle garanzie principali o sussidiarie prestate dall'ente a favore di enti e di altri soggetti ai sensi delle leggi vigenti; </w:t>
      </w:r>
    </w:p>
    <w:p w14:paraId="1B6CF2B8"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gli oneri e gli impegni finanziari stimati e stanziati in bilancio, derivanti da contratti relativi a strumenti finanziari derivati o da contratti di finanziamento che includono una componente derivata; </w:t>
      </w:r>
    </w:p>
    <w:p w14:paraId="3DA84AFF"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dei propri enti ed organismi strumentali, precisando che i relativi bilanci consuntivi sono consultabili nel proprio sito internet fermo restando quanto previsto per gli enti locali dall'art. 172, comma 1, lettera a) del Tuel; </w:t>
      </w:r>
    </w:p>
    <w:p w14:paraId="7C51DD6B"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delle partecipazioni possedute con l'indicazione della relativa quota percentuale; </w:t>
      </w:r>
    </w:p>
    <w:p w14:paraId="6BA84855" w14:textId="77777777"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altre informazioni riguardanti le previsioni, richieste dalla legge o necessarie per l'interpretazione del bilancio.</w:t>
      </w:r>
    </w:p>
    <w:p w14:paraId="31EBC576" w14:textId="77777777" w:rsidR="009F6E3E" w:rsidRPr="00D80990" w:rsidRDefault="009F6E3E">
      <w:pPr>
        <w:rPr>
          <w:rFonts w:ascii="Arial" w:hAnsi="Arial" w:cs="Arial"/>
          <w:sz w:val="22"/>
          <w:szCs w:val="22"/>
        </w:rPr>
      </w:pPr>
    </w:p>
    <w:p w14:paraId="3D031EF4" w14:textId="77777777" w:rsidR="009F6E3E" w:rsidRPr="00D80990" w:rsidRDefault="007F766F">
      <w:pPr>
        <w:jc w:val="both"/>
        <w:rPr>
          <w:rFonts w:ascii="Arial" w:hAnsi="Arial" w:cs="Arial"/>
          <w:i/>
          <w:color w:val="00B0F0"/>
          <w:sz w:val="22"/>
          <w:szCs w:val="22"/>
        </w:rPr>
      </w:pPr>
      <w:r w:rsidRPr="00D80990">
        <w:rPr>
          <w:rFonts w:ascii="Arial" w:hAnsi="Arial" w:cs="Arial"/>
          <w:i/>
          <w:color w:val="00B0F0"/>
          <w:sz w:val="22"/>
          <w:szCs w:val="22"/>
        </w:rPr>
        <w:t>(Indicare i punti non illustrati nella nota integrativa o le eventuali carenze nelle informazioni indicate nella stessa)</w:t>
      </w:r>
    </w:p>
    <w:p w14:paraId="3BC73D60" w14:textId="77777777" w:rsidR="009F6E3E" w:rsidRPr="00D80990" w:rsidRDefault="009F6E3E">
      <w:pPr>
        <w:jc w:val="both"/>
        <w:rPr>
          <w:rFonts w:ascii="Arial" w:hAnsi="Arial" w:cs="Arial"/>
          <w:sz w:val="20"/>
        </w:rPr>
      </w:pPr>
    </w:p>
    <w:p w14:paraId="658A5155" w14:textId="77777777" w:rsidR="0001679F" w:rsidRDefault="0001679F">
      <w:pPr>
        <w:jc w:val="both"/>
        <w:rPr>
          <w:rFonts w:ascii="Arial" w:hAnsi="Arial" w:cs="Arial"/>
          <w:sz w:val="20"/>
        </w:rPr>
      </w:pPr>
      <w:r>
        <w:rPr>
          <w:rFonts w:ascii="Arial" w:hAnsi="Arial" w:cs="Arial"/>
          <w:sz w:val="20"/>
        </w:rPr>
        <w:br w:type="page"/>
      </w:r>
    </w:p>
    <w:p w14:paraId="065F1255" w14:textId="77777777" w:rsidR="009F6E3E" w:rsidRPr="00D80990" w:rsidRDefault="007F766F">
      <w:pPr>
        <w:pStyle w:val="Titolo1"/>
        <w:shd w:val="clear" w:color="auto" w:fill="B6DDE8" w:themeFill="accent5" w:themeFillTint="66"/>
      </w:pPr>
      <w:bookmarkStart w:id="35" w:name="_VERIFICA_COERENZA_DELLE"/>
      <w:bookmarkStart w:id="36" w:name="_Toc346838827"/>
      <w:bookmarkStart w:id="37" w:name="_Toc535487607"/>
      <w:bookmarkEnd w:id="35"/>
      <w:r w:rsidRPr="00D80990">
        <w:lastRenderedPageBreak/>
        <w:t>VERIFICA COERENZA DELLE PREVISIONI</w:t>
      </w:r>
      <w:bookmarkEnd w:id="36"/>
      <w:bookmarkEnd w:id="37"/>
    </w:p>
    <w:p w14:paraId="084F024D" w14:textId="77777777" w:rsidR="00BE11C1" w:rsidRPr="00D80990" w:rsidRDefault="00BE11C1" w:rsidP="00BE11C1">
      <w:pPr>
        <w:pStyle w:val="Titolo2"/>
      </w:pPr>
      <w:bookmarkStart w:id="38" w:name="_Toc346838828"/>
      <w:bookmarkStart w:id="39" w:name="_Toc535487608"/>
      <w:r w:rsidRPr="00D80990">
        <w:t>Verifica della coerenza interna</w:t>
      </w:r>
      <w:bookmarkEnd w:id="38"/>
      <w:bookmarkEnd w:id="39"/>
    </w:p>
    <w:p w14:paraId="5A17F905" w14:textId="77777777" w:rsidR="00BE11C1" w:rsidRPr="00D80990" w:rsidRDefault="00BE11C1" w:rsidP="00BE11C1">
      <w:pPr>
        <w:spacing w:after="60"/>
        <w:rPr>
          <w:rFonts w:ascii="Arial" w:hAnsi="Arial" w:cs="Arial"/>
          <w:b/>
          <w:sz w:val="22"/>
          <w:szCs w:val="22"/>
          <w:u w:val="single"/>
        </w:rPr>
      </w:pPr>
    </w:p>
    <w:p w14:paraId="64B925BB" w14:textId="77777777" w:rsidR="00BE11C1" w:rsidRPr="00D80990" w:rsidRDefault="00BE11C1" w:rsidP="00BE11C1">
      <w:pPr>
        <w:spacing w:after="60"/>
        <w:jc w:val="both"/>
        <w:rPr>
          <w:rFonts w:ascii="Arial" w:hAnsi="Arial" w:cs="Arial"/>
          <w:sz w:val="22"/>
          <w:szCs w:val="22"/>
        </w:rPr>
      </w:pPr>
      <w:r w:rsidRPr="00D80990">
        <w:rPr>
          <w:rFonts w:ascii="Arial" w:hAnsi="Arial" w:cs="Arial"/>
          <w:sz w:val="22"/>
          <w:szCs w:val="22"/>
        </w:rPr>
        <w:t>L’organo di revisione ritiene che le previsioni per gli anni 2019-2021 siano coerenti con gli strumenti di programmazione di mandato, con il documento unico di programmazione e con gli atti di programmazione di settore (piano triennale dei lavori pubblici, programmazione fabbisogni del personale, piano alienazioni e valorizzazione patrimonio immobiliare, ecc.).</w:t>
      </w:r>
    </w:p>
    <w:p w14:paraId="2DE96CDF" w14:textId="77777777" w:rsidR="00BE11C1" w:rsidRPr="00D80990" w:rsidRDefault="00BE11C1" w:rsidP="00BE11C1">
      <w:pPr>
        <w:jc w:val="both"/>
        <w:rPr>
          <w:rFonts w:ascii="Arial" w:hAnsi="Arial" w:cs="Arial"/>
          <w:b/>
          <w:u w:val="single"/>
        </w:rPr>
      </w:pPr>
    </w:p>
    <w:p w14:paraId="6F027D1A" w14:textId="77777777" w:rsidR="00BE11C1" w:rsidRPr="00D80990" w:rsidRDefault="00BE11C1" w:rsidP="00BE11C1">
      <w:pPr>
        <w:jc w:val="both"/>
        <w:rPr>
          <w:rFonts w:ascii="Arial" w:hAnsi="Arial" w:cs="Arial"/>
          <w:b/>
          <w:u w:val="single"/>
        </w:rPr>
      </w:pPr>
    </w:p>
    <w:p w14:paraId="4D864355" w14:textId="77777777" w:rsidR="00BE11C1" w:rsidRPr="00D80990" w:rsidRDefault="00BE11C1" w:rsidP="00BE11C1">
      <w:pPr>
        <w:jc w:val="both"/>
        <w:rPr>
          <w:rFonts w:ascii="Arial" w:hAnsi="Arial" w:cs="Arial"/>
          <w:b/>
          <w:u w:val="single"/>
        </w:rPr>
      </w:pPr>
      <w:r w:rsidRPr="00D80990">
        <w:rPr>
          <w:rFonts w:ascii="Arial" w:hAnsi="Arial" w:cs="Arial"/>
          <w:b/>
          <w:u w:val="single"/>
        </w:rPr>
        <w:t>Verifica contenuto informativo ed illustrativo del documento unico di programmazione DUP</w:t>
      </w:r>
    </w:p>
    <w:p w14:paraId="32D1FB82" w14:textId="77777777" w:rsidR="00BE11C1" w:rsidRPr="00D80990" w:rsidRDefault="00BE11C1" w:rsidP="00BE11C1">
      <w:pPr>
        <w:autoSpaceDE w:val="0"/>
        <w:autoSpaceDN w:val="0"/>
        <w:adjustRightInd w:val="0"/>
        <w:rPr>
          <w:rFonts w:ascii="Arial" w:hAnsi="Arial" w:cs="Arial"/>
          <w:b/>
          <w:bCs/>
          <w:sz w:val="22"/>
          <w:szCs w:val="22"/>
        </w:rPr>
      </w:pPr>
    </w:p>
    <w:p w14:paraId="3CAA65B8" w14:textId="77777777" w:rsidR="00BE11C1" w:rsidRPr="005F46D7" w:rsidRDefault="00BE11C1" w:rsidP="00BE11C1">
      <w:pPr>
        <w:jc w:val="both"/>
        <w:rPr>
          <w:rFonts w:ascii="Arial" w:hAnsi="Arial" w:cs="Arial"/>
          <w:sz w:val="22"/>
          <w:szCs w:val="22"/>
        </w:rPr>
      </w:pPr>
      <w:r w:rsidRPr="00D80990">
        <w:rPr>
          <w:rFonts w:ascii="Arial" w:hAnsi="Arial" w:cs="Arial"/>
          <w:sz w:val="22"/>
          <w:szCs w:val="22"/>
        </w:rPr>
        <w:t xml:space="preserve">Il Documento Unico di Programmazione (DUP), è stato predisposto dalla </w:t>
      </w:r>
      <w:r w:rsidRPr="005F46D7">
        <w:rPr>
          <w:rFonts w:ascii="Arial" w:hAnsi="Arial" w:cs="Arial"/>
          <w:sz w:val="22"/>
          <w:szCs w:val="22"/>
        </w:rPr>
        <w:t xml:space="preserve">Giunta tenuto conto del contenuto minimo </w:t>
      </w:r>
      <w:r w:rsidRPr="005D790B">
        <w:rPr>
          <w:rFonts w:ascii="Arial" w:hAnsi="Arial" w:cs="Arial"/>
          <w:sz w:val="22"/>
          <w:szCs w:val="22"/>
        </w:rPr>
        <w:t xml:space="preserve">(o dello schema di documento </w:t>
      </w:r>
      <w:r w:rsidR="00F72088" w:rsidRPr="005D790B">
        <w:rPr>
          <w:rFonts w:ascii="Arial" w:hAnsi="Arial" w:cs="Arial"/>
          <w:sz w:val="22"/>
          <w:szCs w:val="22"/>
        </w:rPr>
        <w:t xml:space="preserve">semplificato </w:t>
      </w:r>
      <w:r w:rsidRPr="005D790B">
        <w:rPr>
          <w:rFonts w:ascii="Arial" w:hAnsi="Arial" w:cs="Arial"/>
          <w:sz w:val="22"/>
          <w:szCs w:val="22"/>
        </w:rPr>
        <w:t>per i comuni con popolazione fino a 5.000 abitanti</w:t>
      </w:r>
      <w:r w:rsidR="00F72088" w:rsidRPr="005D790B">
        <w:rPr>
          <w:rFonts w:ascii="Arial" w:hAnsi="Arial" w:cs="Arial"/>
          <w:sz w:val="22"/>
          <w:szCs w:val="22"/>
        </w:rPr>
        <w:t xml:space="preserve"> con ulteriori semplificazioni per i comuni con popolazione inferiore ai 2.000 abitanti previsti dal principio 4/1</w:t>
      </w:r>
      <w:r w:rsidRPr="005D790B">
        <w:rPr>
          <w:rFonts w:ascii="Arial" w:hAnsi="Arial" w:cs="Arial"/>
          <w:sz w:val="22"/>
          <w:szCs w:val="22"/>
        </w:rPr>
        <w:t xml:space="preserve">) </w:t>
      </w:r>
      <w:r w:rsidRPr="005F46D7">
        <w:rPr>
          <w:rFonts w:ascii="Arial" w:hAnsi="Arial" w:cs="Arial"/>
          <w:sz w:val="22"/>
          <w:szCs w:val="22"/>
        </w:rPr>
        <w:t>previsto dal Principio contabile applicato alla programmazione (Allegato n. 4/1 al D.Lgs. 118/2011).</w:t>
      </w:r>
    </w:p>
    <w:p w14:paraId="700D2639" w14:textId="77777777" w:rsidR="00BE11C1" w:rsidRPr="005F46D7" w:rsidRDefault="00BE11C1" w:rsidP="00BE11C1">
      <w:pPr>
        <w:jc w:val="both"/>
        <w:rPr>
          <w:rFonts w:ascii="Arial" w:hAnsi="Arial" w:cs="Arial"/>
          <w:sz w:val="22"/>
          <w:szCs w:val="22"/>
        </w:rPr>
      </w:pPr>
    </w:p>
    <w:p w14:paraId="43804581" w14:textId="77777777" w:rsidR="00BE11C1" w:rsidRPr="00D80990" w:rsidRDefault="00BE11C1" w:rsidP="00BE11C1">
      <w:pPr>
        <w:jc w:val="both"/>
        <w:rPr>
          <w:rFonts w:ascii="Arial" w:hAnsi="Arial" w:cs="Arial"/>
          <w:sz w:val="22"/>
          <w:szCs w:val="22"/>
        </w:rPr>
      </w:pPr>
      <w:r w:rsidRPr="005F46D7">
        <w:rPr>
          <w:rFonts w:ascii="Arial" w:hAnsi="Arial" w:cs="Arial"/>
          <w:sz w:val="22"/>
          <w:szCs w:val="22"/>
        </w:rPr>
        <w:t>Sul DUP e/o relativa nota di aggiornamento l’organo di revisione ha espresso</w:t>
      </w:r>
      <w:r w:rsidRPr="00D80990">
        <w:rPr>
          <w:rFonts w:ascii="Arial" w:hAnsi="Arial" w:cs="Arial"/>
          <w:sz w:val="22"/>
          <w:szCs w:val="22"/>
        </w:rPr>
        <w:t xml:space="preserve"> parere con verbali n….. del ……. e n.…… del…… attestando la sua coerenza, attendibilità e congruità. </w:t>
      </w:r>
    </w:p>
    <w:p w14:paraId="2AF735D0" w14:textId="77777777" w:rsidR="00BE11C1" w:rsidRPr="00D80990" w:rsidRDefault="00BE11C1" w:rsidP="00BE11C1">
      <w:pPr>
        <w:jc w:val="both"/>
        <w:rPr>
          <w:rFonts w:ascii="Arial" w:hAnsi="Arial" w:cs="Arial"/>
          <w:sz w:val="22"/>
          <w:szCs w:val="22"/>
        </w:rPr>
      </w:pPr>
    </w:p>
    <w:p w14:paraId="68D83F22" w14:textId="77777777" w:rsidR="00BE11C1" w:rsidRPr="00D80990" w:rsidRDefault="00BE11C1" w:rsidP="00BE11C1">
      <w:pPr>
        <w:jc w:val="both"/>
        <w:rPr>
          <w:rFonts w:ascii="Arial" w:hAnsi="Arial" w:cs="Arial"/>
          <w:i/>
          <w:sz w:val="22"/>
          <w:szCs w:val="22"/>
        </w:rPr>
      </w:pPr>
      <w:r w:rsidRPr="00D80990">
        <w:rPr>
          <w:rFonts w:ascii="Arial" w:hAnsi="Arial" w:cs="Arial"/>
          <w:sz w:val="22"/>
          <w:szCs w:val="22"/>
        </w:rPr>
        <w:t>(</w:t>
      </w:r>
      <w:r w:rsidRPr="00D80990">
        <w:rPr>
          <w:rFonts w:ascii="Arial" w:hAnsi="Arial" w:cs="Arial"/>
          <w:i/>
          <w:sz w:val="22"/>
          <w:szCs w:val="22"/>
        </w:rPr>
        <w:t>oppure)</w:t>
      </w:r>
    </w:p>
    <w:p w14:paraId="4AFADBA2" w14:textId="77777777" w:rsidR="00BE11C1" w:rsidRPr="00D80990" w:rsidRDefault="00BE11C1" w:rsidP="00BE11C1">
      <w:pPr>
        <w:jc w:val="both"/>
        <w:rPr>
          <w:rFonts w:ascii="Arial" w:hAnsi="Arial" w:cs="Arial"/>
          <w:i/>
          <w:sz w:val="22"/>
          <w:szCs w:val="22"/>
        </w:rPr>
      </w:pPr>
      <w:r w:rsidRPr="00D80990">
        <w:rPr>
          <w:rFonts w:ascii="Arial" w:hAnsi="Arial" w:cs="Arial"/>
          <w:i/>
          <w:sz w:val="22"/>
          <w:szCs w:val="22"/>
        </w:rPr>
        <w:t>……. rilevando le seguenti criticità in ordine alla coerenza, attendibilità e congruità).</w:t>
      </w:r>
    </w:p>
    <w:p w14:paraId="14C8BF5B" w14:textId="77777777" w:rsidR="00BE11C1" w:rsidRPr="00D80990" w:rsidRDefault="00BE11C1" w:rsidP="00BE11C1">
      <w:pPr>
        <w:rPr>
          <w:rFonts w:ascii="Arial" w:hAnsi="Arial" w:cs="Arial"/>
          <w:sz w:val="22"/>
          <w:szCs w:val="22"/>
        </w:rPr>
      </w:pPr>
    </w:p>
    <w:p w14:paraId="7461AFF1" w14:textId="77777777" w:rsidR="00BE11C1" w:rsidRPr="00D80990" w:rsidRDefault="00BE11C1" w:rsidP="00BE11C1">
      <w:pPr>
        <w:jc w:val="both"/>
        <w:rPr>
          <w:rFonts w:ascii="Arial" w:hAnsi="Arial" w:cs="Arial"/>
          <w:b/>
          <w:u w:val="single"/>
        </w:rPr>
      </w:pPr>
      <w:r w:rsidRPr="00D80990">
        <w:rPr>
          <w:rFonts w:ascii="Arial" w:hAnsi="Arial" w:cs="Arial"/>
          <w:b/>
          <w:u w:val="single"/>
        </w:rPr>
        <w:t>Strumenti obbligatori di programmazione di settore</w:t>
      </w:r>
    </w:p>
    <w:p w14:paraId="62A79EFE" w14:textId="77777777" w:rsidR="00BE11C1" w:rsidRPr="00D80990" w:rsidRDefault="00BE11C1" w:rsidP="00BE11C1">
      <w:pPr>
        <w:jc w:val="both"/>
        <w:rPr>
          <w:rFonts w:ascii="Arial" w:hAnsi="Arial" w:cs="Arial"/>
          <w:b/>
          <w:sz w:val="22"/>
          <w:szCs w:val="22"/>
          <w:u w:val="single"/>
        </w:rPr>
      </w:pPr>
    </w:p>
    <w:p w14:paraId="538B6C96"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Il Dup contiene i seguenti strumenti obbligatori di programmazione di settore che sono coerenti con le previsioni di bilancio.</w:t>
      </w:r>
    </w:p>
    <w:p w14:paraId="26D18911" w14:textId="77777777" w:rsidR="00BE11C1" w:rsidRPr="00D80990" w:rsidRDefault="00BE11C1" w:rsidP="00BE11C1">
      <w:pPr>
        <w:spacing w:after="60"/>
        <w:rPr>
          <w:rFonts w:ascii="Arial" w:hAnsi="Arial" w:cs="Arial"/>
          <w:b/>
          <w:sz w:val="22"/>
          <w:szCs w:val="22"/>
        </w:rPr>
      </w:pPr>
    </w:p>
    <w:p w14:paraId="4F840B18" w14:textId="77777777" w:rsidR="00BE11C1" w:rsidRPr="00D80990" w:rsidRDefault="00BE11C1" w:rsidP="00BE11C1">
      <w:pPr>
        <w:jc w:val="both"/>
        <w:rPr>
          <w:rFonts w:ascii="Arial" w:hAnsi="Arial" w:cs="Arial"/>
          <w:b/>
          <w:u w:val="single"/>
        </w:rPr>
      </w:pPr>
      <w:r w:rsidRPr="00D80990">
        <w:rPr>
          <w:rFonts w:ascii="Arial" w:hAnsi="Arial" w:cs="Arial"/>
          <w:b/>
          <w:u w:val="single"/>
        </w:rPr>
        <w:t>Programma triennale lavori pubblici</w:t>
      </w:r>
    </w:p>
    <w:p w14:paraId="17AA8138" w14:textId="77777777" w:rsidR="00BE11C1" w:rsidRPr="00D80990" w:rsidRDefault="00BE11C1" w:rsidP="00BE11C1">
      <w:pPr>
        <w:jc w:val="both"/>
        <w:rPr>
          <w:rFonts w:ascii="Arial" w:hAnsi="Arial" w:cs="Arial"/>
          <w:sz w:val="22"/>
          <w:szCs w:val="22"/>
        </w:rPr>
      </w:pPr>
    </w:p>
    <w:p w14:paraId="032C1199" w14:textId="77777777" w:rsidR="00BE11C1" w:rsidRPr="00096EC9" w:rsidRDefault="00BE11C1" w:rsidP="00BE11C1">
      <w:pPr>
        <w:jc w:val="both"/>
        <w:rPr>
          <w:rFonts w:ascii="Arial" w:hAnsi="Arial" w:cs="Arial"/>
          <w:sz w:val="22"/>
          <w:szCs w:val="22"/>
        </w:rPr>
      </w:pPr>
      <w:r w:rsidRPr="00D80990">
        <w:rPr>
          <w:rFonts w:ascii="Arial" w:hAnsi="Arial" w:cs="Arial"/>
          <w:sz w:val="22"/>
          <w:szCs w:val="22"/>
        </w:rPr>
        <w:t xml:space="preserve">Il programma triennale ed elenco annuale dei lavori </w:t>
      </w:r>
      <w:r w:rsidRPr="00096EC9">
        <w:rPr>
          <w:rFonts w:ascii="Arial" w:hAnsi="Arial" w:cs="Arial"/>
          <w:sz w:val="22"/>
          <w:szCs w:val="22"/>
        </w:rPr>
        <w:t xml:space="preserve">pubblici di cui all’art. 21 del D. Lgs. 50/2016 è stato redatto conformemente alle modalità e agli schemi </w:t>
      </w:r>
      <w:r w:rsidRPr="00096EC9">
        <w:rPr>
          <w:rStyle w:val="Collegamentoipertestuale"/>
          <w:rFonts w:ascii="Arial" w:hAnsi="Arial" w:cs="Arial"/>
          <w:color w:val="auto"/>
          <w:sz w:val="22"/>
          <w:szCs w:val="22"/>
          <w:u w:val="none"/>
        </w:rPr>
        <w:t>approvati con Decreto del Ministero delle Infrastrutture e dei Trasporti n. 14 del 16 gennaio 2018</w:t>
      </w:r>
      <w:r w:rsidRPr="00096EC9">
        <w:rPr>
          <w:rFonts w:ascii="Arial" w:hAnsi="Arial" w:cs="Arial"/>
          <w:sz w:val="22"/>
          <w:szCs w:val="22"/>
        </w:rPr>
        <w:t>e sarà presentato al Consiglio per l’approvazione unitamente al bilancio preventivo.</w:t>
      </w:r>
    </w:p>
    <w:p w14:paraId="4CABBC4D" w14:textId="77777777" w:rsidR="00BE11C1" w:rsidRPr="005F46D7" w:rsidRDefault="00BE11C1" w:rsidP="00BE11C1">
      <w:pPr>
        <w:jc w:val="both"/>
        <w:rPr>
          <w:rFonts w:ascii="Arial" w:hAnsi="Arial" w:cs="Arial"/>
          <w:sz w:val="22"/>
          <w:szCs w:val="22"/>
        </w:rPr>
      </w:pPr>
      <w:r w:rsidRPr="005F46D7">
        <w:rPr>
          <w:rFonts w:ascii="Arial" w:hAnsi="Arial" w:cs="Arial"/>
          <w:sz w:val="22"/>
          <w:szCs w:val="22"/>
        </w:rPr>
        <w:t>l programma triennale e l’elenco annuale dei lavori pubblici e relativi adeguamenti sono pubblicati ai sensi del D.M. n. 14 del 16 gennaio 2018.(</w:t>
      </w:r>
      <w:r w:rsidRPr="005F46D7">
        <w:rPr>
          <w:rFonts w:ascii="Arial" w:hAnsi="Arial" w:cs="Arial"/>
          <w:i/>
          <w:sz w:val="22"/>
          <w:szCs w:val="22"/>
        </w:rPr>
        <w:t>Nel caso in cui gli enti non provvedano alla redazione del programma triennale dei lavori pubblici, per assenza di lavori, ne danno comunicazione sul profilo del committente nella sezione “Amministrazione trasparente”)</w:t>
      </w:r>
    </w:p>
    <w:p w14:paraId="7363A5C5" w14:textId="77777777" w:rsidR="00BE11C1" w:rsidRPr="005F46D7" w:rsidRDefault="00BE11C1" w:rsidP="00BE11C1">
      <w:pPr>
        <w:jc w:val="both"/>
        <w:rPr>
          <w:rFonts w:ascii="Arial" w:hAnsi="Arial" w:cs="Arial"/>
          <w:sz w:val="20"/>
        </w:rPr>
      </w:pPr>
    </w:p>
    <w:p w14:paraId="50DB7891" w14:textId="77777777" w:rsidR="00BE11C1" w:rsidRPr="005F46D7" w:rsidRDefault="00BE11C1" w:rsidP="00BE11C1">
      <w:pPr>
        <w:spacing w:before="120"/>
        <w:jc w:val="both"/>
        <w:rPr>
          <w:rFonts w:ascii="Arial" w:hAnsi="Arial" w:cs="Arial"/>
          <w:sz w:val="22"/>
          <w:szCs w:val="22"/>
        </w:rPr>
      </w:pPr>
      <w:r w:rsidRPr="005F46D7">
        <w:rPr>
          <w:rFonts w:ascii="Arial" w:hAnsi="Arial" w:cs="Arial"/>
          <w:sz w:val="22"/>
          <w:szCs w:val="22"/>
        </w:rPr>
        <w:t>Gli importi inclusi nello schema relativi ad interventi con onere a carico dell’ente trovano riferimento nel bilancio di previsione 2019-2021 ed il cronoprogramma è compatibile con le previsioni di pagamenti del titolo II indicate nel bilancio e del corredato Fondo Pluriennale vincolato.</w:t>
      </w:r>
    </w:p>
    <w:p w14:paraId="0EAD3236" w14:textId="77777777" w:rsidR="00BE11C1" w:rsidRPr="005F46D7" w:rsidRDefault="00BE11C1" w:rsidP="00BE11C1">
      <w:pPr>
        <w:spacing w:before="120"/>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L’organo di revisione ha verificato inoltre la compatibilità del cronoprogramma dei pagamenti con le previsioni di cassa del primo esercizio.</w:t>
      </w:r>
    </w:p>
    <w:p w14:paraId="256C0BCC" w14:textId="77777777" w:rsidR="00BE11C1" w:rsidRPr="005F46D7" w:rsidRDefault="00BE11C1" w:rsidP="00BE11C1">
      <w:pPr>
        <w:spacing w:line="80" w:lineRule="exact"/>
        <w:jc w:val="both"/>
        <w:rPr>
          <w:rFonts w:ascii="Arial" w:hAnsi="Arial" w:cs="Arial"/>
          <w:sz w:val="22"/>
          <w:szCs w:val="22"/>
        </w:rPr>
      </w:pPr>
    </w:p>
    <w:p w14:paraId="3D0D6435" w14:textId="77777777" w:rsidR="00BE11C1" w:rsidRPr="00455786" w:rsidRDefault="00BE11C1" w:rsidP="00BE11C1">
      <w:pPr>
        <w:jc w:val="both"/>
        <w:rPr>
          <w:rFonts w:ascii="Arial" w:hAnsi="Arial" w:cs="Arial"/>
          <w:sz w:val="22"/>
          <w:szCs w:val="22"/>
        </w:rPr>
      </w:pPr>
      <w:r w:rsidRPr="005F46D7">
        <w:rPr>
          <w:rFonts w:ascii="Arial" w:hAnsi="Arial" w:cs="Arial"/>
          <w:sz w:val="22"/>
          <w:szCs w:val="22"/>
        </w:rPr>
        <w:t>Il programma triennale, dopo la sua approvazione consiliare, dovrà essere pubblicato sul sito dell’Ente nella sezione “Amministrazione trasparente” e sul sito del Ministero delle Infrastrutture e dei Trasporti e dell’’ Osservatorio dei contratti pubblici relativi a lavori, servizi e forniture.</w:t>
      </w:r>
    </w:p>
    <w:p w14:paraId="45CA0997" w14:textId="77777777" w:rsidR="00BE11C1" w:rsidRPr="00D80990" w:rsidRDefault="00BE11C1" w:rsidP="00BE11C1">
      <w:pPr>
        <w:spacing w:before="120"/>
        <w:jc w:val="both"/>
        <w:rPr>
          <w:rFonts w:ascii="Arial" w:hAnsi="Arial" w:cs="Arial"/>
          <w:sz w:val="22"/>
          <w:szCs w:val="22"/>
        </w:rPr>
      </w:pPr>
    </w:p>
    <w:p w14:paraId="72DEB281" w14:textId="77777777" w:rsidR="00BE11C1" w:rsidRPr="00D80990" w:rsidRDefault="00BE11C1" w:rsidP="00BE11C1">
      <w:pPr>
        <w:spacing w:before="120"/>
        <w:jc w:val="both"/>
        <w:rPr>
          <w:rFonts w:ascii="Arial" w:hAnsi="Arial" w:cs="Arial"/>
          <w:sz w:val="22"/>
          <w:szCs w:val="22"/>
        </w:rPr>
      </w:pPr>
    </w:p>
    <w:p w14:paraId="6472F818" w14:textId="77777777" w:rsidR="00BE11C1" w:rsidRPr="00D80990" w:rsidRDefault="00BE11C1" w:rsidP="00BE11C1">
      <w:pPr>
        <w:jc w:val="both"/>
        <w:rPr>
          <w:rFonts w:ascii="Arial" w:hAnsi="Arial" w:cs="Arial"/>
          <w:b/>
          <w:u w:val="single"/>
        </w:rPr>
      </w:pPr>
      <w:r w:rsidRPr="00D80990">
        <w:rPr>
          <w:rFonts w:ascii="Arial" w:hAnsi="Arial" w:cs="Arial"/>
          <w:b/>
          <w:u w:val="single"/>
        </w:rPr>
        <w:lastRenderedPageBreak/>
        <w:t>Programmazione biennale di acquisti di beni e servizi</w:t>
      </w:r>
    </w:p>
    <w:p w14:paraId="29A4AD07" w14:textId="77777777" w:rsidR="00BE11C1" w:rsidRPr="00D80990" w:rsidRDefault="00BE11C1" w:rsidP="00BE11C1">
      <w:pPr>
        <w:jc w:val="both"/>
        <w:rPr>
          <w:rFonts w:ascii="Arial" w:hAnsi="Arial" w:cs="Arial"/>
          <w:sz w:val="22"/>
          <w:szCs w:val="22"/>
        </w:rPr>
      </w:pPr>
    </w:p>
    <w:p w14:paraId="2D8EA622"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 xml:space="preserve">Il programma biennale di forniture e servizi di importo unitario stimato pari o superiore a Euro 40.000,00 e relativo aggiornamento è stato redatto </w:t>
      </w:r>
      <w:r w:rsidRPr="005F46D7">
        <w:rPr>
          <w:rFonts w:ascii="Arial" w:hAnsi="Arial" w:cs="Arial"/>
          <w:sz w:val="22"/>
          <w:szCs w:val="22"/>
        </w:rPr>
        <w:t xml:space="preserve">conformemente a quanto disposto dai commi 6 e 7 di cui all’art. 21 del D.Lgs. 50/2016 </w:t>
      </w:r>
      <w:r w:rsidRPr="005F46D7">
        <w:rPr>
          <w:rStyle w:val="Collegamentoipertestuale"/>
          <w:rFonts w:ascii="Arial" w:hAnsi="Arial" w:cs="Arial"/>
          <w:color w:val="auto"/>
          <w:sz w:val="22"/>
          <w:szCs w:val="22"/>
          <w:u w:val="none"/>
        </w:rPr>
        <w:t>secondo lo schema approvato con Decreto del Ministero delle Infrastrutture e dei Trasporti n. 14 del 16 gennaio 2018.</w:t>
      </w:r>
      <w:r w:rsidRPr="005F46D7">
        <w:rPr>
          <w:rFonts w:ascii="Arial" w:hAnsi="Arial" w:cs="Arial"/>
          <w:sz w:val="22"/>
          <w:szCs w:val="22"/>
        </w:rPr>
        <w:t xml:space="preserve"> (</w:t>
      </w:r>
      <w:r w:rsidRPr="005F46D7">
        <w:rPr>
          <w:rFonts w:ascii="Arial" w:hAnsi="Arial" w:cs="Arial"/>
          <w:i/>
          <w:sz w:val="22"/>
          <w:szCs w:val="22"/>
        </w:rPr>
        <w:t>Nel caso in cui gli enti non provvedano alla redazione del programma biennale degli acquisti di forniture e servizi, per assenza di acquisti di forniture e servizi, ne danno comunicazione sul profilo del committente nella sezione “Amministrazione trasparente”)</w:t>
      </w:r>
    </w:p>
    <w:p w14:paraId="54882FDB" w14:textId="77777777" w:rsidR="00BE11C1" w:rsidRPr="00D80990" w:rsidRDefault="00BE11C1" w:rsidP="00BE11C1">
      <w:pPr>
        <w:jc w:val="both"/>
        <w:rPr>
          <w:rFonts w:ascii="Arial" w:hAnsi="Arial" w:cs="Arial"/>
          <w:b/>
          <w:sz w:val="22"/>
          <w:szCs w:val="22"/>
        </w:rPr>
      </w:pPr>
    </w:p>
    <w:p w14:paraId="07A0C5AB" w14:textId="77777777" w:rsidR="00BE11C1" w:rsidRDefault="00BE11C1" w:rsidP="00BE11C1">
      <w:pPr>
        <w:jc w:val="both"/>
        <w:rPr>
          <w:rFonts w:ascii="Arial" w:hAnsi="Arial" w:cs="Arial"/>
          <w:i/>
          <w:color w:val="00B0F0"/>
          <w:sz w:val="22"/>
          <w:szCs w:val="22"/>
        </w:rPr>
      </w:pPr>
      <w:r w:rsidRPr="00D80990">
        <w:rPr>
          <w:rFonts w:ascii="Arial" w:hAnsi="Arial" w:cs="Arial"/>
          <w:i/>
          <w:color w:val="00B0F0"/>
          <w:sz w:val="22"/>
          <w:szCs w:val="22"/>
        </w:rPr>
        <w:t>Ai sensi del comma 6 dell’art. 21 D.Lgs. 50/2016 il programma biennale di forniture e servizi e i relativi aggiornamenti annuali contengono gli acquisti di beni e di servizi di importo unitario stimato pari o superiore a 40.000 euro. Nell’ambito del programma, le amministrazioni aggiudicatrici individuano i bisogni che possono essere soddisfatti con capitali privati. Le amministrazioni pubbliche comunicano, entro il mese di ottobre, l’elenco delle acquisizioni di forniture e servizi d’importo superiore a 1 milione di euro che prevedono di inserire nella programmazione biennale al Tavolo tecnico dei soggetti di cui all'</w:t>
      </w:r>
      <w:hyperlink r:id="rId42" w:anchor="09" w:tgtFrame="_blank" w:history="1">
        <w:r w:rsidRPr="00D80990">
          <w:rPr>
            <w:rFonts w:ascii="Arial" w:hAnsi="Arial" w:cs="Arial"/>
            <w:i/>
            <w:color w:val="00B0F0"/>
            <w:sz w:val="22"/>
            <w:szCs w:val="22"/>
          </w:rPr>
          <w:t>articolo 9, comma 2, del decreto legge 24 aprile 2014, n. 66, convertito, con modificazioni, dalla legge 23 giugno 2014, n. 89</w:t>
        </w:r>
      </w:hyperlink>
      <w:r w:rsidRPr="00D80990">
        <w:rPr>
          <w:rFonts w:ascii="Arial" w:hAnsi="Arial" w:cs="Arial"/>
          <w:i/>
          <w:color w:val="00B0F0"/>
          <w:sz w:val="22"/>
          <w:szCs w:val="22"/>
        </w:rPr>
        <w:t>, che li utilizza ai fini dello svolgimento dei compiti e delle attività ad esso attribuiti. Per le acquisizioni di beni e servizi informatici e di connettività le amministrazioni aggiudicatrici tengono conto di quanto previsto dall’</w:t>
      </w:r>
      <w:hyperlink r:id="rId43" w:anchor="513" w:tgtFrame="_blank" w:history="1">
        <w:r w:rsidRPr="00D80990">
          <w:rPr>
            <w:rFonts w:ascii="Arial" w:hAnsi="Arial" w:cs="Arial"/>
            <w:i/>
            <w:color w:val="00B0F0"/>
            <w:sz w:val="22"/>
            <w:szCs w:val="22"/>
          </w:rPr>
          <w:t>articolo 1, comma 513, della legge 28 dicembre 2015, n. 208</w:t>
        </w:r>
      </w:hyperlink>
      <w:r w:rsidRPr="00D80990">
        <w:rPr>
          <w:rFonts w:ascii="Arial" w:hAnsi="Arial" w:cs="Arial"/>
          <w:i/>
          <w:color w:val="00B0F0"/>
          <w:sz w:val="22"/>
          <w:szCs w:val="22"/>
        </w:rPr>
        <w:t>.</w:t>
      </w:r>
    </w:p>
    <w:p w14:paraId="3DCBF42F" w14:textId="77777777" w:rsidR="00BE11C1" w:rsidRDefault="00BE11C1" w:rsidP="00BE11C1">
      <w:pPr>
        <w:jc w:val="both"/>
        <w:rPr>
          <w:rFonts w:ascii="Arial" w:hAnsi="Arial" w:cs="Arial"/>
          <w:i/>
          <w:color w:val="00B0F0"/>
          <w:sz w:val="22"/>
          <w:szCs w:val="22"/>
        </w:rPr>
      </w:pPr>
    </w:p>
    <w:p w14:paraId="5463785A" w14:textId="77777777" w:rsidR="00BE11C1" w:rsidRPr="005D790B" w:rsidRDefault="00BE11C1" w:rsidP="00BE11C1">
      <w:pPr>
        <w:jc w:val="both"/>
        <w:rPr>
          <w:rFonts w:ascii="Arial" w:hAnsi="Arial" w:cs="Arial"/>
          <w:i/>
          <w:color w:val="00B0F0"/>
          <w:sz w:val="22"/>
          <w:szCs w:val="22"/>
        </w:rPr>
      </w:pPr>
      <w:r w:rsidRPr="005D790B">
        <w:rPr>
          <w:rFonts w:ascii="Arial" w:hAnsi="Arial" w:cs="Arial"/>
          <w:i/>
          <w:color w:val="00B0F0"/>
          <w:sz w:val="22"/>
          <w:szCs w:val="22"/>
        </w:rPr>
        <w:t>Il programma biennale, dopo la sua approvazione consiliare, dovrà essere pubblicato sul sito dell’Ente nella sezione “Amministrazione trasparente” e sul sito del Ministero delle Infrastrutture e dei Trasporti e dell’’ Osservatorio dei contratti pubblici relativi a lavori, servizi e forniture.</w:t>
      </w:r>
    </w:p>
    <w:p w14:paraId="070D0744" w14:textId="77777777" w:rsidR="00BE11C1" w:rsidRPr="00D80990" w:rsidRDefault="00BE11C1" w:rsidP="00BE11C1">
      <w:pPr>
        <w:jc w:val="both"/>
        <w:rPr>
          <w:rFonts w:ascii="Arial" w:hAnsi="Arial" w:cs="Arial"/>
          <w:b/>
          <w:sz w:val="22"/>
          <w:szCs w:val="22"/>
        </w:rPr>
      </w:pPr>
    </w:p>
    <w:p w14:paraId="19DC64C4" w14:textId="77777777" w:rsidR="00BE11C1" w:rsidRPr="00D80990" w:rsidRDefault="00BE11C1" w:rsidP="00BE11C1">
      <w:pPr>
        <w:jc w:val="both"/>
        <w:rPr>
          <w:rFonts w:ascii="Arial" w:hAnsi="Arial" w:cs="Arial"/>
          <w:b/>
          <w:u w:val="single"/>
        </w:rPr>
      </w:pPr>
      <w:r w:rsidRPr="00D80990">
        <w:rPr>
          <w:rFonts w:ascii="Arial" w:hAnsi="Arial" w:cs="Arial"/>
          <w:b/>
          <w:u w:val="single"/>
        </w:rPr>
        <w:t xml:space="preserve">Programmazione </w:t>
      </w:r>
      <w:r>
        <w:rPr>
          <w:rFonts w:ascii="Arial" w:hAnsi="Arial" w:cs="Arial"/>
          <w:b/>
          <w:u w:val="single"/>
        </w:rPr>
        <w:t>triennale fabbisogni</w:t>
      </w:r>
      <w:r w:rsidRPr="00D80990">
        <w:rPr>
          <w:rFonts w:ascii="Arial" w:hAnsi="Arial" w:cs="Arial"/>
          <w:b/>
          <w:u w:val="single"/>
        </w:rPr>
        <w:t xml:space="preserve"> del personale</w:t>
      </w:r>
    </w:p>
    <w:p w14:paraId="37127B5C" w14:textId="77777777" w:rsidR="00BE11C1" w:rsidRPr="00D80990" w:rsidRDefault="00BE11C1" w:rsidP="00BE11C1">
      <w:pPr>
        <w:jc w:val="both"/>
        <w:outlineLvl w:val="2"/>
        <w:rPr>
          <w:rFonts w:ascii="Arial" w:hAnsi="Arial" w:cs="Arial"/>
          <w:b/>
          <w:u w:val="single"/>
        </w:rPr>
      </w:pPr>
    </w:p>
    <w:p w14:paraId="5B134F30" w14:textId="77777777" w:rsidR="00BE11C1" w:rsidRPr="00D80990" w:rsidRDefault="00BE11C1" w:rsidP="00BE11C1">
      <w:pPr>
        <w:jc w:val="both"/>
        <w:rPr>
          <w:rFonts w:ascii="Arial" w:hAnsi="Arial" w:cs="Arial"/>
          <w:sz w:val="22"/>
          <w:szCs w:val="22"/>
        </w:rPr>
      </w:pPr>
      <w:r w:rsidRPr="00A94314">
        <w:rPr>
          <w:rFonts w:ascii="Arial" w:hAnsi="Arial" w:cs="Arial"/>
          <w:sz w:val="22"/>
          <w:szCs w:val="22"/>
        </w:rPr>
        <w:t>La programmazione del fabbisogno di personale prevista dall’art. 39, comma 1 della Legge 449/1997 e dall’art. 6 del D.Lgs. 165/2001 è stata approvata con specifico atto secondo le "Linee di indirizzo per la predisposizione dei piani dei fabbisogni di personale da parte della PA" emanate in data 08 maggio 2018 da parte del Ministro per la semplificazione e la pubblica amministrazionee pubblicate</w:t>
      </w:r>
      <w:r w:rsidR="008B1A79">
        <w:rPr>
          <w:rFonts w:ascii="Arial" w:hAnsi="Arial" w:cs="Arial"/>
          <w:sz w:val="22"/>
          <w:szCs w:val="22"/>
        </w:rPr>
        <w:t xml:space="preserve"> in G.U. 27 luglio 2018, n.173.</w:t>
      </w:r>
    </w:p>
    <w:p w14:paraId="0ED1CB51" w14:textId="77777777" w:rsidR="00BE11C1" w:rsidRPr="00D80990" w:rsidRDefault="00BE11C1" w:rsidP="00BE11C1">
      <w:pPr>
        <w:jc w:val="both"/>
        <w:rPr>
          <w:rFonts w:ascii="Arial" w:hAnsi="Arial" w:cs="Arial"/>
          <w:sz w:val="22"/>
          <w:szCs w:val="22"/>
        </w:rPr>
      </w:pPr>
    </w:p>
    <w:p w14:paraId="2171A4F7"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se approvato distintamente dal DUP</w:t>
      </w:r>
      <w:r w:rsidRPr="00D80990">
        <w:rPr>
          <w:rFonts w:ascii="Arial" w:hAnsi="Arial" w:cs="Arial"/>
          <w:sz w:val="22"/>
          <w:szCs w:val="22"/>
        </w:rPr>
        <w:t>) Su tale atto l’organo di revisione ha formulato il parere con verbale n …… in data…….. ai sensi dell’art.19 della Legge 448/2001.</w:t>
      </w:r>
    </w:p>
    <w:p w14:paraId="1FD25699" w14:textId="77777777" w:rsidR="00BE11C1" w:rsidRPr="00D80990" w:rsidRDefault="00BE11C1" w:rsidP="00BE11C1">
      <w:pPr>
        <w:jc w:val="both"/>
        <w:rPr>
          <w:rFonts w:ascii="Arial" w:hAnsi="Arial" w:cs="Arial"/>
          <w:sz w:val="22"/>
          <w:szCs w:val="22"/>
        </w:rPr>
      </w:pPr>
    </w:p>
    <w:p w14:paraId="6350EE44"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L’atto oltre ad assicurare le esigenze di funzionalità e d’ottimizzazione delle risorse per il miglior funzionamento dei servizi, prevede una riduzione della spesa attraverso il contenimento della dinamica retributiva ed occupazionale.</w:t>
      </w:r>
    </w:p>
    <w:p w14:paraId="32D199DE" w14:textId="77777777" w:rsidR="00BE11C1" w:rsidRPr="00D80990" w:rsidRDefault="00BE11C1" w:rsidP="00BE11C1">
      <w:pPr>
        <w:jc w:val="both"/>
        <w:rPr>
          <w:rFonts w:ascii="Arial" w:hAnsi="Arial" w:cs="Arial"/>
          <w:sz w:val="22"/>
          <w:szCs w:val="22"/>
        </w:rPr>
      </w:pPr>
    </w:p>
    <w:p w14:paraId="2E08BA75" w14:textId="77777777" w:rsidR="00BE11C1" w:rsidRPr="00D80990" w:rsidRDefault="00BE11C1" w:rsidP="00BE11C1">
      <w:pPr>
        <w:jc w:val="both"/>
        <w:rPr>
          <w:rFonts w:ascii="Arial" w:hAnsi="Arial" w:cs="Arial"/>
          <w:sz w:val="22"/>
          <w:szCs w:val="22"/>
        </w:rPr>
      </w:pPr>
      <w:r>
        <w:rPr>
          <w:rFonts w:ascii="Arial" w:hAnsi="Arial" w:cs="Arial"/>
          <w:sz w:val="22"/>
          <w:szCs w:val="22"/>
        </w:rPr>
        <w:t>I fabbisogni di personale nel triennio 2019-2021</w:t>
      </w:r>
      <w:r w:rsidRPr="00D80990">
        <w:rPr>
          <w:rFonts w:ascii="Arial" w:hAnsi="Arial" w:cs="Arial"/>
          <w:sz w:val="22"/>
          <w:szCs w:val="22"/>
        </w:rPr>
        <w:t>, tiene conto dei vincoli disposti per le assunzioni e per la spesa di personale.</w:t>
      </w:r>
    </w:p>
    <w:p w14:paraId="1FE5E80F" w14:textId="77777777" w:rsidR="00BE11C1" w:rsidRPr="00D80990" w:rsidRDefault="00BE11C1" w:rsidP="00BE11C1">
      <w:pPr>
        <w:jc w:val="both"/>
        <w:rPr>
          <w:rFonts w:ascii="Arial" w:hAnsi="Arial" w:cs="Arial"/>
          <w:sz w:val="22"/>
          <w:szCs w:val="22"/>
        </w:rPr>
      </w:pPr>
    </w:p>
    <w:p w14:paraId="52043AD9"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 xml:space="preserve">La previsione triennale è coerente con le esigenze finanziarie espresse </w:t>
      </w:r>
      <w:r>
        <w:rPr>
          <w:rFonts w:ascii="Arial" w:hAnsi="Arial" w:cs="Arial"/>
          <w:sz w:val="22"/>
          <w:szCs w:val="22"/>
        </w:rPr>
        <w:t>nell’atto di programmazione dei fabbisogni</w:t>
      </w:r>
      <w:r w:rsidRPr="00D80990">
        <w:rPr>
          <w:rFonts w:ascii="Arial" w:hAnsi="Arial" w:cs="Arial"/>
          <w:sz w:val="22"/>
          <w:szCs w:val="22"/>
        </w:rPr>
        <w:t>.</w:t>
      </w:r>
    </w:p>
    <w:p w14:paraId="075287E7" w14:textId="77777777" w:rsidR="00BE11C1" w:rsidRDefault="00BE11C1" w:rsidP="00BE11C1">
      <w:pPr>
        <w:jc w:val="both"/>
        <w:rPr>
          <w:rFonts w:ascii="Arial" w:hAnsi="Arial" w:cs="Arial"/>
          <w:b/>
          <w:sz w:val="22"/>
          <w:szCs w:val="22"/>
        </w:rPr>
      </w:pPr>
    </w:p>
    <w:p w14:paraId="04346012" w14:textId="77777777" w:rsidR="00BE11C1" w:rsidRPr="005F46D7" w:rsidRDefault="00BE11C1" w:rsidP="00BE11C1">
      <w:pPr>
        <w:jc w:val="both"/>
        <w:rPr>
          <w:rFonts w:ascii="Arial" w:hAnsi="Arial" w:cs="Arial"/>
          <w:b/>
          <w:u w:val="single"/>
        </w:rPr>
      </w:pPr>
      <w:r w:rsidRPr="005F46D7">
        <w:rPr>
          <w:rFonts w:ascii="Arial" w:hAnsi="Arial" w:cs="Arial"/>
          <w:b/>
          <w:u w:val="single"/>
        </w:rPr>
        <w:t>Piano triennale di razionalizzazione e riqualificazione della spesa, di cui all’art. 2, comma 594, della legge n. 244/2007</w:t>
      </w:r>
    </w:p>
    <w:p w14:paraId="68563A06" w14:textId="77777777" w:rsidR="00BE11C1" w:rsidRPr="005F46D7"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Su tale piano l’organo di revisione ha espresso parere obbligatorio quale strumento di programmazione economico-finanziaria come disposto dall’art. 239, comma 1, lettera b) punto 1 del TUEL, con verbale n……. del ………</w:t>
      </w:r>
    </w:p>
    <w:p w14:paraId="4EFCEDD1" w14:textId="77777777" w:rsidR="00BE11C1" w:rsidRPr="005F46D7" w:rsidRDefault="00BE11C1" w:rsidP="00BE11C1">
      <w:pPr>
        <w:jc w:val="both"/>
        <w:rPr>
          <w:rFonts w:ascii="Arial" w:hAnsi="Arial" w:cs="Arial"/>
          <w:b/>
          <w:u w:val="single"/>
        </w:rPr>
      </w:pPr>
    </w:p>
    <w:p w14:paraId="583C4B82" w14:textId="77777777" w:rsidR="005D790B" w:rsidRDefault="005D790B">
      <w:pPr>
        <w:rPr>
          <w:rFonts w:ascii="Arial" w:hAnsi="Arial" w:cs="Arial"/>
          <w:b/>
          <w:sz w:val="22"/>
          <w:szCs w:val="22"/>
        </w:rPr>
      </w:pPr>
      <w:r>
        <w:rPr>
          <w:rFonts w:ascii="Arial" w:hAnsi="Arial" w:cs="Arial"/>
          <w:b/>
          <w:sz w:val="22"/>
          <w:szCs w:val="22"/>
        </w:rPr>
        <w:br w:type="page"/>
      </w:r>
    </w:p>
    <w:p w14:paraId="1C29993D" w14:textId="77777777" w:rsidR="00BE11C1" w:rsidRPr="005F46D7" w:rsidRDefault="00BE11C1" w:rsidP="00BE11C1">
      <w:pPr>
        <w:jc w:val="both"/>
        <w:rPr>
          <w:rFonts w:ascii="Arial" w:hAnsi="Arial" w:cs="Arial"/>
          <w:b/>
          <w:u w:val="single"/>
        </w:rPr>
      </w:pPr>
      <w:r w:rsidRPr="005F46D7">
        <w:rPr>
          <w:rFonts w:ascii="Arial" w:hAnsi="Arial" w:cs="Arial"/>
          <w:b/>
          <w:u w:val="single"/>
        </w:rPr>
        <w:lastRenderedPageBreak/>
        <w:t xml:space="preserve">Piano triennale di razionalizzazione e riqualificazione della spesa di cui all'art. 16, comma 4, del D.L. 6 luglio 2011, n. 98 </w:t>
      </w:r>
    </w:p>
    <w:p w14:paraId="02E878EE" w14:textId="77777777" w:rsidR="005F46D7" w:rsidRDefault="005F46D7" w:rsidP="00BE11C1">
      <w:pPr>
        <w:jc w:val="both"/>
        <w:rPr>
          <w:rFonts w:ascii="Arial" w:hAnsi="Arial" w:cs="Arial"/>
          <w:sz w:val="22"/>
          <w:szCs w:val="22"/>
        </w:rPr>
      </w:pPr>
    </w:p>
    <w:p w14:paraId="2B73E5AE" w14:textId="77777777" w:rsidR="00BE11C1" w:rsidRPr="005F46D7"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eventuale</w:t>
      </w:r>
      <w:r w:rsidRPr="005F46D7">
        <w:rPr>
          <w:rFonts w:ascii="Arial" w:hAnsi="Arial" w:cs="Arial"/>
          <w:sz w:val="22"/>
          <w:szCs w:val="22"/>
        </w:rPr>
        <w:t>)</w:t>
      </w:r>
    </w:p>
    <w:p w14:paraId="183F05EE" w14:textId="77777777" w:rsidR="00BE11C1" w:rsidRPr="00D80990"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Su tale piano l’organo di revisione ha espresso parere obbligatorio quale strumento di</w:t>
      </w:r>
      <w:r w:rsidRPr="00D80990">
        <w:rPr>
          <w:rFonts w:ascii="Arial" w:hAnsi="Arial" w:cs="Arial"/>
          <w:sz w:val="22"/>
          <w:szCs w:val="22"/>
        </w:rPr>
        <w:t xml:space="preserve"> programmazione economico-finanziaria come disposto dall’art. 239, comma 1, lettera b) punto 1 del TUEL, con verbale n……. del ………</w:t>
      </w:r>
    </w:p>
    <w:p w14:paraId="44D32B0A" w14:textId="77777777" w:rsidR="00BE11C1" w:rsidRPr="00D80990" w:rsidRDefault="00BE11C1" w:rsidP="00BE11C1">
      <w:pPr>
        <w:jc w:val="both"/>
        <w:rPr>
          <w:rFonts w:ascii="Arial" w:hAnsi="Arial" w:cs="Arial"/>
          <w:b/>
          <w:sz w:val="22"/>
          <w:szCs w:val="22"/>
        </w:rPr>
      </w:pPr>
    </w:p>
    <w:p w14:paraId="74270595" w14:textId="77777777" w:rsidR="00BE11C1" w:rsidRPr="00D80990" w:rsidRDefault="00BE11C1" w:rsidP="00BE11C1">
      <w:pPr>
        <w:jc w:val="both"/>
        <w:rPr>
          <w:rFonts w:ascii="Arial" w:hAnsi="Arial" w:cs="Arial"/>
          <w:b/>
          <w:u w:val="single"/>
        </w:rPr>
      </w:pPr>
      <w:r w:rsidRPr="00D80990">
        <w:rPr>
          <w:rFonts w:ascii="Arial" w:hAnsi="Arial" w:cs="Arial"/>
          <w:b/>
          <w:u w:val="single"/>
        </w:rPr>
        <w:t xml:space="preserve">Piano delle alienazioni e valorizzazioni immobiliari </w:t>
      </w:r>
    </w:p>
    <w:p w14:paraId="180E1500"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(art. 58, comma 1 L. n.</w:t>
      </w:r>
      <w:r w:rsidRPr="00A94314">
        <w:rPr>
          <w:rFonts w:ascii="Arial" w:hAnsi="Arial" w:cs="Arial"/>
          <w:sz w:val="22"/>
          <w:szCs w:val="22"/>
        </w:rPr>
        <w:t>112</w:t>
      </w:r>
      <w:r w:rsidRPr="00D80990">
        <w:rPr>
          <w:rFonts w:ascii="Arial" w:hAnsi="Arial" w:cs="Arial"/>
          <w:sz w:val="22"/>
          <w:szCs w:val="22"/>
        </w:rPr>
        <w:t>/2008)</w:t>
      </w:r>
    </w:p>
    <w:p w14:paraId="6F485BD1" w14:textId="77777777" w:rsidR="00BE11C1" w:rsidRPr="00D80990" w:rsidRDefault="00BE11C1" w:rsidP="00BE11C1">
      <w:pPr>
        <w:jc w:val="both"/>
        <w:rPr>
          <w:rFonts w:ascii="Arial" w:hAnsi="Arial" w:cs="Arial"/>
          <w:sz w:val="22"/>
          <w:szCs w:val="22"/>
        </w:rPr>
      </w:pPr>
    </w:p>
    <w:p w14:paraId="45F75151" w14:textId="77777777" w:rsidR="00BE11C1" w:rsidRPr="00D80990" w:rsidRDefault="00BE11C1" w:rsidP="00BE11C1">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se approvato distintamente dal DUP</w:t>
      </w:r>
      <w:r w:rsidRPr="00D80990">
        <w:rPr>
          <w:rFonts w:ascii="Arial" w:hAnsi="Arial" w:cs="Arial"/>
          <w:sz w:val="22"/>
          <w:szCs w:val="22"/>
        </w:rPr>
        <w:t>) Sul piano l’organo di revisione ha espresso parere obbligatorio quale strumento di programmazione con verbale n…….. del ………….</w:t>
      </w:r>
    </w:p>
    <w:p w14:paraId="3BF77BF3" w14:textId="77777777" w:rsidR="00BE11C1" w:rsidRPr="00D80990" w:rsidRDefault="00BE11C1" w:rsidP="00BE11C1">
      <w:pPr>
        <w:jc w:val="both"/>
        <w:rPr>
          <w:rFonts w:ascii="Arial" w:hAnsi="Arial" w:cs="Arial"/>
          <w:sz w:val="22"/>
          <w:szCs w:val="22"/>
        </w:rPr>
      </w:pPr>
    </w:p>
    <w:p w14:paraId="205AE5DB" w14:textId="77777777" w:rsidR="00BE11C1" w:rsidRPr="00D80990" w:rsidRDefault="00BE11C1" w:rsidP="00BE11C1">
      <w:pPr>
        <w:pStyle w:val="Titolo2"/>
      </w:pPr>
      <w:bookmarkStart w:id="40" w:name="_Toc346838829"/>
      <w:bookmarkStart w:id="41" w:name="_Toc535487609"/>
      <w:r w:rsidRPr="00D80990">
        <w:t>Verifica della coerenza esterna</w:t>
      </w:r>
      <w:bookmarkEnd w:id="40"/>
      <w:bookmarkEnd w:id="41"/>
    </w:p>
    <w:p w14:paraId="5A30CE76" w14:textId="77777777" w:rsidR="00BE11C1" w:rsidRPr="00D80990" w:rsidRDefault="00BE11C1" w:rsidP="00BE11C1">
      <w:pPr>
        <w:pStyle w:val="Titolo3"/>
      </w:pPr>
    </w:p>
    <w:p w14:paraId="1D6D5EC9" w14:textId="77777777" w:rsidR="00BE11C1" w:rsidRPr="00D80990" w:rsidRDefault="004A1F64" w:rsidP="00BE11C1">
      <w:pPr>
        <w:jc w:val="both"/>
        <w:rPr>
          <w:rFonts w:ascii="Arial" w:hAnsi="Arial" w:cs="Arial"/>
          <w:b/>
          <w:sz w:val="22"/>
          <w:szCs w:val="22"/>
          <w:u w:val="single"/>
        </w:rPr>
      </w:pPr>
      <w:r>
        <w:rPr>
          <w:rFonts w:ascii="Arial" w:hAnsi="Arial" w:cs="Arial"/>
          <w:b/>
          <w:sz w:val="22"/>
          <w:szCs w:val="22"/>
          <w:u w:val="single"/>
        </w:rPr>
        <w:t>Equilibri di finanza pubblica</w:t>
      </w:r>
    </w:p>
    <w:p w14:paraId="07D9F74D" w14:textId="77777777" w:rsidR="00BE11C1" w:rsidRPr="00D80990" w:rsidRDefault="00BE11C1" w:rsidP="00BE11C1">
      <w:pPr>
        <w:jc w:val="both"/>
        <w:rPr>
          <w:rFonts w:ascii="Arial" w:hAnsi="Arial" w:cs="Arial"/>
          <w:sz w:val="22"/>
          <w:szCs w:val="22"/>
        </w:rPr>
      </w:pPr>
    </w:p>
    <w:p w14:paraId="4FF0F3E1" w14:textId="77777777" w:rsidR="00BE11C1" w:rsidRPr="00671FB2" w:rsidRDefault="009672FA" w:rsidP="009672FA">
      <w:pPr>
        <w:jc w:val="both"/>
        <w:rPr>
          <w:rFonts w:ascii="Arial" w:hAnsi="Arial" w:cs="Arial"/>
          <w:b/>
          <w:i/>
          <w:color w:val="00B0F0"/>
          <w:sz w:val="22"/>
          <w:szCs w:val="22"/>
          <w:u w:val="single"/>
        </w:rPr>
      </w:pPr>
      <w:r w:rsidRPr="00671FB2">
        <w:rPr>
          <w:rFonts w:ascii="Arial" w:hAnsi="Arial" w:cs="Arial"/>
          <w:i/>
          <w:color w:val="00B0F0"/>
          <w:sz w:val="22"/>
          <w:szCs w:val="22"/>
        </w:rPr>
        <w:t>I commi da 819 a 826 della Legge di Bilancio 2019 (</w:t>
      </w:r>
      <w:r w:rsidR="00671FB2" w:rsidRPr="00671FB2">
        <w:rPr>
          <w:rFonts w:ascii="Arial" w:hAnsi="Arial" w:cs="Arial"/>
          <w:i/>
          <w:color w:val="00B0F0"/>
          <w:sz w:val="22"/>
          <w:szCs w:val="22"/>
        </w:rPr>
        <w:t xml:space="preserve">n. </w:t>
      </w:r>
      <w:r w:rsidRPr="00671FB2">
        <w:rPr>
          <w:rFonts w:ascii="Arial" w:hAnsi="Arial" w:cs="Arial"/>
          <w:i/>
          <w:color w:val="00B0F0"/>
          <w:sz w:val="22"/>
          <w:szCs w:val="22"/>
        </w:rPr>
        <w:t xml:space="preserve">145/2018) sanciscono il definitivo superamento del saldo di competenza in vigore dal 2016 e – più in generale – delle regole finanziarie aggiuntive rispetto alle norme generali sull’equilibrio di bilancio, imposte agli enti locali da un ventennio. Dal 2019, in attuazione delle sentenze della Corte costituzionale n. 247 del 2017 e n. 101 del 2018, gli enti locali (le città metropolitane, le province ed i comuni) potranno utilizzare in modo pieno sia il Fondo pluriennale vincolato di entrata sia l’avanzo di amministrazione ai fini </w:t>
      </w:r>
      <w:r w:rsidR="00671FB2">
        <w:rPr>
          <w:rFonts w:ascii="Arial" w:hAnsi="Arial" w:cs="Arial"/>
          <w:i/>
          <w:color w:val="00B0F0"/>
          <w:sz w:val="22"/>
          <w:szCs w:val="22"/>
        </w:rPr>
        <w:t>dell’equilibrio di bilancio (comma</w:t>
      </w:r>
      <w:r w:rsidRPr="00671FB2">
        <w:rPr>
          <w:rFonts w:ascii="Arial" w:hAnsi="Arial" w:cs="Arial"/>
          <w:i/>
          <w:color w:val="00B0F0"/>
          <w:sz w:val="22"/>
          <w:szCs w:val="22"/>
        </w:rPr>
        <w:t xml:space="preserve"> 820). Dal 2019, dunque, già in fase previsionale il vincolo di finanza pubblica coinciderà con gli equilibri ordinari disciplinati dall’armonizzazione contabile (D.lgs. 118/2011) e dal TUEL, senza l’ulteriore limite fissato dal saldo finale di competenza non negativo. Gli enti, infatti, si considereranno “in equilibrio in presenza di un risultato di competenza non negativo”, desunto “dal prospetto della verifica degli equilibri allegato al rendiconto”, </w:t>
      </w:r>
      <w:r w:rsidRPr="00671FB2">
        <w:rPr>
          <w:rFonts w:ascii="Arial" w:hAnsi="Arial" w:cs="Arial"/>
          <w:b/>
          <w:i/>
          <w:color w:val="00B0F0"/>
          <w:sz w:val="22"/>
          <w:szCs w:val="22"/>
          <w:u w:val="single"/>
        </w:rPr>
        <w:t>allegato 10 al d.lgs. 118/2011 (co. 821).</w:t>
      </w:r>
    </w:p>
    <w:p w14:paraId="69C8CD56" w14:textId="77777777" w:rsidR="001004AB" w:rsidRPr="00671FB2" w:rsidRDefault="001004AB" w:rsidP="009672FA">
      <w:pPr>
        <w:jc w:val="both"/>
        <w:rPr>
          <w:rFonts w:ascii="Arial" w:hAnsi="Arial" w:cs="Arial"/>
          <w:b/>
          <w:i/>
          <w:color w:val="00B0F0"/>
          <w:sz w:val="22"/>
          <w:szCs w:val="22"/>
          <w:u w:val="single"/>
        </w:rPr>
      </w:pPr>
    </w:p>
    <w:p w14:paraId="577A4AD6" w14:textId="77777777" w:rsidR="00BE11C1" w:rsidRDefault="00BE11C1" w:rsidP="00BE11C1">
      <w:pPr>
        <w:spacing w:before="120" w:after="60"/>
        <w:jc w:val="both"/>
        <w:rPr>
          <w:rFonts w:ascii="Arial" w:hAnsi="Arial" w:cs="Arial"/>
          <w:sz w:val="22"/>
          <w:szCs w:val="22"/>
        </w:rPr>
      </w:pPr>
      <w:r w:rsidRPr="005F46D7">
        <w:rPr>
          <w:rFonts w:ascii="Arial" w:hAnsi="Arial" w:cs="Arial"/>
          <w:sz w:val="22"/>
          <w:szCs w:val="22"/>
        </w:rPr>
        <w:t>Il risultato di amministrazione e il fondo pluriennale vincolato di entrata e di spesa possono essere utilizzati nel rispetto delle disposizioni previste dal decreto legislativo 23 giugno 2011, n. 118.</w:t>
      </w:r>
    </w:p>
    <w:p w14:paraId="0995D17B" w14:textId="77777777" w:rsidR="00BD717D" w:rsidRDefault="00BD717D">
      <w:pPr>
        <w:spacing w:before="120" w:after="60"/>
        <w:jc w:val="both"/>
        <w:rPr>
          <w:rFonts w:ascii="Arial" w:hAnsi="Arial" w:cs="Arial"/>
          <w:sz w:val="22"/>
          <w:szCs w:val="22"/>
        </w:rPr>
      </w:pPr>
    </w:p>
    <w:p w14:paraId="53921813" w14:textId="77777777" w:rsidR="006233A2" w:rsidRDefault="006233A2">
      <w:pPr>
        <w:spacing w:before="120" w:after="60"/>
        <w:jc w:val="both"/>
        <w:rPr>
          <w:rFonts w:ascii="Arial" w:hAnsi="Arial" w:cs="Arial"/>
          <w:sz w:val="22"/>
          <w:szCs w:val="22"/>
        </w:rPr>
      </w:pPr>
    </w:p>
    <w:p w14:paraId="26B27A2E" w14:textId="77777777" w:rsidR="006233A2" w:rsidRDefault="006233A2">
      <w:pPr>
        <w:spacing w:before="120" w:after="60"/>
        <w:jc w:val="both"/>
        <w:rPr>
          <w:rFonts w:ascii="Arial" w:hAnsi="Arial" w:cs="Arial"/>
          <w:sz w:val="22"/>
          <w:szCs w:val="22"/>
        </w:rPr>
      </w:pPr>
    </w:p>
    <w:p w14:paraId="2805F20E" w14:textId="77777777" w:rsidR="006233A2" w:rsidRDefault="006233A2">
      <w:pPr>
        <w:spacing w:before="120" w:after="60"/>
        <w:jc w:val="both"/>
        <w:rPr>
          <w:rFonts w:ascii="Arial" w:hAnsi="Arial" w:cs="Arial"/>
          <w:sz w:val="22"/>
          <w:szCs w:val="22"/>
        </w:rPr>
      </w:pPr>
    </w:p>
    <w:p w14:paraId="0723D789" w14:textId="77777777" w:rsidR="006233A2" w:rsidRDefault="006233A2">
      <w:pPr>
        <w:spacing w:before="120" w:after="60"/>
        <w:jc w:val="both"/>
        <w:rPr>
          <w:rFonts w:ascii="Arial" w:hAnsi="Arial" w:cs="Arial"/>
          <w:sz w:val="22"/>
          <w:szCs w:val="22"/>
        </w:rPr>
      </w:pPr>
    </w:p>
    <w:p w14:paraId="05104B16" w14:textId="77777777" w:rsidR="006233A2" w:rsidRDefault="006233A2">
      <w:pPr>
        <w:spacing w:before="120" w:after="60"/>
        <w:jc w:val="both"/>
        <w:rPr>
          <w:rFonts w:ascii="Arial" w:hAnsi="Arial" w:cs="Arial"/>
          <w:sz w:val="22"/>
          <w:szCs w:val="22"/>
        </w:rPr>
      </w:pPr>
    </w:p>
    <w:p w14:paraId="5D1D33D4" w14:textId="77777777" w:rsidR="006233A2" w:rsidRDefault="006233A2">
      <w:pPr>
        <w:spacing w:before="120" w:after="60"/>
        <w:jc w:val="both"/>
        <w:rPr>
          <w:rFonts w:ascii="Arial" w:hAnsi="Arial" w:cs="Arial"/>
          <w:sz w:val="22"/>
          <w:szCs w:val="22"/>
        </w:rPr>
      </w:pPr>
    </w:p>
    <w:p w14:paraId="445A25A1" w14:textId="77777777" w:rsidR="006233A2" w:rsidRDefault="006233A2">
      <w:pPr>
        <w:spacing w:before="120" w:after="60"/>
        <w:jc w:val="both"/>
        <w:rPr>
          <w:rFonts w:ascii="Arial" w:hAnsi="Arial" w:cs="Arial"/>
          <w:sz w:val="22"/>
          <w:szCs w:val="22"/>
        </w:rPr>
      </w:pPr>
    </w:p>
    <w:p w14:paraId="5162749E" w14:textId="77777777" w:rsidR="005D5A1B" w:rsidRDefault="005D5A1B">
      <w:pPr>
        <w:spacing w:before="120" w:after="60"/>
        <w:jc w:val="both"/>
        <w:rPr>
          <w:rFonts w:ascii="Arial" w:hAnsi="Arial" w:cs="Arial"/>
          <w:sz w:val="22"/>
          <w:szCs w:val="22"/>
        </w:rPr>
      </w:pPr>
    </w:p>
    <w:p w14:paraId="4920B727" w14:textId="77777777" w:rsidR="005D5A1B" w:rsidRDefault="005D5A1B">
      <w:pPr>
        <w:spacing w:before="120" w:after="60"/>
        <w:jc w:val="both"/>
        <w:rPr>
          <w:rFonts w:ascii="Arial" w:hAnsi="Arial" w:cs="Arial"/>
          <w:sz w:val="22"/>
          <w:szCs w:val="22"/>
        </w:rPr>
      </w:pPr>
    </w:p>
    <w:p w14:paraId="071F2046" w14:textId="77777777" w:rsidR="006233A2" w:rsidRDefault="006233A2">
      <w:pPr>
        <w:spacing w:before="120" w:after="60"/>
        <w:jc w:val="both"/>
        <w:rPr>
          <w:rFonts w:ascii="Arial" w:hAnsi="Arial" w:cs="Arial"/>
          <w:sz w:val="22"/>
          <w:szCs w:val="22"/>
        </w:rPr>
      </w:pPr>
    </w:p>
    <w:p w14:paraId="5025CD62" w14:textId="77777777" w:rsidR="006233A2" w:rsidRDefault="006233A2">
      <w:pPr>
        <w:spacing w:before="120" w:after="60"/>
        <w:jc w:val="both"/>
        <w:rPr>
          <w:rFonts w:ascii="Arial" w:hAnsi="Arial" w:cs="Arial"/>
          <w:sz w:val="22"/>
          <w:szCs w:val="22"/>
        </w:rPr>
      </w:pPr>
    </w:p>
    <w:p w14:paraId="55450C08" w14:textId="77777777" w:rsidR="006233A2" w:rsidRDefault="006233A2">
      <w:pPr>
        <w:spacing w:before="120" w:after="60"/>
        <w:jc w:val="both"/>
        <w:rPr>
          <w:rFonts w:ascii="Arial" w:hAnsi="Arial" w:cs="Arial"/>
          <w:sz w:val="22"/>
          <w:szCs w:val="22"/>
        </w:rPr>
      </w:pPr>
    </w:p>
    <w:p w14:paraId="54EB6A2B" w14:textId="77777777" w:rsidR="006233A2" w:rsidRPr="00D80990" w:rsidRDefault="006233A2">
      <w:pPr>
        <w:spacing w:before="120" w:after="60"/>
        <w:jc w:val="both"/>
        <w:rPr>
          <w:rFonts w:ascii="Arial" w:hAnsi="Arial" w:cs="Arial"/>
          <w:sz w:val="22"/>
          <w:szCs w:val="22"/>
        </w:rPr>
      </w:pPr>
    </w:p>
    <w:p w14:paraId="6654D699" w14:textId="77777777" w:rsidR="009F6E3E" w:rsidRPr="00D80990" w:rsidRDefault="00BD717D">
      <w:pPr>
        <w:pStyle w:val="Titolo1"/>
        <w:shd w:val="clear" w:color="auto" w:fill="B6DDE8" w:themeFill="accent5" w:themeFillTint="66"/>
      </w:pPr>
      <w:bookmarkStart w:id="42" w:name="_MON_1513243481"/>
      <w:bookmarkStart w:id="43" w:name="_Toc346838830"/>
      <w:bookmarkStart w:id="44" w:name="_Toc535487610"/>
      <w:bookmarkEnd w:id="42"/>
      <w:r w:rsidRPr="00D80990">
        <w:lastRenderedPageBreak/>
        <w:t>V</w:t>
      </w:r>
      <w:r w:rsidR="007F766F" w:rsidRPr="00D80990">
        <w:t xml:space="preserve">ERIFICA ATTENDIBILITA’ E CONGRUITA’ DELLE PREVISIONI ANNO </w:t>
      </w:r>
      <w:bookmarkEnd w:id="43"/>
      <w:r w:rsidR="005C55B7">
        <w:t>2019</w:t>
      </w:r>
      <w:r w:rsidR="007F766F" w:rsidRPr="00D80990">
        <w:t>-202</w:t>
      </w:r>
      <w:r w:rsidR="005C55B7">
        <w:t>1</w:t>
      </w:r>
      <w:bookmarkEnd w:id="44"/>
    </w:p>
    <w:p w14:paraId="5FB9A9C2" w14:textId="77777777" w:rsidR="009F6E3E" w:rsidRPr="00D80990" w:rsidRDefault="007F766F">
      <w:pPr>
        <w:pStyle w:val="Titolo2"/>
      </w:pPr>
      <w:bookmarkStart w:id="45" w:name="_Toc535487611"/>
      <w:r w:rsidRPr="00D80990">
        <w:t>A) ENTRATE</w:t>
      </w:r>
      <w:bookmarkEnd w:id="45"/>
    </w:p>
    <w:p w14:paraId="70B2732E" w14:textId="77777777" w:rsidR="009F6E3E" w:rsidRPr="00D80990" w:rsidRDefault="009F6E3E">
      <w:pPr>
        <w:pStyle w:val="Corpodeltesto2"/>
        <w:numPr>
          <w:ilvl w:val="12"/>
          <w:numId w:val="0"/>
        </w:numPr>
        <w:tabs>
          <w:tab w:val="clear" w:pos="426"/>
          <w:tab w:val="left" w:pos="708"/>
        </w:tabs>
        <w:jc w:val="both"/>
        <w:rPr>
          <w:sz w:val="20"/>
        </w:rPr>
      </w:pPr>
    </w:p>
    <w:p w14:paraId="08F9A7A5" w14:textId="77777777" w:rsidR="009F6E3E" w:rsidRPr="00D80990" w:rsidRDefault="007F766F">
      <w:pPr>
        <w:pStyle w:val="Corpodeltesto2"/>
        <w:numPr>
          <w:ilvl w:val="12"/>
          <w:numId w:val="0"/>
        </w:numPr>
        <w:tabs>
          <w:tab w:val="clear" w:pos="426"/>
          <w:tab w:val="left" w:pos="708"/>
        </w:tabs>
        <w:jc w:val="both"/>
        <w:rPr>
          <w:szCs w:val="22"/>
        </w:rPr>
      </w:pPr>
      <w:r w:rsidRPr="00D80990">
        <w:rPr>
          <w:szCs w:val="22"/>
        </w:rPr>
        <w:t>Ai fini della verifica dell’attendibilità delle entrate e congruità delle spes</w:t>
      </w:r>
      <w:r w:rsidR="00D80990">
        <w:rPr>
          <w:szCs w:val="22"/>
        </w:rPr>
        <w:t>e previste per gli esercizi 2019-2021</w:t>
      </w:r>
      <w:r w:rsidRPr="00D80990">
        <w:rPr>
          <w:szCs w:val="22"/>
        </w:rPr>
        <w:t>, alla luce della manovra disposta dall’ente, sono state analizzate in particolare le voci di bilancio appresso riportate.</w:t>
      </w:r>
    </w:p>
    <w:p w14:paraId="6CA12933" w14:textId="77777777" w:rsidR="009F6E3E" w:rsidRPr="00D80990" w:rsidRDefault="009F6E3E">
      <w:pPr>
        <w:pStyle w:val="Corpodeltesto2"/>
        <w:numPr>
          <w:ilvl w:val="12"/>
          <w:numId w:val="0"/>
        </w:numPr>
        <w:tabs>
          <w:tab w:val="clear" w:pos="426"/>
          <w:tab w:val="left" w:pos="708"/>
        </w:tabs>
        <w:jc w:val="both"/>
        <w:rPr>
          <w:szCs w:val="22"/>
        </w:rPr>
      </w:pPr>
    </w:p>
    <w:p w14:paraId="7DB67592" w14:textId="77777777" w:rsidR="009F6E3E" w:rsidRPr="00D80990" w:rsidRDefault="007F766F">
      <w:pPr>
        <w:pStyle w:val="Titolo3"/>
        <w:rPr>
          <w:sz w:val="24"/>
        </w:rPr>
      </w:pPr>
      <w:bookmarkStart w:id="46" w:name="_Toc535487612"/>
      <w:r w:rsidRPr="00D80990">
        <w:rPr>
          <w:sz w:val="24"/>
        </w:rPr>
        <w:t>Entrate da fiscalità locale</w:t>
      </w:r>
      <w:bookmarkEnd w:id="46"/>
    </w:p>
    <w:p w14:paraId="5BC95F8B" w14:textId="77777777" w:rsidR="009F6E3E" w:rsidRPr="00D80990" w:rsidRDefault="009F6E3E">
      <w:pPr>
        <w:numPr>
          <w:ilvl w:val="12"/>
          <w:numId w:val="0"/>
        </w:numPr>
        <w:jc w:val="both"/>
        <w:outlineLvl w:val="2"/>
        <w:rPr>
          <w:rFonts w:ascii="Arial" w:hAnsi="Arial" w:cs="Arial"/>
          <w:b/>
          <w:i/>
          <w:u w:val="single"/>
        </w:rPr>
      </w:pPr>
    </w:p>
    <w:p w14:paraId="57633AED" w14:textId="77777777" w:rsidR="009F6E3E" w:rsidRPr="00D80990" w:rsidRDefault="007F766F">
      <w:pPr>
        <w:jc w:val="both"/>
        <w:rPr>
          <w:rFonts w:ascii="Arial" w:hAnsi="Arial" w:cs="Arial"/>
          <w:b/>
          <w:u w:val="single"/>
        </w:rPr>
      </w:pPr>
      <w:r w:rsidRPr="00D80990">
        <w:rPr>
          <w:rFonts w:ascii="Arial" w:hAnsi="Arial" w:cs="Arial"/>
          <w:b/>
          <w:u w:val="single"/>
        </w:rPr>
        <w:t>Addizionale Comunale all’Irpef</w:t>
      </w:r>
    </w:p>
    <w:p w14:paraId="14D8715D" w14:textId="77777777" w:rsidR="009F6E3E" w:rsidRPr="00D80990" w:rsidRDefault="009F6E3E">
      <w:pPr>
        <w:numPr>
          <w:ilvl w:val="12"/>
          <w:numId w:val="0"/>
        </w:numPr>
        <w:jc w:val="both"/>
        <w:rPr>
          <w:rFonts w:ascii="Arial" w:hAnsi="Arial" w:cs="Arial"/>
          <w:sz w:val="22"/>
          <w:szCs w:val="22"/>
        </w:rPr>
      </w:pPr>
    </w:p>
    <w:p w14:paraId="4E81B967" w14:textId="77777777" w:rsidR="00002EE0" w:rsidRDefault="007F766F">
      <w:pPr>
        <w:numPr>
          <w:ilvl w:val="12"/>
          <w:numId w:val="0"/>
        </w:numPr>
        <w:jc w:val="both"/>
        <w:rPr>
          <w:rFonts w:ascii="Arial" w:hAnsi="Arial" w:cs="Arial"/>
          <w:sz w:val="22"/>
          <w:szCs w:val="22"/>
        </w:rPr>
      </w:pPr>
      <w:r w:rsidRPr="00D80990">
        <w:rPr>
          <w:rFonts w:ascii="Arial" w:hAnsi="Arial" w:cs="Arial"/>
          <w:sz w:val="22"/>
          <w:szCs w:val="22"/>
        </w:rPr>
        <w:t xml:space="preserve">Il comune ha applicato, ai sensi dell’art. 1 del D. Lgs. n. 360/1998, l’addizionale all’IRPEF, fissandone l’aliquota in misura del…………….. </w:t>
      </w:r>
      <w:r w:rsidR="00002EE0">
        <w:rPr>
          <w:rFonts w:ascii="Arial" w:hAnsi="Arial" w:cs="Arial"/>
          <w:sz w:val="22"/>
          <w:szCs w:val="22"/>
        </w:rPr>
        <w:t>(</w:t>
      </w:r>
      <w:r w:rsidR="00002EE0" w:rsidRPr="00002EE0">
        <w:rPr>
          <w:rFonts w:ascii="Arial" w:hAnsi="Arial" w:cs="Arial"/>
          <w:i/>
          <w:sz w:val="22"/>
          <w:szCs w:val="22"/>
        </w:rPr>
        <w:t>eventuale</w:t>
      </w:r>
      <w:r w:rsidR="00002EE0">
        <w:rPr>
          <w:rFonts w:ascii="Arial" w:hAnsi="Arial" w:cs="Arial"/>
          <w:sz w:val="22"/>
          <w:szCs w:val="22"/>
        </w:rPr>
        <w:t xml:space="preserve"> : con una soglia di esenzione per redditi fino a euro…..)</w:t>
      </w:r>
    </w:p>
    <w:p w14:paraId="61B27C3B" w14:textId="77777777" w:rsidR="00002EE0" w:rsidRDefault="00002EE0">
      <w:pPr>
        <w:numPr>
          <w:ilvl w:val="12"/>
          <w:numId w:val="0"/>
        </w:numPr>
        <w:jc w:val="both"/>
        <w:rPr>
          <w:rFonts w:ascii="Arial" w:hAnsi="Arial" w:cs="Arial"/>
          <w:sz w:val="22"/>
          <w:szCs w:val="22"/>
        </w:rPr>
      </w:pPr>
    </w:p>
    <w:p w14:paraId="1754DF25" w14:textId="77777777" w:rsidR="009F6E3E" w:rsidRDefault="00002EE0">
      <w:pPr>
        <w:numPr>
          <w:ilvl w:val="12"/>
          <w:numId w:val="0"/>
        </w:numPr>
        <w:jc w:val="both"/>
        <w:rPr>
          <w:rFonts w:ascii="Arial" w:hAnsi="Arial" w:cs="Arial"/>
          <w:sz w:val="22"/>
          <w:szCs w:val="22"/>
        </w:rPr>
      </w:pPr>
      <w:r w:rsidRPr="00002EE0">
        <w:rPr>
          <w:rFonts w:ascii="Arial" w:hAnsi="Arial" w:cs="Arial"/>
          <w:i/>
          <w:sz w:val="22"/>
          <w:szCs w:val="22"/>
        </w:rPr>
        <w:t>Oppure</w:t>
      </w:r>
      <w:r>
        <w:rPr>
          <w:rFonts w:ascii="Arial" w:hAnsi="Arial" w:cs="Arial"/>
          <w:sz w:val="22"/>
          <w:szCs w:val="22"/>
        </w:rPr>
        <w:t>:</w:t>
      </w:r>
    </w:p>
    <w:p w14:paraId="2E013DA6" w14:textId="77777777" w:rsidR="00002EE0" w:rsidRDefault="00002EE0">
      <w:pPr>
        <w:numPr>
          <w:ilvl w:val="12"/>
          <w:numId w:val="0"/>
        </w:numPr>
        <w:jc w:val="both"/>
        <w:rPr>
          <w:rFonts w:ascii="Arial" w:hAnsi="Arial" w:cs="Arial"/>
          <w:sz w:val="22"/>
          <w:szCs w:val="22"/>
        </w:rPr>
      </w:pPr>
      <w:r>
        <w:rPr>
          <w:rFonts w:ascii="Arial" w:hAnsi="Arial" w:cs="Arial"/>
          <w:sz w:val="22"/>
          <w:szCs w:val="22"/>
        </w:rPr>
        <w:t>Il comune ha applicato, ai sensi dell’art.1 del D.Lgs. n.360/1998, l’addizionale all’IRPEF, fissandone le aliquote sulla base dei seguenti scaglioni di reddito:</w:t>
      </w:r>
    </w:p>
    <w:p w14:paraId="00A6CD6B" w14:textId="77777777" w:rsidR="00002EE0" w:rsidRPr="00D80990" w:rsidRDefault="00002EE0">
      <w:pPr>
        <w:numPr>
          <w:ilvl w:val="12"/>
          <w:numId w:val="0"/>
        </w:numPr>
        <w:jc w:val="both"/>
        <w:rPr>
          <w:rFonts w:ascii="Arial" w:hAnsi="Arial" w:cs="Arial"/>
          <w:sz w:val="22"/>
          <w:szCs w:val="22"/>
        </w:rPr>
      </w:pPr>
    </w:p>
    <w:p w14:paraId="1A23399F" w14:textId="77777777" w:rsidR="009F6E3E" w:rsidRDefault="009F6E3E">
      <w:pPr>
        <w:numPr>
          <w:ilvl w:val="12"/>
          <w:numId w:val="0"/>
        </w:numPr>
        <w:jc w:val="both"/>
        <w:rPr>
          <w:rFonts w:ascii="Arial" w:hAnsi="Arial" w:cs="Arial"/>
          <w:b/>
          <w:sz w:val="22"/>
          <w:szCs w:val="22"/>
          <w:u w:val="single"/>
        </w:rPr>
      </w:pPr>
    </w:p>
    <w:p w14:paraId="546641A2" w14:textId="77777777" w:rsidR="006F3CC1" w:rsidRDefault="006233A2" w:rsidP="006F3CC1">
      <w:pPr>
        <w:numPr>
          <w:ilvl w:val="12"/>
          <w:numId w:val="0"/>
        </w:numPr>
        <w:jc w:val="center"/>
        <w:rPr>
          <w:rFonts w:ascii="Arial" w:hAnsi="Arial" w:cs="Arial"/>
          <w:b/>
          <w:sz w:val="22"/>
          <w:szCs w:val="22"/>
          <w:u w:val="single"/>
        </w:rPr>
      </w:pPr>
      <w:r w:rsidRPr="00213664">
        <w:rPr>
          <w:rFonts w:ascii="Arial" w:hAnsi="Arial" w:cs="Arial"/>
          <w:sz w:val="22"/>
          <w:szCs w:val="22"/>
        </w:rPr>
        <w:object w:dxaOrig="8234" w:dyaOrig="1254" w14:anchorId="6C167076">
          <v:shape id="_x0000_i1039" type="#_x0000_t75" style="width:410.25pt;height:64.5pt" o:ole="">
            <v:imagedata r:id="rId44" o:title=""/>
          </v:shape>
          <o:OLEObject Type="Embed" ProgID="Excel.Sheet.12" ShapeID="_x0000_i1039" DrawAspect="Content" ObjectID="_1780988728" r:id="rId45"/>
        </w:object>
      </w:r>
    </w:p>
    <w:p w14:paraId="71F0C405" w14:textId="77777777" w:rsidR="006F3CC1" w:rsidRPr="00D80990" w:rsidRDefault="006F3CC1">
      <w:pPr>
        <w:numPr>
          <w:ilvl w:val="12"/>
          <w:numId w:val="0"/>
        </w:numPr>
        <w:jc w:val="both"/>
        <w:rPr>
          <w:rFonts w:ascii="Arial" w:hAnsi="Arial" w:cs="Arial"/>
          <w:b/>
          <w:sz w:val="22"/>
          <w:szCs w:val="22"/>
          <w:u w:val="single"/>
        </w:rPr>
      </w:pPr>
    </w:p>
    <w:p w14:paraId="3C9CE602" w14:textId="77777777" w:rsidR="0032722E" w:rsidRPr="00D80990" w:rsidRDefault="0032722E" w:rsidP="0032722E">
      <w:pPr>
        <w:numPr>
          <w:ilvl w:val="12"/>
          <w:numId w:val="0"/>
        </w:numPr>
        <w:jc w:val="center"/>
        <w:rPr>
          <w:rFonts w:ascii="Arial" w:hAnsi="Arial" w:cs="Arial"/>
          <w:b/>
          <w:sz w:val="22"/>
          <w:szCs w:val="22"/>
          <w:highlight w:val="yellow"/>
          <w:u w:val="single"/>
        </w:rPr>
      </w:pPr>
    </w:p>
    <w:p w14:paraId="6A30ADAC" w14:textId="77777777" w:rsidR="009F6E3E" w:rsidRPr="00D80990" w:rsidRDefault="007F766F">
      <w:pPr>
        <w:numPr>
          <w:ilvl w:val="12"/>
          <w:numId w:val="0"/>
        </w:numPr>
        <w:jc w:val="both"/>
        <w:rPr>
          <w:rFonts w:ascii="Arial" w:hAnsi="Arial" w:cs="Arial"/>
          <w:sz w:val="22"/>
          <w:szCs w:val="22"/>
        </w:rPr>
      </w:pPr>
      <w:r w:rsidRPr="00D80990">
        <w:rPr>
          <w:rFonts w:ascii="Arial" w:hAnsi="Arial" w:cs="Arial"/>
          <w:sz w:val="22"/>
          <w:szCs w:val="22"/>
        </w:rPr>
        <w:t>Le previsioni di gettito sono coerenti a quanto disposto dal punto 3.7.5 del principio 4/2 del D. Lgs 118/2011.</w:t>
      </w:r>
    </w:p>
    <w:p w14:paraId="68837C3E" w14:textId="77777777" w:rsidR="00B75B67" w:rsidRDefault="00B75B67">
      <w:pPr>
        <w:jc w:val="both"/>
        <w:rPr>
          <w:rFonts w:ascii="Arial" w:hAnsi="Arial" w:cs="Arial"/>
          <w:b/>
          <w:u w:val="single"/>
        </w:rPr>
      </w:pPr>
    </w:p>
    <w:p w14:paraId="174251C9" w14:textId="77777777" w:rsidR="009F6E3E" w:rsidRPr="00D80990" w:rsidRDefault="007F766F">
      <w:pPr>
        <w:jc w:val="both"/>
        <w:rPr>
          <w:rFonts w:ascii="Arial" w:hAnsi="Arial" w:cs="Arial"/>
          <w:b/>
          <w:u w:val="single"/>
        </w:rPr>
      </w:pPr>
      <w:r w:rsidRPr="00D80990">
        <w:rPr>
          <w:rFonts w:ascii="Arial" w:hAnsi="Arial" w:cs="Arial"/>
          <w:b/>
          <w:u w:val="single"/>
        </w:rPr>
        <w:t>IUC</w:t>
      </w:r>
    </w:p>
    <w:p w14:paraId="664837C7" w14:textId="77777777" w:rsidR="009F6E3E" w:rsidRPr="00D80990" w:rsidRDefault="009F6E3E">
      <w:pPr>
        <w:jc w:val="both"/>
        <w:rPr>
          <w:rFonts w:ascii="Arial" w:hAnsi="Arial" w:cs="Arial"/>
          <w:sz w:val="22"/>
          <w:szCs w:val="22"/>
        </w:rPr>
      </w:pPr>
    </w:p>
    <w:p w14:paraId="7B90AA20" w14:textId="77777777" w:rsidR="009F6E3E" w:rsidRPr="00D80990" w:rsidRDefault="007F766F">
      <w:pPr>
        <w:jc w:val="both"/>
        <w:rPr>
          <w:rFonts w:ascii="Arial" w:hAnsi="Arial" w:cs="Arial"/>
          <w:sz w:val="22"/>
          <w:szCs w:val="22"/>
        </w:rPr>
      </w:pPr>
      <w:r w:rsidRPr="00D80990">
        <w:rPr>
          <w:rFonts w:ascii="Arial" w:hAnsi="Arial" w:cs="Arial"/>
          <w:sz w:val="22"/>
          <w:szCs w:val="22"/>
        </w:rPr>
        <w:t xml:space="preserve">Il gettito stimato per l’Imposta Unica Comunale, nella sua articolazione IMU/TASI/TARI, è così composto: </w:t>
      </w:r>
    </w:p>
    <w:p w14:paraId="77DB8FD9" w14:textId="77777777" w:rsidR="009F6E3E" w:rsidRDefault="009F6E3E">
      <w:pPr>
        <w:numPr>
          <w:ilvl w:val="12"/>
          <w:numId w:val="0"/>
        </w:numPr>
        <w:rPr>
          <w:rFonts w:ascii="Arial" w:hAnsi="Arial" w:cs="Arial"/>
          <w:i/>
          <w:sz w:val="20"/>
        </w:rPr>
      </w:pPr>
      <w:bookmarkStart w:id="47" w:name="_ENTRATE_CORRENTI"/>
      <w:bookmarkEnd w:id="47"/>
    </w:p>
    <w:p w14:paraId="3D2A6C59" w14:textId="77777777" w:rsidR="001401A6" w:rsidRPr="00D80990" w:rsidRDefault="006233A2" w:rsidP="001401A6">
      <w:pPr>
        <w:numPr>
          <w:ilvl w:val="12"/>
          <w:numId w:val="0"/>
        </w:numPr>
        <w:jc w:val="center"/>
        <w:rPr>
          <w:rFonts w:ascii="Arial" w:hAnsi="Arial" w:cs="Arial"/>
          <w:i/>
          <w:sz w:val="20"/>
        </w:rPr>
      </w:pPr>
      <w:r w:rsidRPr="00213664">
        <w:rPr>
          <w:rFonts w:ascii="Arial" w:hAnsi="Arial" w:cs="Arial"/>
          <w:sz w:val="22"/>
          <w:szCs w:val="22"/>
        </w:rPr>
        <w:object w:dxaOrig="8234" w:dyaOrig="1994" w14:anchorId="33E55135">
          <v:shape id="_x0000_i1040" type="#_x0000_t75" style="width:410.25pt;height:100.5pt" o:ole="">
            <v:imagedata r:id="rId46" o:title=""/>
          </v:shape>
          <o:OLEObject Type="Embed" ProgID="Excel.Sheet.12" ShapeID="_x0000_i1040" DrawAspect="Content" ObjectID="_1780988729" r:id="rId47"/>
        </w:object>
      </w:r>
    </w:p>
    <w:p w14:paraId="1F8B5732" w14:textId="77777777" w:rsidR="001401A6" w:rsidRDefault="001401A6" w:rsidP="00002EE0">
      <w:pPr>
        <w:jc w:val="both"/>
        <w:rPr>
          <w:rFonts w:ascii="Arial" w:hAnsi="Arial" w:cs="Arial"/>
          <w:sz w:val="22"/>
          <w:szCs w:val="22"/>
        </w:rPr>
      </w:pPr>
    </w:p>
    <w:p w14:paraId="3F9CC9DE" w14:textId="77777777" w:rsidR="00002EE0" w:rsidRPr="007E2A1D" w:rsidRDefault="00002EE0" w:rsidP="00002EE0">
      <w:pPr>
        <w:jc w:val="both"/>
        <w:rPr>
          <w:rFonts w:ascii="Arial" w:hAnsi="Arial" w:cs="Arial"/>
          <w:sz w:val="22"/>
          <w:szCs w:val="22"/>
        </w:rPr>
      </w:pPr>
      <w:r w:rsidRPr="007E2A1D">
        <w:rPr>
          <w:rFonts w:ascii="Arial" w:hAnsi="Arial" w:cs="Arial"/>
          <w:sz w:val="22"/>
          <w:szCs w:val="22"/>
        </w:rPr>
        <w:t>In particolare per la TARI, l’ente ha previsto nel bilancio 2019, la somma di euro ……………………., con un aumento/diminuzione di euro …………… rispetto alle previsioni definitive 2018 (o ultimo rendiconto), per la tassa sui rifiuti istituita con i commi da 641 a 668 dell’art.1 della Legge 147/2013.</w:t>
      </w:r>
    </w:p>
    <w:p w14:paraId="7CF92608" w14:textId="77777777" w:rsidR="001401A6" w:rsidRDefault="001401A6" w:rsidP="00002EE0">
      <w:pPr>
        <w:jc w:val="both"/>
        <w:rPr>
          <w:rFonts w:ascii="Arial" w:hAnsi="Arial" w:cs="Arial"/>
          <w:sz w:val="22"/>
          <w:szCs w:val="22"/>
        </w:rPr>
      </w:pPr>
    </w:p>
    <w:p w14:paraId="7D34FFAE" w14:textId="77777777" w:rsidR="00002EE0" w:rsidRPr="007E2A1D" w:rsidRDefault="00002EE0" w:rsidP="00002EE0">
      <w:pPr>
        <w:jc w:val="both"/>
        <w:rPr>
          <w:rFonts w:ascii="Arial" w:hAnsi="Arial" w:cs="Arial"/>
          <w:sz w:val="22"/>
          <w:szCs w:val="22"/>
        </w:rPr>
      </w:pPr>
      <w:r w:rsidRPr="007E2A1D">
        <w:rPr>
          <w:rFonts w:ascii="Arial" w:hAnsi="Arial" w:cs="Arial"/>
          <w:sz w:val="22"/>
          <w:szCs w:val="22"/>
        </w:rPr>
        <w:t xml:space="preserve">La tariffa è determinata sulla base della copertura integrale dei costi di investimento e di esercizio del servizio rifiuti compresi quelli relativi alla realizzazione ed esercizio della discarica ad esclusione dei costi relativi ai rifiuti speciali al cui smaltimento provvedono a proprie spese i relativi produttori comprovandone il trattamento. </w:t>
      </w:r>
    </w:p>
    <w:p w14:paraId="7541C34C" w14:textId="77777777" w:rsidR="001401A6" w:rsidRDefault="001401A6" w:rsidP="00002EE0">
      <w:pPr>
        <w:jc w:val="both"/>
        <w:rPr>
          <w:rFonts w:ascii="Arial" w:hAnsi="Arial" w:cs="Arial"/>
          <w:sz w:val="22"/>
          <w:szCs w:val="22"/>
        </w:rPr>
      </w:pPr>
    </w:p>
    <w:p w14:paraId="76EE3C02" w14:textId="77777777" w:rsidR="00002EE0" w:rsidRPr="007E2A1D" w:rsidRDefault="00002EE0" w:rsidP="00002EE0">
      <w:pPr>
        <w:jc w:val="both"/>
        <w:rPr>
          <w:rFonts w:ascii="Arial" w:hAnsi="Arial" w:cs="Arial"/>
          <w:sz w:val="22"/>
          <w:szCs w:val="22"/>
        </w:rPr>
      </w:pPr>
      <w:r w:rsidRPr="007E2A1D">
        <w:rPr>
          <w:rFonts w:ascii="Arial" w:hAnsi="Arial" w:cs="Arial"/>
          <w:sz w:val="22"/>
          <w:szCs w:val="22"/>
        </w:rPr>
        <w:t xml:space="preserve">Nella determinazione dei costi - a partire dall’anno 2018 - ai sensi del comma 653 dell’art.1 della Legge 147/2013 il comune </w:t>
      </w:r>
      <w:r w:rsidRPr="007E2A1D">
        <w:rPr>
          <w:rFonts w:ascii="Arial" w:hAnsi="Arial" w:cs="Arial"/>
          <w:b/>
          <w:i/>
          <w:sz w:val="22"/>
          <w:szCs w:val="22"/>
        </w:rPr>
        <w:t>ha/non ha</w:t>
      </w:r>
      <w:r w:rsidRPr="007E2A1D">
        <w:rPr>
          <w:rFonts w:ascii="Arial" w:hAnsi="Arial" w:cs="Arial"/>
          <w:sz w:val="22"/>
          <w:szCs w:val="22"/>
        </w:rPr>
        <w:t xml:space="preserve"> tenuto conto delle risultanze dei fabbisogni standard.</w:t>
      </w:r>
    </w:p>
    <w:p w14:paraId="2C810D3E" w14:textId="77777777" w:rsidR="00002EE0" w:rsidRPr="007E2A1D" w:rsidRDefault="00002EE0" w:rsidP="00002EE0">
      <w:pPr>
        <w:jc w:val="both"/>
        <w:rPr>
          <w:rFonts w:ascii="Arial" w:hAnsi="Arial" w:cs="Arial"/>
          <w:sz w:val="22"/>
          <w:szCs w:val="22"/>
        </w:rPr>
      </w:pPr>
    </w:p>
    <w:p w14:paraId="6DE5C861" w14:textId="77777777" w:rsidR="00002EE0" w:rsidRPr="007E2A1D" w:rsidRDefault="00002EE0" w:rsidP="00002EE0">
      <w:pPr>
        <w:jc w:val="both"/>
        <w:rPr>
          <w:rFonts w:ascii="Arial" w:hAnsi="Arial" w:cs="Arial"/>
          <w:sz w:val="22"/>
          <w:szCs w:val="22"/>
        </w:rPr>
      </w:pPr>
      <w:r w:rsidRPr="007E2A1D">
        <w:rPr>
          <w:rFonts w:ascii="Arial" w:hAnsi="Arial" w:cs="Arial"/>
          <w:sz w:val="22"/>
          <w:szCs w:val="22"/>
        </w:rPr>
        <w:t>Tra le componenti di costo è stata considerata la somma di euro ………. a titolo di crediti risultati inesigibili (comma 654-bis).</w:t>
      </w:r>
    </w:p>
    <w:p w14:paraId="23452EAC" w14:textId="77777777" w:rsidR="00002EE0" w:rsidRPr="007E2A1D" w:rsidRDefault="00002EE0" w:rsidP="00002EE0">
      <w:pPr>
        <w:jc w:val="both"/>
        <w:rPr>
          <w:rFonts w:ascii="Arial" w:hAnsi="Arial" w:cs="Arial"/>
          <w:sz w:val="22"/>
          <w:szCs w:val="22"/>
        </w:rPr>
      </w:pPr>
    </w:p>
    <w:p w14:paraId="301C32A9" w14:textId="77777777" w:rsidR="00002EE0" w:rsidRPr="007E2A1D" w:rsidRDefault="00002EE0" w:rsidP="00002EE0">
      <w:pPr>
        <w:jc w:val="both"/>
        <w:rPr>
          <w:rFonts w:ascii="Arial" w:hAnsi="Arial" w:cs="Arial"/>
          <w:sz w:val="22"/>
          <w:szCs w:val="22"/>
        </w:rPr>
      </w:pPr>
      <w:r w:rsidRPr="007E2A1D">
        <w:rPr>
          <w:rFonts w:ascii="Arial" w:hAnsi="Arial" w:cs="Arial"/>
          <w:sz w:val="22"/>
          <w:szCs w:val="22"/>
        </w:rPr>
        <w:t>La modalità di commisurazione della tariffa è stata fatta sulla base del criterio medio- ordinario (ovvero in base alla quantità e qualità medie ordinarie di rifiuti prodotti per unità di superficie in relazione agli usi e alla tipologia di attività svolte) e non sull’effettiva quantità di rifiuti prodotti.</w:t>
      </w:r>
    </w:p>
    <w:p w14:paraId="44D03D62" w14:textId="77777777" w:rsidR="001401A6" w:rsidRDefault="001401A6" w:rsidP="00002EE0">
      <w:pPr>
        <w:tabs>
          <w:tab w:val="left" w:pos="708"/>
        </w:tabs>
        <w:jc w:val="both"/>
        <w:rPr>
          <w:rFonts w:ascii="Arial" w:hAnsi="Arial" w:cs="Arial"/>
          <w:bCs/>
          <w:sz w:val="22"/>
          <w:szCs w:val="22"/>
        </w:rPr>
      </w:pPr>
    </w:p>
    <w:p w14:paraId="03CFB717" w14:textId="77777777" w:rsidR="00002EE0" w:rsidRPr="007E2A1D" w:rsidRDefault="00002EE0" w:rsidP="00002EE0">
      <w:pPr>
        <w:tabs>
          <w:tab w:val="left" w:pos="708"/>
        </w:tabs>
        <w:jc w:val="both"/>
        <w:rPr>
          <w:rFonts w:ascii="Arial" w:hAnsi="Arial" w:cs="Arial"/>
          <w:bCs/>
          <w:sz w:val="22"/>
          <w:szCs w:val="22"/>
        </w:rPr>
      </w:pPr>
      <w:r w:rsidRPr="007E2A1D">
        <w:rPr>
          <w:rFonts w:ascii="Arial" w:hAnsi="Arial" w:cs="Arial"/>
          <w:bCs/>
          <w:sz w:val="22"/>
          <w:szCs w:val="22"/>
        </w:rPr>
        <w:t xml:space="preserve">La disciplina dell´applicazione del tributo sarà approvata con regolamento dal Consiglio comunale.  </w:t>
      </w:r>
    </w:p>
    <w:p w14:paraId="52AFA2B4" w14:textId="77777777" w:rsidR="001401A6" w:rsidRDefault="001401A6" w:rsidP="00002EE0">
      <w:pPr>
        <w:jc w:val="both"/>
        <w:rPr>
          <w:rFonts w:ascii="Arial" w:hAnsi="Arial" w:cs="Arial"/>
          <w:sz w:val="22"/>
          <w:szCs w:val="22"/>
        </w:rPr>
      </w:pPr>
    </w:p>
    <w:p w14:paraId="3701B9D2" w14:textId="77777777" w:rsidR="009F6E3E" w:rsidRDefault="00002EE0" w:rsidP="00002EE0">
      <w:pPr>
        <w:jc w:val="both"/>
        <w:rPr>
          <w:rFonts w:ascii="Arial" w:hAnsi="Arial" w:cs="Arial"/>
          <w:sz w:val="22"/>
          <w:szCs w:val="22"/>
        </w:rPr>
      </w:pPr>
      <w:r w:rsidRPr="007E2A1D">
        <w:rPr>
          <w:rFonts w:ascii="Arial" w:hAnsi="Arial" w:cs="Arial"/>
          <w:sz w:val="22"/>
          <w:szCs w:val="22"/>
        </w:rPr>
        <w:t>La quota di gettito atteso che rimarrà a carico dell’ente per effetto delle riduzioni/esenzioni del tributo ammonta ad euro ………..</w:t>
      </w:r>
    </w:p>
    <w:p w14:paraId="58426C61" w14:textId="77777777" w:rsidR="00002EE0" w:rsidRPr="00D80990" w:rsidRDefault="00002EE0" w:rsidP="00002EE0">
      <w:pPr>
        <w:jc w:val="both"/>
        <w:rPr>
          <w:rFonts w:ascii="Arial" w:hAnsi="Arial" w:cs="Arial"/>
          <w:b/>
          <w:highlight w:val="yellow"/>
          <w:u w:val="single"/>
        </w:rPr>
      </w:pPr>
    </w:p>
    <w:p w14:paraId="07449CD5" w14:textId="77777777" w:rsidR="009F6E3E" w:rsidRPr="00D80990" w:rsidRDefault="007F766F">
      <w:pPr>
        <w:jc w:val="both"/>
        <w:rPr>
          <w:rFonts w:ascii="Arial" w:hAnsi="Arial" w:cs="Arial"/>
          <w:b/>
          <w:u w:val="single"/>
        </w:rPr>
      </w:pPr>
      <w:r w:rsidRPr="00D80990">
        <w:rPr>
          <w:rFonts w:ascii="Arial" w:hAnsi="Arial" w:cs="Arial"/>
          <w:b/>
          <w:u w:val="single"/>
        </w:rPr>
        <w:t>Altri Tributi Comunali</w:t>
      </w:r>
    </w:p>
    <w:p w14:paraId="6E4157D1" w14:textId="77777777" w:rsidR="009F6E3E" w:rsidRPr="00D80990" w:rsidRDefault="009F6E3E">
      <w:pPr>
        <w:jc w:val="both"/>
        <w:rPr>
          <w:rFonts w:ascii="Arial" w:hAnsi="Arial" w:cs="Arial"/>
          <w:b/>
          <w:u w:val="single"/>
        </w:rPr>
      </w:pPr>
    </w:p>
    <w:p w14:paraId="5BD2CEDB" w14:textId="77777777" w:rsidR="009F6E3E" w:rsidRPr="00D80990" w:rsidRDefault="007F766F">
      <w:pPr>
        <w:jc w:val="both"/>
        <w:rPr>
          <w:rFonts w:ascii="Arial" w:hAnsi="Arial" w:cs="Arial"/>
          <w:sz w:val="22"/>
          <w:szCs w:val="22"/>
        </w:rPr>
      </w:pPr>
      <w:r w:rsidRPr="00D80990">
        <w:rPr>
          <w:rFonts w:ascii="Arial" w:hAnsi="Arial" w:cs="Arial"/>
          <w:sz w:val="22"/>
          <w:szCs w:val="22"/>
        </w:rPr>
        <w:t xml:space="preserve">Oltre all’addizionale comunale all’IRPEF e alla IUC (IMU-TARI-TASI), il comune ha istituito i seguenti tributi </w:t>
      </w:r>
      <w:r w:rsidRPr="00D80990">
        <w:rPr>
          <w:rFonts w:ascii="Arial" w:hAnsi="Arial" w:cs="Arial"/>
          <w:i/>
          <w:sz w:val="22"/>
          <w:szCs w:val="22"/>
        </w:rPr>
        <w:t>(eliminare quelli non istituiti)</w:t>
      </w:r>
      <w:r w:rsidRPr="00D80990">
        <w:rPr>
          <w:rFonts w:ascii="Arial" w:hAnsi="Arial" w:cs="Arial"/>
          <w:sz w:val="22"/>
          <w:szCs w:val="22"/>
        </w:rPr>
        <w:t>:</w:t>
      </w:r>
    </w:p>
    <w:p w14:paraId="415690FC" w14:textId="77777777" w:rsidR="009F6E3E" w:rsidRPr="00D80990" w:rsidRDefault="009F6E3E">
      <w:pPr>
        <w:jc w:val="both"/>
        <w:rPr>
          <w:rFonts w:ascii="Arial" w:hAnsi="Arial" w:cs="Arial"/>
          <w:sz w:val="22"/>
          <w:szCs w:val="22"/>
        </w:rPr>
      </w:pPr>
    </w:p>
    <w:p w14:paraId="3104DCD4"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comunale sulla pubblicità (ICP);</w:t>
      </w:r>
    </w:p>
    <w:p w14:paraId="22987D38"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canone per l'installazione di mezzi pubblicitari (CIMP);</w:t>
      </w:r>
    </w:p>
    <w:p w14:paraId="4F089CC4"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tassa per l'occupazione di spazi ed aree pubbliche (TOSAP);</w:t>
      </w:r>
    </w:p>
    <w:p w14:paraId="1872F9BA"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di scopo;</w:t>
      </w:r>
    </w:p>
    <w:p w14:paraId="0DE304FA"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di soggiorno;</w:t>
      </w:r>
    </w:p>
    <w:p w14:paraId="5942AB55" w14:textId="77777777"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contributo di sbarco.</w:t>
      </w:r>
    </w:p>
    <w:p w14:paraId="6DB3C4C7" w14:textId="77777777" w:rsidR="009F6E3E" w:rsidRDefault="009F6E3E">
      <w:pPr>
        <w:jc w:val="both"/>
        <w:rPr>
          <w:rFonts w:ascii="Arial" w:hAnsi="Arial" w:cs="Arial"/>
          <w:sz w:val="22"/>
          <w:szCs w:val="22"/>
        </w:rPr>
      </w:pPr>
    </w:p>
    <w:p w14:paraId="2490EB86" w14:textId="77777777" w:rsidR="001401A6" w:rsidRDefault="006233A2" w:rsidP="003B58BD">
      <w:pPr>
        <w:jc w:val="center"/>
        <w:rPr>
          <w:rFonts w:ascii="Arial" w:hAnsi="Arial" w:cs="Arial"/>
          <w:sz w:val="22"/>
          <w:szCs w:val="22"/>
        </w:rPr>
      </w:pPr>
      <w:r w:rsidRPr="00213664">
        <w:rPr>
          <w:rFonts w:ascii="Arial" w:hAnsi="Arial" w:cs="Arial"/>
          <w:sz w:val="22"/>
          <w:szCs w:val="22"/>
        </w:rPr>
        <w:object w:dxaOrig="8234" w:dyaOrig="3140" w14:anchorId="7F693F48">
          <v:shape id="_x0000_i1041" type="#_x0000_t75" style="width:410.25pt;height:158.25pt" o:ole="">
            <v:imagedata r:id="rId48" o:title=""/>
          </v:shape>
          <o:OLEObject Type="Embed" ProgID="Excel.Sheet.12" ShapeID="_x0000_i1041" DrawAspect="Content" ObjectID="_1780988730" r:id="rId49"/>
        </w:object>
      </w:r>
    </w:p>
    <w:p w14:paraId="66A83670" w14:textId="77777777" w:rsidR="001401A6" w:rsidRDefault="001401A6">
      <w:pPr>
        <w:jc w:val="both"/>
        <w:rPr>
          <w:rFonts w:ascii="Arial" w:hAnsi="Arial" w:cs="Arial"/>
          <w:sz w:val="22"/>
          <w:szCs w:val="22"/>
        </w:rPr>
      </w:pPr>
    </w:p>
    <w:p w14:paraId="5E3D60D2" w14:textId="77777777" w:rsidR="009F6E3E" w:rsidRPr="00D80990" w:rsidRDefault="009F6E3E" w:rsidP="006C582D">
      <w:pPr>
        <w:jc w:val="center"/>
        <w:rPr>
          <w:rFonts w:ascii="Arial" w:hAnsi="Arial" w:cs="Arial"/>
          <w:sz w:val="22"/>
          <w:szCs w:val="22"/>
        </w:rPr>
      </w:pPr>
    </w:p>
    <w:p w14:paraId="73B834F9" w14:textId="77777777" w:rsidR="009F6E3E" w:rsidRPr="00D80990" w:rsidRDefault="007F766F">
      <w:pPr>
        <w:jc w:val="both"/>
        <w:rPr>
          <w:rFonts w:ascii="Arial" w:hAnsi="Arial" w:cs="Arial"/>
          <w:i/>
          <w:sz w:val="22"/>
          <w:szCs w:val="22"/>
        </w:rPr>
      </w:pPr>
      <w:r w:rsidRPr="00D80990">
        <w:rPr>
          <w:rFonts w:ascii="Arial" w:hAnsi="Arial" w:cs="Arial"/>
          <w:i/>
          <w:sz w:val="22"/>
          <w:szCs w:val="22"/>
        </w:rPr>
        <w:t>(solo se istituita l’imposta di soggiorno)</w:t>
      </w:r>
    </w:p>
    <w:p w14:paraId="7CD528BE" w14:textId="77777777" w:rsidR="009F6E3E" w:rsidRPr="00D80990" w:rsidRDefault="009F6E3E">
      <w:pPr>
        <w:jc w:val="both"/>
        <w:rPr>
          <w:rFonts w:ascii="Arial" w:hAnsi="Arial" w:cs="Arial"/>
          <w:sz w:val="22"/>
          <w:szCs w:val="22"/>
        </w:rPr>
      </w:pPr>
    </w:p>
    <w:p w14:paraId="1888FDA2" w14:textId="77777777" w:rsidR="009F6E3E" w:rsidRDefault="007F766F">
      <w:pPr>
        <w:jc w:val="both"/>
        <w:rPr>
          <w:rFonts w:ascii="Arial" w:hAnsi="Arial" w:cs="Arial"/>
          <w:sz w:val="22"/>
          <w:szCs w:val="22"/>
        </w:rPr>
      </w:pPr>
      <w:r w:rsidRPr="00D80990">
        <w:rPr>
          <w:rFonts w:ascii="Arial" w:hAnsi="Arial" w:cs="Arial"/>
          <w:sz w:val="22"/>
          <w:szCs w:val="22"/>
        </w:rPr>
        <w:t>Il comune, avendo istituito l’imposta di soggiorno a carico di coloro che alloggiano nelle strutture ricet</w:t>
      </w:r>
      <w:r w:rsidR="001C1946">
        <w:rPr>
          <w:rFonts w:ascii="Arial" w:hAnsi="Arial" w:cs="Arial"/>
          <w:sz w:val="22"/>
          <w:szCs w:val="22"/>
        </w:rPr>
        <w:t xml:space="preserve">tive situate </w:t>
      </w:r>
      <w:r w:rsidRPr="00D80990">
        <w:rPr>
          <w:rFonts w:ascii="Arial" w:hAnsi="Arial" w:cs="Arial"/>
          <w:sz w:val="22"/>
          <w:szCs w:val="22"/>
        </w:rPr>
        <w:t xml:space="preserve">sul proprio territorio, ha previsto che il relativo gettito sia destinato a finanziareinterventi in materia di turismo, ivi compresi quelli a sostegno delle strutture ricettive, nonchéinterventi di manutenzione, fruizione e recupero dei beni culturali ed ambientali locali, nonché dei relativi servizi </w:t>
      </w:r>
      <w:r w:rsidR="001C1946">
        <w:rPr>
          <w:rFonts w:ascii="Arial" w:hAnsi="Arial" w:cs="Arial"/>
          <w:sz w:val="22"/>
          <w:szCs w:val="22"/>
        </w:rPr>
        <w:t>pubblici locali (rif. art. 4 D.</w:t>
      </w:r>
      <w:r w:rsidRPr="00D80990">
        <w:rPr>
          <w:rFonts w:ascii="Arial" w:hAnsi="Arial" w:cs="Arial"/>
          <w:sz w:val="22"/>
          <w:szCs w:val="22"/>
        </w:rPr>
        <w:t>Lgs n.23/2011).</w:t>
      </w:r>
    </w:p>
    <w:p w14:paraId="5A76E606" w14:textId="77777777" w:rsidR="006233A2" w:rsidRDefault="006233A2">
      <w:pPr>
        <w:jc w:val="both"/>
        <w:rPr>
          <w:rFonts w:ascii="Arial" w:hAnsi="Arial" w:cs="Arial"/>
          <w:sz w:val="22"/>
          <w:szCs w:val="22"/>
        </w:rPr>
      </w:pPr>
    </w:p>
    <w:p w14:paraId="1E635A89" w14:textId="77777777" w:rsidR="006233A2" w:rsidRDefault="006233A2">
      <w:pPr>
        <w:jc w:val="both"/>
        <w:rPr>
          <w:rFonts w:ascii="Arial" w:hAnsi="Arial" w:cs="Arial"/>
          <w:sz w:val="22"/>
          <w:szCs w:val="22"/>
        </w:rPr>
      </w:pPr>
    </w:p>
    <w:p w14:paraId="6494F1E4" w14:textId="77777777" w:rsidR="006233A2" w:rsidRDefault="006233A2">
      <w:pPr>
        <w:jc w:val="both"/>
        <w:rPr>
          <w:rFonts w:ascii="Arial" w:hAnsi="Arial" w:cs="Arial"/>
          <w:sz w:val="22"/>
          <w:szCs w:val="22"/>
        </w:rPr>
      </w:pPr>
    </w:p>
    <w:p w14:paraId="4110938A" w14:textId="77777777" w:rsidR="006233A2" w:rsidRDefault="006233A2">
      <w:r>
        <w:br w:type="page"/>
      </w:r>
    </w:p>
    <w:p w14:paraId="33F8FB90" w14:textId="77777777" w:rsidR="009F6E3E" w:rsidRPr="00D80990" w:rsidRDefault="007F766F">
      <w:pPr>
        <w:pStyle w:val="Titolo3"/>
      </w:pPr>
      <w:bookmarkStart w:id="48" w:name="_Toc535487613"/>
      <w:r w:rsidRPr="00D80990">
        <w:lastRenderedPageBreak/>
        <w:t>Risorse relative al recupero dell’evasione tributaria</w:t>
      </w:r>
      <w:bookmarkEnd w:id="48"/>
    </w:p>
    <w:p w14:paraId="71D78266" w14:textId="77777777" w:rsidR="009F6E3E" w:rsidRPr="00D80990" w:rsidRDefault="009F6E3E">
      <w:pPr>
        <w:rPr>
          <w:rFonts w:ascii="Arial" w:hAnsi="Arial" w:cs="Arial"/>
          <w:b/>
          <w:sz w:val="20"/>
          <w:u w:val="single"/>
        </w:rPr>
      </w:pPr>
    </w:p>
    <w:p w14:paraId="73B28102" w14:textId="77777777" w:rsidR="009F6E3E" w:rsidRPr="00D80990" w:rsidRDefault="007F766F">
      <w:pPr>
        <w:rPr>
          <w:rFonts w:ascii="Arial" w:hAnsi="Arial" w:cs="Arial"/>
          <w:sz w:val="22"/>
          <w:szCs w:val="22"/>
        </w:rPr>
      </w:pPr>
      <w:r w:rsidRPr="00D80990">
        <w:rPr>
          <w:rFonts w:ascii="Arial" w:hAnsi="Arial" w:cs="Arial"/>
          <w:sz w:val="22"/>
          <w:szCs w:val="22"/>
        </w:rPr>
        <w:t>Le entrate relative all’attività di controllo delle dichiarazioni subiscono le seguenti variazioni:</w:t>
      </w:r>
    </w:p>
    <w:p w14:paraId="220C109B" w14:textId="77777777" w:rsidR="009F6E3E" w:rsidRDefault="009F6E3E">
      <w:pPr>
        <w:rPr>
          <w:rFonts w:ascii="Arial" w:hAnsi="Arial" w:cs="Arial"/>
          <w:sz w:val="22"/>
          <w:szCs w:val="22"/>
        </w:rPr>
      </w:pPr>
    </w:p>
    <w:bookmarkStart w:id="49" w:name="_MON_1609226958"/>
    <w:bookmarkEnd w:id="49"/>
    <w:p w14:paraId="43E5CCEC" w14:textId="77777777" w:rsidR="006C582D" w:rsidRDefault="006233A2" w:rsidP="001401A6">
      <w:pPr>
        <w:jc w:val="center"/>
        <w:rPr>
          <w:rFonts w:ascii="Arial" w:hAnsi="Arial" w:cs="Arial"/>
          <w:sz w:val="22"/>
          <w:szCs w:val="22"/>
        </w:rPr>
      </w:pPr>
      <w:r w:rsidRPr="00213664">
        <w:rPr>
          <w:rFonts w:ascii="Arial" w:hAnsi="Arial" w:cs="Arial"/>
          <w:sz w:val="22"/>
          <w:szCs w:val="22"/>
        </w:rPr>
        <w:object w:dxaOrig="11760" w:dyaOrig="3746" w14:anchorId="03ADB5FB">
          <v:shape id="_x0000_i1042" type="#_x0000_t75" style="width:496.5pt;height:158.25pt" o:ole="">
            <v:imagedata r:id="rId50" o:title=""/>
          </v:shape>
          <o:OLEObject Type="Embed" ProgID="Excel.Sheet.12" ShapeID="_x0000_i1042" DrawAspect="Content" ObjectID="_1780988731" r:id="rId51"/>
        </w:object>
      </w:r>
    </w:p>
    <w:p w14:paraId="61F33F91" w14:textId="77777777" w:rsidR="009F6E3E" w:rsidRPr="006233A2" w:rsidRDefault="007F766F">
      <w:pPr>
        <w:rPr>
          <w:rFonts w:ascii="Arial" w:hAnsi="Arial" w:cs="Arial"/>
          <w:i/>
          <w:sz w:val="20"/>
          <w:szCs w:val="20"/>
        </w:rPr>
      </w:pPr>
      <w:r w:rsidRPr="006233A2">
        <w:rPr>
          <w:rFonts w:ascii="Arial" w:hAnsi="Arial" w:cs="Arial"/>
          <w:i/>
          <w:sz w:val="20"/>
          <w:szCs w:val="20"/>
        </w:rPr>
        <w:t>*accertato 201</w:t>
      </w:r>
      <w:r w:rsidR="00D80990" w:rsidRPr="006233A2">
        <w:rPr>
          <w:rFonts w:ascii="Arial" w:hAnsi="Arial" w:cs="Arial"/>
          <w:i/>
          <w:sz w:val="20"/>
          <w:szCs w:val="20"/>
        </w:rPr>
        <w:t>8 e residuo 2018 se approvato il rendiconto 2018</w:t>
      </w:r>
    </w:p>
    <w:p w14:paraId="4BDA829B" w14:textId="77777777" w:rsidR="009F6E3E" w:rsidRPr="00D80990" w:rsidRDefault="009F6E3E">
      <w:pPr>
        <w:rPr>
          <w:rFonts w:ascii="Arial" w:hAnsi="Arial" w:cs="Arial"/>
          <w:b/>
          <w:u w:val="single"/>
        </w:rPr>
      </w:pPr>
      <w:bookmarkStart w:id="50" w:name="_MON_1513857152"/>
      <w:bookmarkEnd w:id="50"/>
    </w:p>
    <w:p w14:paraId="18D1417D" w14:textId="77777777" w:rsidR="009F6E3E" w:rsidRPr="00D80990" w:rsidRDefault="007F766F">
      <w:pPr>
        <w:jc w:val="both"/>
        <w:rPr>
          <w:rFonts w:ascii="Arial" w:hAnsi="Arial" w:cs="Arial"/>
          <w:b/>
          <w:u w:val="single"/>
        </w:rPr>
      </w:pPr>
      <w:r w:rsidRPr="00D80990">
        <w:rPr>
          <w:rFonts w:ascii="Arial" w:hAnsi="Arial" w:cs="Arial"/>
          <w:sz w:val="22"/>
          <w:szCs w:val="22"/>
        </w:rPr>
        <w:t xml:space="preserve">La quantificazione del fondo crediti di dubbia esigibilità per gli anni </w:t>
      </w:r>
      <w:r w:rsidR="00D80990">
        <w:rPr>
          <w:rFonts w:ascii="Arial" w:hAnsi="Arial" w:cs="Arial"/>
          <w:sz w:val="22"/>
          <w:szCs w:val="22"/>
        </w:rPr>
        <w:t>2019-2021</w:t>
      </w:r>
      <w:r w:rsidRPr="00D80990">
        <w:rPr>
          <w:rFonts w:ascii="Arial" w:hAnsi="Arial" w:cs="Arial"/>
          <w:sz w:val="22"/>
          <w:szCs w:val="22"/>
        </w:rPr>
        <w:t xml:space="preserve"> appare congrua in relazione all’andamento storico delle riscossioni rispetto agli accertamenti ed ai crediti dichiarati inesigibili inclusi tra le componenti di costo.</w:t>
      </w:r>
    </w:p>
    <w:p w14:paraId="2ECA0F55" w14:textId="77777777" w:rsidR="009F6E3E" w:rsidRDefault="009F6E3E">
      <w:pPr>
        <w:jc w:val="both"/>
        <w:rPr>
          <w:rFonts w:ascii="Arial" w:hAnsi="Arial" w:cs="Arial"/>
          <w:b/>
          <w:u w:val="single"/>
        </w:rPr>
      </w:pPr>
    </w:p>
    <w:p w14:paraId="18BB0F31" w14:textId="77777777" w:rsidR="007839D7" w:rsidRPr="00D80990" w:rsidRDefault="007839D7">
      <w:pPr>
        <w:jc w:val="both"/>
        <w:rPr>
          <w:rFonts w:ascii="Arial" w:hAnsi="Arial" w:cs="Arial"/>
          <w:b/>
          <w:u w:val="single"/>
        </w:rPr>
      </w:pPr>
    </w:p>
    <w:p w14:paraId="5B428013" w14:textId="77777777" w:rsidR="009F6E3E" w:rsidRPr="00D80990" w:rsidRDefault="007F766F">
      <w:pPr>
        <w:pStyle w:val="Titolo3"/>
      </w:pPr>
      <w:bookmarkStart w:id="51" w:name="_Toc535487614"/>
      <w:r w:rsidRPr="00D80990">
        <w:t xml:space="preserve">Entrate da titoli abitativi </w:t>
      </w:r>
      <w:r w:rsidR="00AE2698" w:rsidRPr="00D80990">
        <w:t xml:space="preserve">(proventi da permessi da costruire) </w:t>
      </w:r>
      <w:r w:rsidRPr="00D80990">
        <w:t>e relative sanzioni</w:t>
      </w:r>
      <w:bookmarkEnd w:id="51"/>
    </w:p>
    <w:p w14:paraId="2138385D" w14:textId="77777777" w:rsidR="009F6E3E" w:rsidRPr="00D80990" w:rsidRDefault="009F6E3E">
      <w:pPr>
        <w:rPr>
          <w:rFonts w:ascii="Arial" w:hAnsi="Arial" w:cs="Arial"/>
          <w:b/>
          <w:sz w:val="22"/>
          <w:u w:val="single"/>
        </w:rPr>
      </w:pPr>
    </w:p>
    <w:p w14:paraId="04D70B00" w14:textId="77777777" w:rsidR="009F6E3E" w:rsidRPr="00D80990" w:rsidRDefault="007F766F">
      <w:pPr>
        <w:jc w:val="both"/>
        <w:rPr>
          <w:rFonts w:ascii="Arial" w:hAnsi="Arial" w:cs="Arial"/>
          <w:sz w:val="22"/>
          <w:szCs w:val="22"/>
        </w:rPr>
      </w:pPr>
      <w:r w:rsidRPr="00D80990">
        <w:rPr>
          <w:rFonts w:ascii="Arial" w:hAnsi="Arial" w:cs="Arial"/>
          <w:sz w:val="22"/>
          <w:szCs w:val="22"/>
        </w:rPr>
        <w:t>La previsione delle entrate da titoli abitativi e relative sanzioni è la seguente:</w:t>
      </w:r>
    </w:p>
    <w:p w14:paraId="48CDAFDA" w14:textId="77777777" w:rsidR="009F6E3E" w:rsidRPr="00D80990" w:rsidRDefault="009F6E3E" w:rsidP="006F3CC1">
      <w:pPr>
        <w:jc w:val="center"/>
        <w:rPr>
          <w:rFonts w:ascii="Arial" w:hAnsi="Arial" w:cs="Arial"/>
          <w:sz w:val="22"/>
          <w:szCs w:val="22"/>
        </w:rPr>
      </w:pPr>
    </w:p>
    <w:p w14:paraId="15E02885" w14:textId="77777777" w:rsidR="001401A6" w:rsidRDefault="001401A6" w:rsidP="006C582D">
      <w:pPr>
        <w:jc w:val="center"/>
        <w:rPr>
          <w:rFonts w:ascii="Arial" w:hAnsi="Arial" w:cs="Arial"/>
          <w:sz w:val="22"/>
          <w:szCs w:val="22"/>
        </w:rPr>
      </w:pPr>
    </w:p>
    <w:p w14:paraId="537F467D" w14:textId="77777777" w:rsidR="006C582D" w:rsidRPr="00D80990" w:rsidRDefault="006233A2" w:rsidP="006C582D">
      <w:pPr>
        <w:jc w:val="center"/>
        <w:rPr>
          <w:rFonts w:ascii="Arial" w:hAnsi="Arial" w:cs="Arial"/>
          <w:sz w:val="22"/>
          <w:szCs w:val="22"/>
        </w:rPr>
      </w:pPr>
      <w:r w:rsidRPr="00213664">
        <w:rPr>
          <w:rFonts w:ascii="Arial" w:hAnsi="Arial" w:cs="Arial"/>
          <w:sz w:val="22"/>
          <w:szCs w:val="22"/>
        </w:rPr>
        <w:object w:dxaOrig="6534" w:dyaOrig="4338" w14:anchorId="3A2B055F">
          <v:shape id="_x0000_i1043" type="#_x0000_t75" style="width:324pt;height:3in" o:ole="">
            <v:imagedata r:id="rId52" o:title=""/>
          </v:shape>
          <o:OLEObject Type="Embed" ProgID="Excel.Sheet.12" ShapeID="_x0000_i1043" DrawAspect="Content" ObjectID="_1780988732" r:id="rId53"/>
        </w:object>
      </w:r>
    </w:p>
    <w:p w14:paraId="54C010E3" w14:textId="77777777" w:rsidR="001401A6" w:rsidRDefault="001401A6" w:rsidP="00F238B4">
      <w:pPr>
        <w:jc w:val="both"/>
        <w:rPr>
          <w:rFonts w:ascii="Arial" w:hAnsi="Arial" w:cs="Arial"/>
          <w:sz w:val="22"/>
          <w:szCs w:val="22"/>
        </w:rPr>
      </w:pPr>
    </w:p>
    <w:p w14:paraId="6754A862" w14:textId="77777777" w:rsidR="00F238B4" w:rsidRPr="00231DB1" w:rsidRDefault="00F238B4" w:rsidP="00F238B4">
      <w:pPr>
        <w:jc w:val="both"/>
        <w:rPr>
          <w:rFonts w:ascii="Arial" w:hAnsi="Arial" w:cs="Arial"/>
          <w:sz w:val="22"/>
          <w:szCs w:val="22"/>
        </w:rPr>
      </w:pPr>
      <w:r w:rsidRPr="00231DB1">
        <w:rPr>
          <w:rFonts w:ascii="Arial" w:hAnsi="Arial" w:cs="Arial"/>
          <w:sz w:val="22"/>
          <w:szCs w:val="22"/>
        </w:rPr>
        <w:t>La legge n.232/2016 art. 1 comma 460, e smiha previsto che dal 1/1/2018 le entrate da titoli abitativi e relative sanzioni siano destinati esclusivamente e senza vincoli temporali a:</w:t>
      </w:r>
    </w:p>
    <w:p w14:paraId="35CCA23A"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realizzazione e manutenzione ordinaria e straordinaria delle opere di urbanizzazione primaria e secondaria;</w:t>
      </w:r>
    </w:p>
    <w:p w14:paraId="067850C2"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risanamento di complessi edilizi compresi nei centri storici e nelle periferie degradate;</w:t>
      </w:r>
    </w:p>
    <w:p w14:paraId="50BED31B"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di riuso e di rigenerazione;</w:t>
      </w:r>
    </w:p>
    <w:p w14:paraId="43B5883A"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di demolizione di costruzioni abusive;</w:t>
      </w:r>
    </w:p>
    <w:p w14:paraId="2637F59C"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acquisizione e realizzazione di aree verdi destinate ad uso pubblico;</w:t>
      </w:r>
    </w:p>
    <w:p w14:paraId="4BD621A9"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lastRenderedPageBreak/>
        <w:t>interventi di tutela e riqualificazione dell’ambiente e del paesaggio, anche ai fini della prevenzione e della mitigazione del rischio idrogeologico e sismico e della tutela e riqualificazione del patrimonio rurale pubblico;</w:t>
      </w:r>
    </w:p>
    <w:p w14:paraId="70D62EE0"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volti a favorire l’insediamento di attività di agricoltura in ambito urbano;</w:t>
      </w:r>
    </w:p>
    <w:p w14:paraId="63D14973" w14:textId="77777777"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spese di progettazione.</w:t>
      </w:r>
    </w:p>
    <w:p w14:paraId="6EFBA734" w14:textId="77777777" w:rsidR="00F238B4" w:rsidRPr="00231DB1" w:rsidRDefault="00F238B4" w:rsidP="00F238B4">
      <w:pPr>
        <w:numPr>
          <w:ilvl w:val="12"/>
          <w:numId w:val="0"/>
        </w:numPr>
        <w:rPr>
          <w:rFonts w:ascii="Arial" w:hAnsi="Arial" w:cs="Arial"/>
          <w:sz w:val="20"/>
        </w:rPr>
      </w:pPr>
    </w:p>
    <w:p w14:paraId="474A5B58" w14:textId="77777777" w:rsidR="00F238B4" w:rsidRPr="001F0BEF" w:rsidRDefault="00F238B4" w:rsidP="00F238B4">
      <w:pPr>
        <w:numPr>
          <w:ilvl w:val="12"/>
          <w:numId w:val="0"/>
        </w:numPr>
        <w:jc w:val="both"/>
        <w:rPr>
          <w:rFonts w:ascii="Arial" w:hAnsi="Arial" w:cs="Arial"/>
          <w:sz w:val="22"/>
          <w:szCs w:val="22"/>
        </w:rPr>
      </w:pPr>
      <w:r w:rsidRPr="00231DB1">
        <w:rPr>
          <w:rFonts w:ascii="Arial" w:hAnsi="Arial" w:cs="Arial"/>
          <w:sz w:val="22"/>
          <w:szCs w:val="22"/>
        </w:rPr>
        <w:t>L'Organo di revisione ha verificato il rispetto dei vincoli di destinazione previsti dalla suddetta normativa.</w:t>
      </w:r>
    </w:p>
    <w:p w14:paraId="0A9F16B7" w14:textId="77777777" w:rsidR="009F6E3E" w:rsidRDefault="009F6E3E">
      <w:pPr>
        <w:numPr>
          <w:ilvl w:val="12"/>
          <w:numId w:val="0"/>
        </w:numPr>
        <w:jc w:val="both"/>
        <w:rPr>
          <w:rFonts w:ascii="Arial" w:hAnsi="Arial" w:cs="Arial"/>
          <w:sz w:val="20"/>
        </w:rPr>
      </w:pPr>
    </w:p>
    <w:p w14:paraId="1437127F" w14:textId="77777777" w:rsidR="00832C47" w:rsidRDefault="00832C47" w:rsidP="00832C47">
      <w:pPr>
        <w:pStyle w:val="Titolo3"/>
      </w:pPr>
      <w:bookmarkStart w:id="52" w:name="_MON_1513327445"/>
      <w:bookmarkStart w:id="53" w:name="_Cosap_(Canone_occupazione"/>
      <w:bookmarkStart w:id="54" w:name="_SPESE_CORRENTI"/>
      <w:bookmarkStart w:id="55" w:name="_Toc535487615"/>
      <w:bookmarkStart w:id="56" w:name="_Toc346838832"/>
      <w:bookmarkEnd w:id="52"/>
      <w:bookmarkEnd w:id="53"/>
      <w:bookmarkEnd w:id="54"/>
      <w:r>
        <w:t>Sanzioni amministrative da codice della strada</w:t>
      </w:r>
      <w:bookmarkEnd w:id="55"/>
    </w:p>
    <w:p w14:paraId="1FCD4577" w14:textId="77777777" w:rsidR="00832C47" w:rsidRDefault="00832C47" w:rsidP="00832C47">
      <w:pPr>
        <w:numPr>
          <w:ilvl w:val="12"/>
          <w:numId w:val="0"/>
        </w:numPr>
        <w:spacing w:after="120"/>
        <w:jc w:val="both"/>
        <w:rPr>
          <w:rFonts w:ascii="Arial" w:hAnsi="Arial" w:cs="Arial"/>
          <w:sz w:val="22"/>
          <w:szCs w:val="22"/>
        </w:rPr>
      </w:pPr>
    </w:p>
    <w:p w14:paraId="20EEA9F8"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I proventi da sanzioni amministrative sono così previsti:</w:t>
      </w:r>
    </w:p>
    <w:p w14:paraId="7EFB4A5C" w14:textId="77777777" w:rsidR="00832C47" w:rsidRDefault="006233A2" w:rsidP="00832C47">
      <w:pPr>
        <w:numPr>
          <w:ilvl w:val="12"/>
          <w:numId w:val="0"/>
        </w:numPr>
        <w:spacing w:after="120"/>
        <w:jc w:val="center"/>
        <w:rPr>
          <w:rFonts w:ascii="Arial" w:hAnsi="Arial" w:cs="Arial"/>
          <w:sz w:val="22"/>
          <w:szCs w:val="22"/>
        </w:rPr>
      </w:pPr>
      <w:r w:rsidRPr="00213664">
        <w:rPr>
          <w:rFonts w:ascii="Arial" w:hAnsi="Arial" w:cs="Arial"/>
          <w:sz w:val="22"/>
          <w:szCs w:val="22"/>
        </w:rPr>
        <w:object w:dxaOrig="8401" w:dyaOrig="2919" w14:anchorId="1F79E747">
          <v:shape id="_x0000_i1044" type="#_x0000_t75" style="width:417.75pt;height:2in" o:ole="">
            <v:imagedata r:id="rId54" o:title=""/>
          </v:shape>
          <o:OLEObject Type="Embed" ProgID="Excel.Sheet.12" ShapeID="_x0000_i1044" DrawAspect="Content" ObjectID="_1780988733" r:id="rId55"/>
        </w:object>
      </w:r>
    </w:p>
    <w:p w14:paraId="09609F44" w14:textId="77777777" w:rsidR="00832C47" w:rsidRP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La quantificazione dello stesso appare congrua in relazione all’andamento storico delle riscossioni rispetto agli accertamenti. </w:t>
      </w:r>
      <w:r w:rsidRPr="00F238B4">
        <w:rPr>
          <w:rFonts w:ascii="Arial" w:hAnsi="Arial" w:cs="Arial"/>
          <w:sz w:val="22"/>
          <w:szCs w:val="22"/>
        </w:rPr>
        <w:t xml:space="preserve">L’organo di revisione prende atto che l’ente nella determinazione del FDCE </w:t>
      </w:r>
      <w:r w:rsidRPr="00F238B4">
        <w:rPr>
          <w:rFonts w:ascii="Arial" w:hAnsi="Arial" w:cs="Arial"/>
          <w:b/>
          <w:i/>
          <w:sz w:val="22"/>
          <w:szCs w:val="22"/>
        </w:rPr>
        <w:t>ha/non</w:t>
      </w:r>
      <w:r w:rsidRPr="00F238B4">
        <w:rPr>
          <w:rFonts w:ascii="Arial" w:hAnsi="Arial" w:cs="Arial"/>
          <w:sz w:val="22"/>
          <w:szCs w:val="22"/>
        </w:rPr>
        <w:t xml:space="preserve"> ha tenuto conto delle disposizioni recate dall’art. 4 del D.L. 23.10.2018 n. 119 (Stralcio dei debiti fino a mille euro affidati agli agenti della riscossione dal 2000 al 2010).</w:t>
      </w:r>
    </w:p>
    <w:p w14:paraId="5ACAA049"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somma da assoggettare a vincoli è così distinta:</w:t>
      </w:r>
    </w:p>
    <w:p w14:paraId="2A73ED48"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euro ……………. per sanzioni ex art. 208 comma 1 del codice della strada </w:t>
      </w:r>
      <w:r w:rsidRPr="00832C47">
        <w:rPr>
          <w:rFonts w:ascii="Arial" w:hAnsi="Arial" w:cs="Arial"/>
          <w:sz w:val="22"/>
          <w:szCs w:val="22"/>
        </w:rPr>
        <w:t>(D.Lgs 30.4.1992 n. 285)</w:t>
      </w:r>
      <w:r>
        <w:rPr>
          <w:rFonts w:ascii="Arial" w:hAnsi="Arial" w:cs="Arial"/>
          <w:sz w:val="22"/>
          <w:szCs w:val="22"/>
        </w:rPr>
        <w:t>;</w:t>
      </w:r>
    </w:p>
    <w:p w14:paraId="3C62B80D"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euro ……………. per sanzioni ex art.142, comma 12 </w:t>
      </w:r>
      <w:r w:rsidRPr="00832C47">
        <w:rPr>
          <w:rFonts w:ascii="Arial" w:hAnsi="Arial" w:cs="Arial"/>
          <w:sz w:val="22"/>
          <w:szCs w:val="22"/>
        </w:rPr>
        <w:t>bis</w:t>
      </w:r>
      <w:r>
        <w:rPr>
          <w:rFonts w:ascii="Arial" w:hAnsi="Arial" w:cs="Arial"/>
          <w:sz w:val="22"/>
          <w:szCs w:val="22"/>
        </w:rPr>
        <w:t xml:space="preserve"> del codice della strada </w:t>
      </w:r>
      <w:r w:rsidRPr="00832C47">
        <w:rPr>
          <w:rFonts w:ascii="Arial" w:hAnsi="Arial" w:cs="Arial"/>
          <w:sz w:val="22"/>
          <w:szCs w:val="22"/>
        </w:rPr>
        <w:t>(D.Lgs 30.4.1992 n. 285)</w:t>
      </w:r>
      <w:r>
        <w:rPr>
          <w:rFonts w:ascii="Arial" w:hAnsi="Arial" w:cs="Arial"/>
          <w:sz w:val="22"/>
          <w:szCs w:val="22"/>
        </w:rPr>
        <w:t>.</w:t>
      </w:r>
    </w:p>
    <w:p w14:paraId="323B9CD8"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Con atto di Giunta  …… in data ……. la somma di euro …….. (previsione meno fondo) è stata destinata per il 50% negli interventi di spesa alle finalità di cui agli articoli 142 </w:t>
      </w:r>
      <w:r w:rsidRPr="00832C47">
        <w:rPr>
          <w:rFonts w:ascii="Arial" w:hAnsi="Arial" w:cs="Arial"/>
          <w:sz w:val="22"/>
          <w:szCs w:val="22"/>
        </w:rPr>
        <w:t>comma 12 ter</w:t>
      </w:r>
      <w:r>
        <w:rPr>
          <w:rFonts w:ascii="Arial" w:hAnsi="Arial" w:cs="Arial"/>
          <w:sz w:val="22"/>
          <w:szCs w:val="22"/>
        </w:rPr>
        <w:t xml:space="preserve"> e 208, comma 4 </w:t>
      </w:r>
      <w:r w:rsidRPr="00832C47">
        <w:rPr>
          <w:rFonts w:ascii="Arial" w:hAnsi="Arial" w:cs="Arial"/>
          <w:sz w:val="22"/>
          <w:szCs w:val="22"/>
        </w:rPr>
        <w:t>e comma 5 bis</w:t>
      </w:r>
      <w:r>
        <w:rPr>
          <w:rFonts w:ascii="Arial" w:hAnsi="Arial" w:cs="Arial"/>
          <w:sz w:val="22"/>
          <w:szCs w:val="22"/>
        </w:rPr>
        <w:t>, del codice della strada, come modificato dall’</w:t>
      </w:r>
      <w:r w:rsidRPr="00832C47">
        <w:rPr>
          <w:rFonts w:ascii="Arial" w:hAnsi="Arial" w:cs="Arial"/>
          <w:sz w:val="22"/>
          <w:szCs w:val="22"/>
        </w:rPr>
        <w:t>art. 40 della</w:t>
      </w:r>
      <w:r>
        <w:rPr>
          <w:rFonts w:ascii="Arial" w:hAnsi="Arial" w:cs="Arial"/>
          <w:sz w:val="22"/>
          <w:szCs w:val="22"/>
        </w:rPr>
        <w:t xml:space="preserve"> Legge n. 120 del 29/7/2010.</w:t>
      </w:r>
    </w:p>
    <w:p w14:paraId="33FCE74E"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Giunta ha destinato euro ……………….. alla previdenza ed assistenza del personale Polizia Municipale.</w:t>
      </w:r>
    </w:p>
    <w:p w14:paraId="08427734"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quota vincolata è destinata:</w:t>
      </w:r>
    </w:p>
    <w:p w14:paraId="78E3AD86"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 al titolo 1 spesa corrente per euro ………….. </w:t>
      </w:r>
    </w:p>
    <w:p w14:paraId="5184F141"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 al titolo 2 spesa in conto capitale per euro…………...</w:t>
      </w:r>
    </w:p>
    <w:p w14:paraId="742822F3" w14:textId="77777777" w:rsidR="00832C47" w:rsidRDefault="00832C47" w:rsidP="00832C47">
      <w:pPr>
        <w:numPr>
          <w:ilvl w:val="12"/>
          <w:numId w:val="0"/>
        </w:numPr>
        <w:spacing w:after="120"/>
        <w:jc w:val="both"/>
        <w:rPr>
          <w:rFonts w:ascii="Arial" w:hAnsi="Arial" w:cs="Arial"/>
          <w:sz w:val="22"/>
          <w:szCs w:val="22"/>
        </w:rPr>
      </w:pPr>
    </w:p>
    <w:p w14:paraId="42D1CA66" w14:textId="77777777" w:rsidR="00832C47" w:rsidRDefault="00832C47" w:rsidP="00832C47">
      <w:pPr>
        <w:numPr>
          <w:ilvl w:val="12"/>
          <w:numId w:val="0"/>
        </w:numPr>
        <w:spacing w:after="120"/>
        <w:jc w:val="both"/>
        <w:rPr>
          <w:rFonts w:ascii="Arial" w:hAnsi="Arial" w:cs="Arial"/>
          <w:sz w:val="22"/>
          <w:szCs w:val="22"/>
        </w:rPr>
      </w:pPr>
      <w:r w:rsidRPr="00832C47">
        <w:rPr>
          <w:rFonts w:ascii="Arial" w:hAnsi="Arial" w:cs="Arial"/>
          <w:sz w:val="22"/>
          <w:szCs w:val="22"/>
        </w:rPr>
        <w:t>L’organo di revisione ha verificato che l’ente ha/non ha correttamente suddiviso nel bilancio le risorse relative alle sanzioni amministrative da codice della strada sulla base delle indicazioni fornite con il D.M</w:t>
      </w:r>
      <w:r w:rsidR="001C1946">
        <w:rPr>
          <w:rFonts w:ascii="Arial" w:hAnsi="Arial" w:cs="Arial"/>
          <w:sz w:val="22"/>
          <w:szCs w:val="22"/>
        </w:rPr>
        <w:t>.</w:t>
      </w:r>
      <w:r w:rsidRPr="00832C47">
        <w:rPr>
          <w:rFonts w:ascii="Arial" w:hAnsi="Arial" w:cs="Arial"/>
          <w:sz w:val="22"/>
          <w:szCs w:val="22"/>
        </w:rPr>
        <w:t xml:space="preserve"> 29 agosto 2018. </w:t>
      </w:r>
    </w:p>
    <w:p w14:paraId="054E8A4B" w14:textId="77777777" w:rsidR="00480DAF" w:rsidRDefault="00480DAF" w:rsidP="00832C47">
      <w:pPr>
        <w:numPr>
          <w:ilvl w:val="12"/>
          <w:numId w:val="0"/>
        </w:numPr>
        <w:spacing w:after="120"/>
        <w:jc w:val="both"/>
        <w:rPr>
          <w:rFonts w:ascii="Arial" w:hAnsi="Arial" w:cs="Arial"/>
          <w:sz w:val="22"/>
          <w:szCs w:val="22"/>
        </w:rPr>
      </w:pPr>
    </w:p>
    <w:p w14:paraId="311C0D8E" w14:textId="77777777" w:rsidR="00480DAF" w:rsidRDefault="00480DAF" w:rsidP="00480DAF">
      <w:pPr>
        <w:jc w:val="both"/>
        <w:rPr>
          <w:rFonts w:ascii="Arial" w:hAnsi="Arial" w:cs="Arial"/>
          <w:i/>
          <w:color w:val="00B0F0"/>
          <w:sz w:val="22"/>
          <w:szCs w:val="22"/>
        </w:rPr>
      </w:pPr>
      <w:r w:rsidRPr="008B1A79">
        <w:rPr>
          <w:rFonts w:ascii="Arial" w:hAnsi="Arial" w:cs="Arial"/>
          <w:i/>
          <w:color w:val="00B0F0"/>
          <w:sz w:val="22"/>
          <w:szCs w:val="22"/>
        </w:rPr>
        <w:t xml:space="preserve">La Corte dei Conti – Sezione delle Autonomie con deliberazione n. 1/SEZAUT/2019/QMIG del 21.12.2018 ha enunciato il seguente principio di diritto: “ai fini della corretta quantificazione della </w:t>
      </w:r>
      <w:r w:rsidRPr="008B1A79">
        <w:rPr>
          <w:rFonts w:ascii="Arial" w:hAnsi="Arial" w:cs="Arial"/>
          <w:i/>
          <w:color w:val="00B0F0"/>
          <w:sz w:val="22"/>
          <w:szCs w:val="22"/>
        </w:rPr>
        <w:lastRenderedPageBreak/>
        <w:t>quota del 50 % dei proventi derivanti dall’accertamento delle violazioni dei limiti massimi di velocità, di cui all’art. 142, comma 12-bis, del d.lgs. n. 285/1992, attribuita all’ente da cui dipende l’organo accertatore, non devono essere detratte le spese per il personale impiegato nella specifica attività di controllo e di accertamento delle violazioni, le spese connesse al rilevamento, all’accertamento e alla notifica delle stese e quelle successive relative alla riscossione della sanzione”.</w:t>
      </w:r>
    </w:p>
    <w:p w14:paraId="1C40BDCE" w14:textId="77777777" w:rsidR="008B1A79" w:rsidRPr="008B1A79" w:rsidRDefault="008B1A79" w:rsidP="00480DAF">
      <w:pPr>
        <w:jc w:val="both"/>
        <w:rPr>
          <w:rFonts w:ascii="Arial" w:hAnsi="Arial" w:cs="Arial"/>
          <w:i/>
          <w:color w:val="00B0F0"/>
          <w:sz w:val="22"/>
          <w:szCs w:val="22"/>
        </w:rPr>
      </w:pPr>
    </w:p>
    <w:p w14:paraId="7ABE4AAB" w14:textId="77777777" w:rsidR="00832C47" w:rsidRDefault="00832C47" w:rsidP="00832C47">
      <w:pPr>
        <w:pStyle w:val="Titolo3"/>
      </w:pPr>
      <w:bookmarkStart w:id="57" w:name="_Toc535487616"/>
      <w:r>
        <w:t>Proventi dei beni dell’ente</w:t>
      </w:r>
      <w:bookmarkEnd w:id="57"/>
    </w:p>
    <w:p w14:paraId="71438338" w14:textId="77777777" w:rsidR="00832C47" w:rsidRDefault="00832C47" w:rsidP="00832C47">
      <w:pPr>
        <w:numPr>
          <w:ilvl w:val="12"/>
          <w:numId w:val="0"/>
        </w:numPr>
        <w:spacing w:after="120"/>
        <w:jc w:val="both"/>
        <w:rPr>
          <w:rFonts w:ascii="Arial" w:hAnsi="Arial" w:cs="Arial"/>
          <w:sz w:val="22"/>
          <w:szCs w:val="22"/>
        </w:rPr>
      </w:pPr>
    </w:p>
    <w:p w14:paraId="460DFA59"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I proventi dei beni dell’ente per locazioni, fitti attivi e canoni patrimoniali sono così previsti:</w:t>
      </w:r>
    </w:p>
    <w:p w14:paraId="2149FDAD" w14:textId="77777777" w:rsidR="00832C47" w:rsidRDefault="000E4A5C" w:rsidP="007839D7">
      <w:pPr>
        <w:numPr>
          <w:ilvl w:val="12"/>
          <w:numId w:val="0"/>
        </w:numPr>
        <w:spacing w:after="120"/>
        <w:jc w:val="center"/>
        <w:rPr>
          <w:rFonts w:ascii="Arial" w:hAnsi="Arial" w:cs="Arial"/>
          <w:sz w:val="22"/>
          <w:szCs w:val="22"/>
        </w:rPr>
      </w:pPr>
      <w:r w:rsidRPr="00213664">
        <w:rPr>
          <w:rFonts w:ascii="Arial" w:hAnsi="Arial" w:cs="Arial"/>
          <w:sz w:val="22"/>
          <w:szCs w:val="22"/>
        </w:rPr>
        <w:object w:dxaOrig="8401" w:dyaOrig="2049" w14:anchorId="22AA5980">
          <v:shape id="_x0000_i1045" type="#_x0000_t75" style="width:417.75pt;height:100.5pt" o:ole="">
            <v:imagedata r:id="rId56" o:title=""/>
          </v:shape>
          <o:OLEObject Type="Embed" ProgID="Excel.Sheet.12" ShapeID="_x0000_i1045" DrawAspect="Content" ObjectID="_1780988734" r:id="rId57"/>
        </w:object>
      </w:r>
    </w:p>
    <w:p w14:paraId="2E95AB6B" w14:textId="77777777"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quantificazione dello stesso appare congrua in relazione all’andamento storico delle riscossioni rispetto agli accertamenti.</w:t>
      </w:r>
    </w:p>
    <w:p w14:paraId="3EDDEBFB" w14:textId="77777777" w:rsidR="00832C47" w:rsidRDefault="00832C47" w:rsidP="00832C47">
      <w:pPr>
        <w:numPr>
          <w:ilvl w:val="12"/>
          <w:numId w:val="0"/>
        </w:numPr>
        <w:spacing w:after="120"/>
        <w:jc w:val="both"/>
        <w:rPr>
          <w:rFonts w:ascii="Arial" w:hAnsi="Arial" w:cs="Arial"/>
          <w:sz w:val="22"/>
          <w:szCs w:val="22"/>
        </w:rPr>
      </w:pPr>
    </w:p>
    <w:p w14:paraId="62B2DA4B" w14:textId="77777777" w:rsidR="00832C47" w:rsidRDefault="00832C47" w:rsidP="00832C47">
      <w:pPr>
        <w:pStyle w:val="Titolo3"/>
      </w:pPr>
      <w:bookmarkStart w:id="58" w:name="_Toc535487617"/>
      <w:r>
        <w:t>Proventi dei servizi pubblici</w:t>
      </w:r>
      <w:bookmarkEnd w:id="58"/>
    </w:p>
    <w:p w14:paraId="026D4E7C" w14:textId="77777777" w:rsidR="00832C47" w:rsidRDefault="00832C47" w:rsidP="00832C47">
      <w:pPr>
        <w:rPr>
          <w:rFonts w:ascii="Arial" w:hAnsi="Arial" w:cs="Arial"/>
          <w:b/>
          <w:u w:val="single"/>
        </w:rPr>
      </w:pPr>
    </w:p>
    <w:p w14:paraId="3668995A" w14:textId="77777777" w:rsidR="00832C47" w:rsidRDefault="00832C47" w:rsidP="00832C47">
      <w:pPr>
        <w:pStyle w:val="Corpodeltesto21"/>
        <w:numPr>
          <w:ilvl w:val="12"/>
          <w:numId w:val="0"/>
        </w:numPr>
        <w:rPr>
          <w:rFonts w:cs="Arial"/>
          <w:b w:val="0"/>
          <w:i w:val="0"/>
          <w:sz w:val="22"/>
          <w:szCs w:val="22"/>
        </w:rPr>
      </w:pPr>
      <w:r>
        <w:rPr>
          <w:rFonts w:cs="Arial"/>
          <w:b w:val="0"/>
          <w:i w:val="0"/>
          <w:sz w:val="22"/>
          <w:szCs w:val="22"/>
        </w:rPr>
        <w:t>Il dettaglio delle previsioni di proventi e costi dei servizi dell’ente dei servizi a domanda individuale è il seguente:</w:t>
      </w:r>
    </w:p>
    <w:p w14:paraId="65CFF546" w14:textId="77777777" w:rsidR="00832C47" w:rsidRDefault="000E4A5C" w:rsidP="00832C47">
      <w:pPr>
        <w:pStyle w:val="Corpodeltesto21"/>
        <w:numPr>
          <w:ilvl w:val="12"/>
          <w:numId w:val="0"/>
        </w:numPr>
        <w:jc w:val="center"/>
        <w:rPr>
          <w:rFonts w:cs="Arial"/>
          <w:b w:val="0"/>
          <w:i w:val="0"/>
          <w:sz w:val="22"/>
          <w:szCs w:val="22"/>
        </w:rPr>
      </w:pPr>
      <w:r w:rsidRPr="00213664">
        <w:rPr>
          <w:rFonts w:cs="Arial"/>
          <w:sz w:val="22"/>
          <w:szCs w:val="22"/>
        </w:rPr>
        <w:object w:dxaOrig="7055" w:dyaOrig="4996" w14:anchorId="7C383AA5">
          <v:shape id="_x0000_i1046" type="#_x0000_t75" style="width:352.5pt;height:252pt" o:ole="">
            <v:imagedata r:id="rId58" o:title=""/>
          </v:shape>
          <o:OLEObject Type="Embed" ProgID="Excel.Sheet.12" ShapeID="_x0000_i1046" DrawAspect="Content" ObjectID="_1780988735" r:id="rId59"/>
        </w:object>
      </w:r>
    </w:p>
    <w:p w14:paraId="76017EA1" w14:textId="77777777" w:rsidR="00832C47" w:rsidRDefault="00832C47" w:rsidP="00832C47">
      <w:pPr>
        <w:numPr>
          <w:ilvl w:val="12"/>
          <w:numId w:val="0"/>
        </w:numPr>
        <w:jc w:val="both"/>
        <w:rPr>
          <w:rFonts w:ascii="Arial" w:hAnsi="Arial" w:cs="Arial"/>
          <w:sz w:val="20"/>
        </w:rPr>
      </w:pPr>
    </w:p>
    <w:p w14:paraId="3263DE86" w14:textId="77777777" w:rsidR="008B1A79" w:rsidRDefault="008B1A79" w:rsidP="00832C47">
      <w:pPr>
        <w:jc w:val="both"/>
        <w:rPr>
          <w:rFonts w:ascii="Arial" w:hAnsi="Arial" w:cs="Arial"/>
          <w:sz w:val="22"/>
          <w:szCs w:val="22"/>
        </w:rPr>
      </w:pPr>
    </w:p>
    <w:p w14:paraId="3C5C9438" w14:textId="77777777" w:rsidR="008B1A79" w:rsidRDefault="008B1A79" w:rsidP="00832C47">
      <w:pPr>
        <w:jc w:val="both"/>
        <w:rPr>
          <w:rFonts w:ascii="Arial" w:hAnsi="Arial" w:cs="Arial"/>
          <w:sz w:val="22"/>
          <w:szCs w:val="22"/>
        </w:rPr>
      </w:pPr>
    </w:p>
    <w:p w14:paraId="46AF0481" w14:textId="77777777" w:rsidR="008B1A79" w:rsidRDefault="008B1A79" w:rsidP="00832C47">
      <w:pPr>
        <w:jc w:val="both"/>
        <w:rPr>
          <w:rFonts w:ascii="Arial" w:hAnsi="Arial" w:cs="Arial"/>
          <w:sz w:val="22"/>
          <w:szCs w:val="22"/>
        </w:rPr>
      </w:pPr>
    </w:p>
    <w:p w14:paraId="434CB2BD" w14:textId="77777777" w:rsidR="008B1A79" w:rsidRDefault="008B1A79" w:rsidP="00832C47">
      <w:pPr>
        <w:jc w:val="both"/>
        <w:rPr>
          <w:rFonts w:ascii="Arial" w:hAnsi="Arial" w:cs="Arial"/>
          <w:sz w:val="22"/>
          <w:szCs w:val="22"/>
        </w:rPr>
      </w:pPr>
    </w:p>
    <w:p w14:paraId="7071C962" w14:textId="77777777" w:rsidR="008B1A79" w:rsidRDefault="008B1A79">
      <w:pPr>
        <w:rPr>
          <w:rFonts w:ascii="Arial" w:hAnsi="Arial" w:cs="Arial"/>
          <w:sz w:val="22"/>
          <w:szCs w:val="22"/>
        </w:rPr>
      </w:pPr>
    </w:p>
    <w:p w14:paraId="5847B4CD" w14:textId="77777777" w:rsidR="008B1A79" w:rsidRDefault="008B1A79" w:rsidP="00832C47">
      <w:pPr>
        <w:jc w:val="both"/>
        <w:rPr>
          <w:rFonts w:ascii="Arial" w:hAnsi="Arial" w:cs="Arial"/>
          <w:sz w:val="22"/>
          <w:szCs w:val="22"/>
        </w:rPr>
      </w:pPr>
    </w:p>
    <w:p w14:paraId="51F01495" w14:textId="77777777" w:rsidR="008B1A79" w:rsidRDefault="008B1A79" w:rsidP="00832C47">
      <w:pPr>
        <w:jc w:val="both"/>
        <w:rPr>
          <w:rFonts w:ascii="Arial" w:hAnsi="Arial" w:cs="Arial"/>
          <w:sz w:val="22"/>
          <w:szCs w:val="22"/>
        </w:rPr>
      </w:pPr>
    </w:p>
    <w:p w14:paraId="0252787E" w14:textId="77777777" w:rsidR="00832C47" w:rsidRDefault="00832C47" w:rsidP="00832C47">
      <w:pPr>
        <w:jc w:val="both"/>
        <w:rPr>
          <w:rFonts w:ascii="Arial" w:hAnsi="Arial" w:cs="Arial"/>
          <w:sz w:val="22"/>
          <w:szCs w:val="22"/>
        </w:rPr>
      </w:pPr>
      <w:r>
        <w:rPr>
          <w:rFonts w:ascii="Arial" w:hAnsi="Arial" w:cs="Arial"/>
          <w:sz w:val="22"/>
          <w:szCs w:val="22"/>
        </w:rPr>
        <w:t>Il Fondo Crediti di Dubbia Esigibilità (FCDE) in corrispondenza delle previsioni di cui sopra è così quantificato:</w:t>
      </w:r>
    </w:p>
    <w:p w14:paraId="30E51D84" w14:textId="77777777" w:rsidR="00832C47" w:rsidRDefault="00832C47" w:rsidP="00832C47">
      <w:pPr>
        <w:jc w:val="both"/>
        <w:rPr>
          <w:rFonts w:ascii="Arial" w:hAnsi="Arial" w:cs="Arial"/>
          <w:sz w:val="22"/>
          <w:szCs w:val="22"/>
        </w:rPr>
      </w:pPr>
    </w:p>
    <w:p w14:paraId="60AA1D15" w14:textId="77777777" w:rsidR="00832C47" w:rsidRDefault="000E4A5C" w:rsidP="00832C47">
      <w:pPr>
        <w:jc w:val="center"/>
        <w:rPr>
          <w:rFonts w:ascii="Arial" w:hAnsi="Arial" w:cs="Arial"/>
          <w:b/>
          <w:u w:val="single"/>
        </w:rPr>
      </w:pPr>
      <w:r w:rsidRPr="00213664">
        <w:rPr>
          <w:rFonts w:cs="Arial"/>
          <w:sz w:val="22"/>
          <w:szCs w:val="22"/>
        </w:rPr>
        <w:object w:dxaOrig="11070" w:dyaOrig="4795" w14:anchorId="142EC028">
          <v:shape id="_x0000_i1047" type="#_x0000_t75" style="width:483pt;height:208.5pt" o:ole="">
            <v:imagedata r:id="rId60" o:title=""/>
          </v:shape>
          <o:OLEObject Type="Embed" ProgID="Excel.Sheet.12" ShapeID="_x0000_i1047" DrawAspect="Content" ObjectID="_1780988736" r:id="rId61"/>
        </w:object>
      </w:r>
    </w:p>
    <w:p w14:paraId="792A8E16" w14:textId="77777777" w:rsidR="00832C47" w:rsidRDefault="00832C47" w:rsidP="00832C47">
      <w:pPr>
        <w:rPr>
          <w:rFonts w:ascii="Arial" w:hAnsi="Arial" w:cs="Arial"/>
          <w:b/>
          <w:u w:val="single"/>
        </w:rPr>
      </w:pPr>
      <w:r>
        <w:rPr>
          <w:rFonts w:ascii="Arial" w:hAnsi="Arial" w:cs="Arial"/>
          <w:sz w:val="22"/>
          <w:szCs w:val="22"/>
        </w:rPr>
        <w:t>La quantificazione dello stesso appare congrua in relazione all’andamento storico delle riscossioni rispetto agli accertamenti.</w:t>
      </w:r>
    </w:p>
    <w:p w14:paraId="7099CB90" w14:textId="77777777" w:rsidR="00832C47" w:rsidRDefault="00832C47" w:rsidP="00832C47">
      <w:pPr>
        <w:rPr>
          <w:rFonts w:ascii="Arial" w:hAnsi="Arial" w:cs="Arial"/>
          <w:b/>
          <w:u w:val="single"/>
        </w:rPr>
      </w:pPr>
    </w:p>
    <w:p w14:paraId="572350F7" w14:textId="77777777" w:rsidR="00832C47" w:rsidRDefault="00832C47" w:rsidP="00832C47">
      <w:pPr>
        <w:numPr>
          <w:ilvl w:val="12"/>
          <w:numId w:val="0"/>
        </w:numPr>
        <w:jc w:val="both"/>
        <w:rPr>
          <w:rFonts w:ascii="Arial" w:hAnsi="Arial" w:cs="Arial"/>
          <w:sz w:val="22"/>
          <w:szCs w:val="22"/>
        </w:rPr>
      </w:pPr>
      <w:r>
        <w:rPr>
          <w:rFonts w:ascii="Arial" w:hAnsi="Arial" w:cs="Arial"/>
          <w:sz w:val="22"/>
          <w:szCs w:val="22"/>
        </w:rPr>
        <w:t>L’organo esecutivo con deliberazione n. ……. del ………., allegata al  bilancio, ha determinato la percentuale complessiva di copertura dei servizi a domanda individuale nella misura del …. %.</w:t>
      </w:r>
    </w:p>
    <w:p w14:paraId="00E6051A" w14:textId="77777777" w:rsidR="00832C47" w:rsidRDefault="00832C47" w:rsidP="00832C47">
      <w:pPr>
        <w:jc w:val="both"/>
        <w:rPr>
          <w:rFonts w:ascii="Arial" w:hAnsi="Arial" w:cs="Arial"/>
          <w:sz w:val="22"/>
          <w:szCs w:val="22"/>
        </w:rPr>
      </w:pPr>
      <w:r>
        <w:rPr>
          <w:rFonts w:ascii="Arial" w:hAnsi="Arial" w:cs="Arial"/>
          <w:sz w:val="22"/>
          <w:szCs w:val="22"/>
        </w:rPr>
        <w:t>Sulla base dei dati di cui sopra e tenuto conto del dato storico sulla parziale esigibilità delle rette e contribuzione per i servizi pubblici a domanda è previsto nella spesa un fondo svalutazione crediti di euro ……</w:t>
      </w:r>
    </w:p>
    <w:p w14:paraId="135E631B" w14:textId="77777777" w:rsidR="00832C47" w:rsidRDefault="00832C47" w:rsidP="00832C47">
      <w:pPr>
        <w:numPr>
          <w:ilvl w:val="12"/>
          <w:numId w:val="0"/>
        </w:numPr>
        <w:jc w:val="both"/>
        <w:rPr>
          <w:rFonts w:ascii="Arial" w:hAnsi="Arial" w:cs="Arial"/>
          <w:sz w:val="22"/>
          <w:szCs w:val="22"/>
        </w:rPr>
      </w:pPr>
    </w:p>
    <w:p w14:paraId="270CC02E" w14:textId="77777777" w:rsidR="00832C47" w:rsidRDefault="00832C47" w:rsidP="00832C47">
      <w:pPr>
        <w:numPr>
          <w:ilvl w:val="12"/>
          <w:numId w:val="0"/>
        </w:numPr>
        <w:jc w:val="both"/>
        <w:rPr>
          <w:rFonts w:ascii="Arial" w:hAnsi="Arial" w:cs="Arial"/>
          <w:sz w:val="22"/>
          <w:szCs w:val="22"/>
        </w:rPr>
      </w:pPr>
      <w:r>
        <w:rPr>
          <w:rFonts w:ascii="Arial" w:hAnsi="Arial" w:cs="Arial"/>
          <w:sz w:val="22"/>
          <w:szCs w:val="22"/>
        </w:rPr>
        <w:t>In merito si osserva:  …………………………..</w:t>
      </w:r>
    </w:p>
    <w:p w14:paraId="2F355AA0" w14:textId="77777777" w:rsidR="00832C47" w:rsidRDefault="00832C47" w:rsidP="00832C47">
      <w:pPr>
        <w:numPr>
          <w:ilvl w:val="12"/>
          <w:numId w:val="0"/>
        </w:numPr>
        <w:jc w:val="both"/>
        <w:rPr>
          <w:rFonts w:ascii="Arial" w:hAnsi="Arial" w:cs="Arial"/>
          <w:b/>
          <w:color w:val="FF0000"/>
          <w:sz w:val="22"/>
          <w:szCs w:val="22"/>
        </w:rPr>
      </w:pPr>
    </w:p>
    <w:p w14:paraId="2CE266E8" w14:textId="77777777" w:rsidR="00832C47" w:rsidRDefault="00832C47" w:rsidP="00832C47">
      <w:pPr>
        <w:numPr>
          <w:ilvl w:val="12"/>
          <w:numId w:val="0"/>
        </w:numPr>
        <w:jc w:val="both"/>
        <w:rPr>
          <w:rFonts w:ascii="Arial" w:hAnsi="Arial" w:cs="Arial"/>
          <w:sz w:val="22"/>
          <w:szCs w:val="22"/>
        </w:rPr>
      </w:pPr>
      <w:r>
        <w:rPr>
          <w:rFonts w:ascii="Arial" w:hAnsi="Arial" w:cs="Arial"/>
          <w:sz w:val="22"/>
          <w:szCs w:val="22"/>
        </w:rPr>
        <w:t xml:space="preserve">L’organo di revisione prende atto che l’ente </w:t>
      </w:r>
      <w:r>
        <w:rPr>
          <w:rFonts w:ascii="Arial" w:hAnsi="Arial" w:cs="Arial"/>
          <w:b/>
          <w:i/>
          <w:sz w:val="22"/>
          <w:szCs w:val="22"/>
        </w:rPr>
        <w:t>ha/non ha</w:t>
      </w:r>
      <w:r>
        <w:rPr>
          <w:rFonts w:ascii="Arial" w:hAnsi="Arial" w:cs="Arial"/>
          <w:sz w:val="22"/>
          <w:szCs w:val="22"/>
        </w:rPr>
        <w:t xml:space="preserve"> provveduto ad adeguare le seguenti tariffe:…………</w:t>
      </w:r>
    </w:p>
    <w:p w14:paraId="0492AC03" w14:textId="77777777" w:rsidR="008B1A79" w:rsidRDefault="008B1A79" w:rsidP="00832C47">
      <w:pPr>
        <w:numPr>
          <w:ilvl w:val="12"/>
          <w:numId w:val="0"/>
        </w:numPr>
        <w:jc w:val="both"/>
        <w:rPr>
          <w:rFonts w:ascii="Arial" w:hAnsi="Arial" w:cs="Arial"/>
          <w:sz w:val="22"/>
          <w:szCs w:val="22"/>
        </w:rPr>
      </w:pPr>
    </w:p>
    <w:p w14:paraId="09DDA322" w14:textId="77777777" w:rsidR="008B1A79" w:rsidRDefault="008B1A79" w:rsidP="00832C47">
      <w:pPr>
        <w:numPr>
          <w:ilvl w:val="12"/>
          <w:numId w:val="0"/>
        </w:numPr>
        <w:jc w:val="both"/>
        <w:rPr>
          <w:rFonts w:ascii="Arial" w:hAnsi="Arial" w:cs="Arial"/>
          <w:sz w:val="22"/>
          <w:szCs w:val="22"/>
        </w:rPr>
      </w:pPr>
    </w:p>
    <w:p w14:paraId="16C7F561" w14:textId="77777777" w:rsidR="008B1A79" w:rsidRDefault="008B1A79" w:rsidP="00832C47">
      <w:pPr>
        <w:numPr>
          <w:ilvl w:val="12"/>
          <w:numId w:val="0"/>
        </w:numPr>
        <w:jc w:val="both"/>
        <w:rPr>
          <w:rFonts w:ascii="Arial" w:hAnsi="Arial" w:cs="Arial"/>
          <w:sz w:val="22"/>
          <w:szCs w:val="22"/>
        </w:rPr>
      </w:pPr>
    </w:p>
    <w:p w14:paraId="101D57E8" w14:textId="77777777" w:rsidR="008B1A79" w:rsidRDefault="008B1A79" w:rsidP="00832C47">
      <w:pPr>
        <w:numPr>
          <w:ilvl w:val="12"/>
          <w:numId w:val="0"/>
        </w:numPr>
        <w:jc w:val="both"/>
        <w:rPr>
          <w:rFonts w:ascii="Arial" w:hAnsi="Arial" w:cs="Arial"/>
          <w:sz w:val="22"/>
          <w:szCs w:val="22"/>
        </w:rPr>
      </w:pPr>
    </w:p>
    <w:p w14:paraId="50C209F4" w14:textId="77777777" w:rsidR="008B1A79" w:rsidRDefault="008B1A79" w:rsidP="00832C47">
      <w:pPr>
        <w:numPr>
          <w:ilvl w:val="12"/>
          <w:numId w:val="0"/>
        </w:numPr>
        <w:jc w:val="both"/>
        <w:rPr>
          <w:rFonts w:ascii="Arial" w:hAnsi="Arial" w:cs="Arial"/>
          <w:sz w:val="22"/>
          <w:szCs w:val="22"/>
        </w:rPr>
      </w:pPr>
    </w:p>
    <w:p w14:paraId="3F04AD58" w14:textId="77777777" w:rsidR="008B1A79" w:rsidRDefault="008B1A79" w:rsidP="00832C47">
      <w:pPr>
        <w:numPr>
          <w:ilvl w:val="12"/>
          <w:numId w:val="0"/>
        </w:numPr>
        <w:jc w:val="both"/>
        <w:rPr>
          <w:rFonts w:ascii="Arial" w:hAnsi="Arial" w:cs="Arial"/>
          <w:sz w:val="22"/>
          <w:szCs w:val="22"/>
        </w:rPr>
      </w:pPr>
    </w:p>
    <w:p w14:paraId="317AE714" w14:textId="77777777" w:rsidR="008B1A79" w:rsidRDefault="008B1A79" w:rsidP="00832C47">
      <w:pPr>
        <w:numPr>
          <w:ilvl w:val="12"/>
          <w:numId w:val="0"/>
        </w:numPr>
        <w:jc w:val="both"/>
        <w:rPr>
          <w:rFonts w:ascii="Arial" w:hAnsi="Arial" w:cs="Arial"/>
          <w:sz w:val="22"/>
          <w:szCs w:val="22"/>
        </w:rPr>
      </w:pPr>
    </w:p>
    <w:p w14:paraId="52FFC980" w14:textId="77777777" w:rsidR="008B1A79" w:rsidRDefault="008B1A79" w:rsidP="00832C47">
      <w:pPr>
        <w:numPr>
          <w:ilvl w:val="12"/>
          <w:numId w:val="0"/>
        </w:numPr>
        <w:jc w:val="both"/>
        <w:rPr>
          <w:rFonts w:ascii="Arial" w:hAnsi="Arial" w:cs="Arial"/>
          <w:sz w:val="22"/>
          <w:szCs w:val="22"/>
        </w:rPr>
      </w:pPr>
    </w:p>
    <w:p w14:paraId="39E2082B" w14:textId="77777777" w:rsidR="008B1A79" w:rsidRDefault="008B1A79" w:rsidP="00832C47">
      <w:pPr>
        <w:numPr>
          <w:ilvl w:val="12"/>
          <w:numId w:val="0"/>
        </w:numPr>
        <w:jc w:val="both"/>
        <w:rPr>
          <w:rFonts w:ascii="Arial" w:hAnsi="Arial" w:cs="Arial"/>
          <w:sz w:val="22"/>
          <w:szCs w:val="22"/>
        </w:rPr>
      </w:pPr>
    </w:p>
    <w:p w14:paraId="2F603D34" w14:textId="77777777" w:rsidR="008B1A79" w:rsidRDefault="008B1A79" w:rsidP="00832C47">
      <w:pPr>
        <w:numPr>
          <w:ilvl w:val="12"/>
          <w:numId w:val="0"/>
        </w:numPr>
        <w:jc w:val="both"/>
        <w:rPr>
          <w:rFonts w:ascii="Arial" w:hAnsi="Arial" w:cs="Arial"/>
          <w:sz w:val="22"/>
          <w:szCs w:val="22"/>
        </w:rPr>
      </w:pPr>
    </w:p>
    <w:p w14:paraId="1A18B6BB" w14:textId="77777777" w:rsidR="008B1A79" w:rsidRDefault="008B1A79" w:rsidP="00832C47">
      <w:pPr>
        <w:numPr>
          <w:ilvl w:val="12"/>
          <w:numId w:val="0"/>
        </w:numPr>
        <w:jc w:val="both"/>
        <w:rPr>
          <w:rFonts w:ascii="Arial" w:hAnsi="Arial" w:cs="Arial"/>
          <w:sz w:val="22"/>
          <w:szCs w:val="22"/>
        </w:rPr>
      </w:pPr>
    </w:p>
    <w:p w14:paraId="4126D84F" w14:textId="77777777" w:rsidR="008B1A79" w:rsidRDefault="008B1A79" w:rsidP="00832C47">
      <w:pPr>
        <w:numPr>
          <w:ilvl w:val="12"/>
          <w:numId w:val="0"/>
        </w:numPr>
        <w:jc w:val="both"/>
        <w:rPr>
          <w:rFonts w:ascii="Arial" w:hAnsi="Arial" w:cs="Arial"/>
          <w:sz w:val="22"/>
          <w:szCs w:val="22"/>
        </w:rPr>
      </w:pPr>
    </w:p>
    <w:p w14:paraId="0A452745" w14:textId="77777777" w:rsidR="008B1A79" w:rsidRDefault="008B1A79" w:rsidP="00832C47">
      <w:pPr>
        <w:numPr>
          <w:ilvl w:val="12"/>
          <w:numId w:val="0"/>
        </w:numPr>
        <w:jc w:val="both"/>
        <w:rPr>
          <w:rFonts w:ascii="Arial" w:hAnsi="Arial" w:cs="Arial"/>
          <w:sz w:val="22"/>
          <w:szCs w:val="22"/>
        </w:rPr>
      </w:pPr>
    </w:p>
    <w:p w14:paraId="1A002A01" w14:textId="77777777" w:rsidR="008B1A79" w:rsidRDefault="008B1A79" w:rsidP="00832C47">
      <w:pPr>
        <w:numPr>
          <w:ilvl w:val="12"/>
          <w:numId w:val="0"/>
        </w:numPr>
        <w:jc w:val="both"/>
        <w:rPr>
          <w:rFonts w:ascii="Arial" w:hAnsi="Arial" w:cs="Arial"/>
          <w:sz w:val="22"/>
          <w:szCs w:val="22"/>
        </w:rPr>
      </w:pPr>
    </w:p>
    <w:p w14:paraId="13583B16" w14:textId="77777777" w:rsidR="008B1A79" w:rsidRDefault="008B1A79" w:rsidP="00832C47">
      <w:pPr>
        <w:numPr>
          <w:ilvl w:val="12"/>
          <w:numId w:val="0"/>
        </w:numPr>
        <w:jc w:val="both"/>
        <w:rPr>
          <w:rFonts w:ascii="Arial" w:hAnsi="Arial" w:cs="Arial"/>
          <w:sz w:val="22"/>
          <w:szCs w:val="22"/>
        </w:rPr>
      </w:pPr>
    </w:p>
    <w:p w14:paraId="3ADF82D9" w14:textId="77777777" w:rsidR="008B1A79" w:rsidRDefault="008B1A79" w:rsidP="00832C47">
      <w:pPr>
        <w:numPr>
          <w:ilvl w:val="12"/>
          <w:numId w:val="0"/>
        </w:numPr>
        <w:jc w:val="both"/>
        <w:rPr>
          <w:rFonts w:ascii="Arial" w:hAnsi="Arial" w:cs="Arial"/>
          <w:sz w:val="22"/>
          <w:szCs w:val="22"/>
        </w:rPr>
      </w:pPr>
    </w:p>
    <w:p w14:paraId="2BABA017" w14:textId="77777777" w:rsidR="008B1A79" w:rsidRDefault="008B1A79" w:rsidP="00832C47">
      <w:pPr>
        <w:numPr>
          <w:ilvl w:val="12"/>
          <w:numId w:val="0"/>
        </w:numPr>
        <w:jc w:val="both"/>
        <w:rPr>
          <w:rFonts w:ascii="Arial" w:hAnsi="Arial" w:cs="Arial"/>
          <w:sz w:val="22"/>
          <w:szCs w:val="22"/>
        </w:rPr>
      </w:pPr>
    </w:p>
    <w:p w14:paraId="7229635A" w14:textId="77777777" w:rsidR="008B1A79" w:rsidRDefault="008B1A79" w:rsidP="00832C47">
      <w:pPr>
        <w:numPr>
          <w:ilvl w:val="12"/>
          <w:numId w:val="0"/>
        </w:numPr>
        <w:jc w:val="both"/>
        <w:rPr>
          <w:rFonts w:ascii="Arial" w:hAnsi="Arial" w:cs="Arial"/>
          <w:sz w:val="22"/>
          <w:szCs w:val="22"/>
        </w:rPr>
      </w:pPr>
    </w:p>
    <w:p w14:paraId="38D55B19" w14:textId="77777777" w:rsidR="008B1A79" w:rsidRDefault="008B1A79" w:rsidP="00832C47">
      <w:pPr>
        <w:numPr>
          <w:ilvl w:val="12"/>
          <w:numId w:val="0"/>
        </w:numPr>
        <w:jc w:val="both"/>
        <w:rPr>
          <w:rFonts w:ascii="Arial" w:hAnsi="Arial" w:cs="Arial"/>
          <w:sz w:val="22"/>
          <w:szCs w:val="22"/>
        </w:rPr>
      </w:pPr>
    </w:p>
    <w:p w14:paraId="6C149B08" w14:textId="77777777" w:rsidR="008B1A79" w:rsidRDefault="008B1A79">
      <w:pPr>
        <w:rPr>
          <w:rFonts w:ascii="Arial" w:hAnsi="Arial" w:cs="Arial"/>
          <w:sz w:val="22"/>
          <w:szCs w:val="22"/>
        </w:rPr>
      </w:pPr>
      <w:r>
        <w:rPr>
          <w:rFonts w:ascii="Arial" w:hAnsi="Arial" w:cs="Arial"/>
          <w:sz w:val="22"/>
          <w:szCs w:val="22"/>
        </w:rPr>
        <w:br w:type="page"/>
      </w:r>
    </w:p>
    <w:p w14:paraId="6D8C70A6" w14:textId="77777777" w:rsidR="009F6E3E" w:rsidRPr="00D80990" w:rsidRDefault="007F766F">
      <w:pPr>
        <w:pStyle w:val="Titolo2"/>
      </w:pPr>
      <w:bookmarkStart w:id="59" w:name="_Toc535487618"/>
      <w:r w:rsidRPr="00D80990">
        <w:lastRenderedPageBreak/>
        <w:t>B) SPESE PER TITOLI E MACROAGGREGATI</w:t>
      </w:r>
      <w:bookmarkEnd w:id="56"/>
      <w:bookmarkEnd w:id="59"/>
    </w:p>
    <w:p w14:paraId="3FCA7C20" w14:textId="77777777" w:rsidR="009F6E3E" w:rsidRPr="00D80990" w:rsidRDefault="009F6E3E">
      <w:pPr>
        <w:rPr>
          <w:rFonts w:ascii="Arial" w:hAnsi="Arial" w:cs="Arial"/>
          <w:sz w:val="22"/>
          <w:szCs w:val="22"/>
        </w:rPr>
      </w:pPr>
    </w:p>
    <w:p w14:paraId="5608C026" w14:textId="77777777" w:rsidR="009F6E3E" w:rsidRPr="00D80990" w:rsidRDefault="007F766F">
      <w:pPr>
        <w:jc w:val="both"/>
        <w:rPr>
          <w:rFonts w:ascii="Arial" w:hAnsi="Arial" w:cs="Arial"/>
          <w:sz w:val="22"/>
          <w:szCs w:val="22"/>
        </w:rPr>
      </w:pPr>
      <w:r w:rsidRPr="00D80990">
        <w:rPr>
          <w:rFonts w:ascii="Arial" w:hAnsi="Arial" w:cs="Arial"/>
          <w:sz w:val="22"/>
          <w:szCs w:val="22"/>
        </w:rPr>
        <w:t>L</w:t>
      </w:r>
      <w:r w:rsidR="00D80990">
        <w:rPr>
          <w:rFonts w:ascii="Arial" w:hAnsi="Arial" w:cs="Arial"/>
          <w:sz w:val="22"/>
          <w:szCs w:val="22"/>
        </w:rPr>
        <w:t>e previsioni degli esercizi 2019-2021</w:t>
      </w:r>
      <w:r w:rsidRPr="00D80990">
        <w:rPr>
          <w:rFonts w:ascii="Arial" w:hAnsi="Arial" w:cs="Arial"/>
          <w:sz w:val="22"/>
          <w:szCs w:val="22"/>
        </w:rPr>
        <w:t xml:space="preserve"> per macroaggregati di spesa corrente confrontate con la spesa risultante dalla previsione definitiva 201</w:t>
      </w:r>
      <w:r w:rsidR="00D80990">
        <w:rPr>
          <w:rFonts w:ascii="Arial" w:hAnsi="Arial" w:cs="Arial"/>
          <w:sz w:val="22"/>
          <w:szCs w:val="22"/>
        </w:rPr>
        <w:t>8</w:t>
      </w:r>
      <w:r w:rsidRPr="00D80990">
        <w:rPr>
          <w:rFonts w:ascii="Arial" w:hAnsi="Arial" w:cs="Arial"/>
          <w:sz w:val="22"/>
          <w:szCs w:val="22"/>
        </w:rPr>
        <w:t xml:space="preserve"> è la seguente:</w:t>
      </w:r>
    </w:p>
    <w:p w14:paraId="28C05A8E" w14:textId="77777777" w:rsidR="009F6E3E" w:rsidRPr="00D80990" w:rsidRDefault="009F6E3E">
      <w:pPr>
        <w:rPr>
          <w:rFonts w:ascii="Arial" w:hAnsi="Arial" w:cs="Arial"/>
          <w:sz w:val="22"/>
          <w:szCs w:val="22"/>
        </w:rPr>
      </w:pPr>
    </w:p>
    <w:p w14:paraId="765ED0E0" w14:textId="77777777" w:rsidR="009F6E3E" w:rsidRPr="00D80990" w:rsidRDefault="007F766F">
      <w:pPr>
        <w:rPr>
          <w:rFonts w:ascii="Arial" w:hAnsi="Arial" w:cs="Arial"/>
          <w:i/>
          <w:sz w:val="22"/>
          <w:szCs w:val="22"/>
          <w:u w:val="single"/>
        </w:rPr>
      </w:pPr>
      <w:r w:rsidRPr="00D80990">
        <w:rPr>
          <w:rFonts w:ascii="Arial" w:hAnsi="Arial" w:cs="Arial"/>
          <w:i/>
          <w:sz w:val="22"/>
          <w:szCs w:val="22"/>
          <w:u w:val="single"/>
        </w:rPr>
        <w:t>Sviluppo previsione per aggregati di spesa:</w:t>
      </w:r>
    </w:p>
    <w:p w14:paraId="2E8012AB" w14:textId="77777777" w:rsidR="009F6E3E" w:rsidRPr="00D80990" w:rsidRDefault="009F6E3E">
      <w:pPr>
        <w:spacing w:after="120"/>
        <w:jc w:val="both"/>
        <w:rPr>
          <w:rFonts w:ascii="Arial" w:hAnsi="Arial" w:cs="Arial"/>
          <w:b/>
          <w:i/>
          <w:color w:val="0000FF"/>
          <w:sz w:val="18"/>
          <w:szCs w:val="18"/>
        </w:rPr>
      </w:pPr>
      <w:bookmarkStart w:id="60" w:name="_MON_1513321737"/>
      <w:bookmarkEnd w:id="60"/>
    </w:p>
    <w:p w14:paraId="0258F62D" w14:textId="77777777" w:rsidR="009F6E3E" w:rsidRPr="00D80990" w:rsidRDefault="00EE41C1" w:rsidP="00E518B7">
      <w:pPr>
        <w:spacing w:after="120"/>
        <w:jc w:val="center"/>
        <w:rPr>
          <w:rFonts w:ascii="Arial" w:hAnsi="Arial" w:cs="Arial"/>
          <w:sz w:val="22"/>
          <w:szCs w:val="22"/>
        </w:rPr>
      </w:pPr>
      <w:r w:rsidRPr="00213664">
        <w:rPr>
          <w:rFonts w:cs="Arial"/>
          <w:sz w:val="22"/>
          <w:szCs w:val="22"/>
        </w:rPr>
        <w:object w:dxaOrig="10360" w:dyaOrig="4078" w14:anchorId="608E8DE1">
          <v:shape id="_x0000_i1048" type="#_x0000_t75" style="width:518.25pt;height:201.75pt" o:ole="">
            <v:imagedata r:id="rId62" o:title=""/>
          </v:shape>
          <o:OLEObject Type="Embed" ProgID="Excel.Sheet.12" ShapeID="_x0000_i1048" DrawAspect="Content" ObjectID="_1780988737" r:id="rId63"/>
        </w:object>
      </w:r>
    </w:p>
    <w:p w14:paraId="29E8DDD6" w14:textId="77777777" w:rsidR="009F6E3E" w:rsidRPr="00D80990" w:rsidRDefault="007F766F">
      <w:pPr>
        <w:pStyle w:val="Titolo3"/>
      </w:pPr>
      <w:bookmarkStart w:id="61" w:name="_Toc535487619"/>
      <w:r w:rsidRPr="00D80990">
        <w:t>Spese di personale</w:t>
      </w:r>
      <w:bookmarkEnd w:id="61"/>
    </w:p>
    <w:p w14:paraId="65932B24" w14:textId="77777777" w:rsidR="009F6E3E" w:rsidRPr="00D80990" w:rsidRDefault="009F6E3E">
      <w:pPr>
        <w:tabs>
          <w:tab w:val="left" w:pos="720"/>
        </w:tabs>
        <w:rPr>
          <w:rFonts w:ascii="Arial" w:hAnsi="Arial" w:cs="Arial"/>
          <w:i/>
          <w:sz w:val="22"/>
          <w:szCs w:val="22"/>
        </w:rPr>
      </w:pPr>
    </w:p>
    <w:p w14:paraId="59EAF119" w14:textId="77777777" w:rsidR="00136623" w:rsidRPr="00D80990" w:rsidRDefault="00136623" w:rsidP="00136623">
      <w:pPr>
        <w:jc w:val="both"/>
        <w:rPr>
          <w:rFonts w:ascii="Arial" w:hAnsi="Arial" w:cs="Arial"/>
          <w:sz w:val="22"/>
          <w:szCs w:val="22"/>
        </w:rPr>
      </w:pPr>
      <w:r w:rsidRPr="00D80990">
        <w:rPr>
          <w:rFonts w:ascii="Arial" w:hAnsi="Arial" w:cs="Arial"/>
          <w:sz w:val="22"/>
          <w:szCs w:val="22"/>
        </w:rPr>
        <w:t xml:space="preserve">La spesa per redditi di lavoro dipendente prevista per gli esercizi </w:t>
      </w:r>
      <w:r>
        <w:rPr>
          <w:rFonts w:ascii="Arial" w:hAnsi="Arial" w:cs="Arial"/>
          <w:sz w:val="22"/>
          <w:szCs w:val="22"/>
        </w:rPr>
        <w:t>2019-2021</w:t>
      </w:r>
      <w:r w:rsidRPr="00D80990">
        <w:rPr>
          <w:rFonts w:ascii="Arial" w:hAnsi="Arial" w:cs="Arial"/>
          <w:sz w:val="22"/>
          <w:szCs w:val="22"/>
        </w:rPr>
        <w:t xml:space="preserve">, tiene conto </w:t>
      </w:r>
      <w:r>
        <w:rPr>
          <w:rFonts w:ascii="Arial" w:hAnsi="Arial" w:cs="Arial"/>
          <w:sz w:val="22"/>
          <w:szCs w:val="22"/>
        </w:rPr>
        <w:t>delle assunzioni previste nella programmazione del fabbisogno e risulta coerente:</w:t>
      </w:r>
    </w:p>
    <w:p w14:paraId="253030F0" w14:textId="77777777" w:rsidR="00136623" w:rsidRPr="00130DD4" w:rsidRDefault="00136623" w:rsidP="00136623">
      <w:pPr>
        <w:numPr>
          <w:ilvl w:val="0"/>
          <w:numId w:val="17"/>
        </w:numPr>
        <w:tabs>
          <w:tab w:val="left" w:pos="360"/>
        </w:tabs>
        <w:spacing w:before="120"/>
        <w:jc w:val="both"/>
        <w:rPr>
          <w:rFonts w:ascii="Arial" w:hAnsi="Arial" w:cs="Arial"/>
          <w:sz w:val="22"/>
          <w:szCs w:val="22"/>
        </w:rPr>
      </w:pPr>
      <w:r>
        <w:rPr>
          <w:rFonts w:ascii="Arial" w:hAnsi="Arial" w:cs="Arial"/>
          <w:sz w:val="22"/>
          <w:szCs w:val="22"/>
        </w:rPr>
        <w:t xml:space="preserve">con </w:t>
      </w:r>
      <w:r w:rsidRPr="00D80990">
        <w:rPr>
          <w:rFonts w:ascii="Arial" w:hAnsi="Arial" w:cs="Arial"/>
          <w:sz w:val="22"/>
          <w:szCs w:val="22"/>
        </w:rPr>
        <w:t xml:space="preserve">l’obbligo di riduzione della spesa di personale disposto dall’art. 1 comma 557 della Legge 296/2006 </w:t>
      </w:r>
      <w:r>
        <w:rPr>
          <w:rFonts w:ascii="Arial" w:hAnsi="Arial" w:cs="Arial"/>
          <w:sz w:val="22"/>
          <w:szCs w:val="22"/>
        </w:rPr>
        <w:t>rispetto</w:t>
      </w:r>
      <w:r w:rsidRPr="00D80990">
        <w:rPr>
          <w:rFonts w:ascii="Arial" w:hAnsi="Arial" w:cs="Arial"/>
          <w:sz w:val="22"/>
          <w:szCs w:val="22"/>
        </w:rPr>
        <w:t xml:space="preserve"> a</w:t>
      </w:r>
      <w:r>
        <w:rPr>
          <w:rFonts w:ascii="Arial" w:hAnsi="Arial" w:cs="Arial"/>
          <w:sz w:val="22"/>
          <w:szCs w:val="22"/>
        </w:rPr>
        <w:t>l</w:t>
      </w:r>
      <w:r w:rsidRPr="00D80990">
        <w:rPr>
          <w:rFonts w:ascii="Arial" w:hAnsi="Arial" w:cs="Arial"/>
          <w:sz w:val="22"/>
          <w:szCs w:val="22"/>
        </w:rPr>
        <w:t xml:space="preserve"> valore medio del triennio 2011/2013</w:t>
      </w:r>
      <w:r>
        <w:rPr>
          <w:rFonts w:ascii="Arial" w:hAnsi="Arial" w:cs="Arial"/>
          <w:sz w:val="22"/>
          <w:szCs w:val="22"/>
        </w:rPr>
        <w:t>, pari ad € ….., considerando l’aggregato rilevante comprensivo dell’IRAP ed al netto dei rinnovi contrattuali, come risultante da……..</w:t>
      </w:r>
      <w:r w:rsidRPr="00D80990">
        <w:rPr>
          <w:rFonts w:ascii="Arial" w:hAnsi="Arial" w:cs="Arial"/>
          <w:sz w:val="22"/>
          <w:szCs w:val="22"/>
        </w:rPr>
        <w:t>;</w:t>
      </w:r>
    </w:p>
    <w:p w14:paraId="44D22D65" w14:textId="77777777" w:rsidR="00136623" w:rsidRPr="00D80990" w:rsidRDefault="00136623" w:rsidP="00136623">
      <w:pPr>
        <w:numPr>
          <w:ilvl w:val="0"/>
          <w:numId w:val="17"/>
        </w:numPr>
        <w:tabs>
          <w:tab w:val="left" w:pos="360"/>
        </w:tabs>
        <w:spacing w:before="120"/>
        <w:jc w:val="both"/>
        <w:rPr>
          <w:rFonts w:ascii="Arial" w:hAnsi="Arial" w:cs="Arial"/>
          <w:sz w:val="22"/>
          <w:szCs w:val="22"/>
        </w:rPr>
      </w:pPr>
      <w:r>
        <w:rPr>
          <w:rFonts w:ascii="Arial" w:hAnsi="Arial" w:cs="Arial"/>
          <w:sz w:val="22"/>
          <w:szCs w:val="22"/>
        </w:rPr>
        <w:t>con l’obbligo di contenimento della spesa di personale disposto dall’art. 1</w:t>
      </w:r>
      <w:r w:rsidRPr="00D80990">
        <w:rPr>
          <w:rFonts w:ascii="Arial" w:hAnsi="Arial" w:cs="Arial"/>
          <w:sz w:val="22"/>
          <w:szCs w:val="22"/>
        </w:rPr>
        <w:t xml:space="preserve"> comma 562 della Legge 296/2006 </w:t>
      </w:r>
      <w:r>
        <w:rPr>
          <w:rFonts w:ascii="Arial" w:hAnsi="Arial" w:cs="Arial"/>
          <w:sz w:val="22"/>
          <w:szCs w:val="22"/>
        </w:rPr>
        <w:t>rispetto al valore 2008, pari ad € ………, considerando l’aggregato rilevante comprensivo dell’IRAP ed al netto dei rinnovi contrattuali, come risultante da ….,</w:t>
      </w:r>
      <w:r w:rsidRPr="00D80990">
        <w:rPr>
          <w:rFonts w:ascii="Arial" w:hAnsi="Arial" w:cs="Arial"/>
          <w:sz w:val="22"/>
          <w:szCs w:val="22"/>
        </w:rPr>
        <w:t>per gli enti che nel 2015 non erano assoggettati al patto di stabilità;</w:t>
      </w:r>
    </w:p>
    <w:p w14:paraId="4E245D19" w14:textId="77777777" w:rsidR="00136623" w:rsidRPr="00D80990" w:rsidRDefault="00136623" w:rsidP="00136623">
      <w:pPr>
        <w:numPr>
          <w:ilvl w:val="0"/>
          <w:numId w:val="17"/>
        </w:numPr>
        <w:tabs>
          <w:tab w:val="left" w:pos="360"/>
        </w:tabs>
        <w:spacing w:before="120"/>
        <w:jc w:val="both"/>
        <w:rPr>
          <w:rFonts w:ascii="Arial" w:hAnsi="Arial" w:cs="Arial"/>
          <w:sz w:val="22"/>
          <w:szCs w:val="22"/>
        </w:rPr>
      </w:pPr>
      <w:r w:rsidRPr="00D80990">
        <w:rPr>
          <w:rFonts w:ascii="Arial" w:hAnsi="Arial" w:cs="Arial"/>
          <w:sz w:val="22"/>
          <w:szCs w:val="22"/>
        </w:rPr>
        <w:t>dei vincoli disposti dall’art. 9, comma 28 del D.L. 78/2010 sulla spesa per personale a tempo determinato, con convenzioni o con contratti di collaborazione coordinata e continuativa</w:t>
      </w:r>
      <w:r>
        <w:rPr>
          <w:rFonts w:ascii="Arial" w:hAnsi="Arial" w:cs="Arial"/>
          <w:sz w:val="22"/>
          <w:szCs w:val="22"/>
        </w:rPr>
        <w:t xml:space="preserve"> che fanno riferimento alla corrispondente</w:t>
      </w:r>
      <w:r w:rsidRPr="00D80990">
        <w:rPr>
          <w:rFonts w:ascii="Arial" w:hAnsi="Arial" w:cs="Arial"/>
          <w:sz w:val="22"/>
          <w:szCs w:val="22"/>
        </w:rPr>
        <w:t xml:space="preserve"> spesa dell’anno 2009 di euro ………………..</w:t>
      </w:r>
      <w:r>
        <w:rPr>
          <w:rFonts w:ascii="Arial" w:hAnsi="Arial" w:cs="Arial"/>
          <w:sz w:val="22"/>
          <w:szCs w:val="22"/>
        </w:rPr>
        <w:t>, come risultante da….</w:t>
      </w:r>
      <w:r w:rsidRPr="00D80990">
        <w:rPr>
          <w:rFonts w:ascii="Arial" w:hAnsi="Arial" w:cs="Arial"/>
          <w:sz w:val="22"/>
          <w:szCs w:val="22"/>
        </w:rPr>
        <w:t>;</w:t>
      </w:r>
    </w:p>
    <w:p w14:paraId="64146704" w14:textId="77777777" w:rsidR="00136623" w:rsidRDefault="00136623" w:rsidP="00136623">
      <w:pPr>
        <w:rPr>
          <w:rFonts w:ascii="Arial" w:hAnsi="Arial" w:cs="Arial"/>
          <w:sz w:val="22"/>
          <w:szCs w:val="22"/>
        </w:rPr>
      </w:pPr>
    </w:p>
    <w:p w14:paraId="7DC0E39C" w14:textId="77777777" w:rsidR="008B1A79" w:rsidRDefault="008B1A79" w:rsidP="00136623">
      <w:pPr>
        <w:rPr>
          <w:rFonts w:ascii="Arial" w:hAnsi="Arial" w:cs="Arial"/>
          <w:sz w:val="22"/>
          <w:szCs w:val="22"/>
        </w:rPr>
      </w:pPr>
    </w:p>
    <w:p w14:paraId="6BE8CBBC" w14:textId="77777777" w:rsidR="008B1A79" w:rsidRPr="00D80990" w:rsidRDefault="008B1A79" w:rsidP="00136623">
      <w:pPr>
        <w:rPr>
          <w:rFonts w:ascii="Arial" w:hAnsi="Arial" w:cs="Arial"/>
          <w:sz w:val="22"/>
          <w:szCs w:val="22"/>
        </w:rPr>
      </w:pPr>
    </w:p>
    <w:p w14:paraId="5CDCD312" w14:textId="77777777" w:rsidR="00136623" w:rsidRPr="00D80990" w:rsidRDefault="00136623" w:rsidP="00136623">
      <w:pPr>
        <w:jc w:val="both"/>
        <w:rPr>
          <w:rFonts w:ascii="Arial" w:hAnsi="Arial" w:cs="Arial"/>
          <w:sz w:val="22"/>
          <w:szCs w:val="22"/>
        </w:rPr>
      </w:pPr>
      <w:r>
        <w:rPr>
          <w:rFonts w:ascii="Arial" w:hAnsi="Arial" w:cs="Arial"/>
          <w:sz w:val="22"/>
          <w:szCs w:val="22"/>
        </w:rPr>
        <w:t>L’andamento dell’aggregato rilevante nei diversi esercizi compresi nel bilancio di previsione raffrontato con il vincolo da rispettare è il seguente</w:t>
      </w:r>
      <w:r w:rsidRPr="00D80990">
        <w:rPr>
          <w:rFonts w:ascii="Arial" w:hAnsi="Arial" w:cs="Arial"/>
          <w:sz w:val="22"/>
          <w:szCs w:val="22"/>
        </w:rPr>
        <w:t xml:space="preserve">: </w:t>
      </w:r>
    </w:p>
    <w:p w14:paraId="1E9A4969" w14:textId="77777777" w:rsidR="009F6E3E" w:rsidRPr="00D80990" w:rsidRDefault="009F6E3E">
      <w:pPr>
        <w:rPr>
          <w:rFonts w:ascii="Arial" w:hAnsi="Arial" w:cs="Arial"/>
          <w:sz w:val="22"/>
          <w:szCs w:val="22"/>
        </w:rPr>
      </w:pPr>
    </w:p>
    <w:p w14:paraId="1FFEFBE4" w14:textId="77777777" w:rsidR="009F6E3E" w:rsidRPr="00D80990" w:rsidRDefault="00EE41C1" w:rsidP="00E518B7">
      <w:pPr>
        <w:jc w:val="center"/>
        <w:rPr>
          <w:rFonts w:ascii="Arial" w:hAnsi="Arial" w:cs="Arial"/>
          <w:sz w:val="22"/>
          <w:szCs w:val="22"/>
        </w:rPr>
      </w:pPr>
      <w:r w:rsidRPr="00213664">
        <w:rPr>
          <w:rFonts w:cs="Arial"/>
          <w:sz w:val="22"/>
          <w:szCs w:val="22"/>
        </w:rPr>
        <w:object w:dxaOrig="10067" w:dyaOrig="3456" w14:anchorId="57E5D84A">
          <v:shape id="_x0000_i1049" type="#_x0000_t75" style="width:7in;height:172.5pt" o:ole="">
            <v:imagedata r:id="rId64" o:title=""/>
          </v:shape>
          <o:OLEObject Type="Embed" ProgID="Excel.Sheet.12" ShapeID="_x0000_i1049" DrawAspect="Content" ObjectID="_1780988738" r:id="rId65"/>
        </w:object>
      </w:r>
    </w:p>
    <w:p w14:paraId="14121CE4" w14:textId="77777777" w:rsidR="009F6E3E" w:rsidRPr="00D80990" w:rsidRDefault="007F766F">
      <w:pPr>
        <w:jc w:val="both"/>
        <w:rPr>
          <w:rFonts w:ascii="Arial" w:hAnsi="Arial" w:cs="Arial"/>
          <w:b/>
          <w:i/>
          <w:sz w:val="22"/>
          <w:szCs w:val="22"/>
        </w:rPr>
      </w:pPr>
      <w:r w:rsidRPr="00D80990">
        <w:rPr>
          <w:rFonts w:ascii="Arial" w:hAnsi="Arial" w:cs="Arial"/>
          <w:sz w:val="22"/>
          <w:szCs w:val="22"/>
        </w:rPr>
        <w:t xml:space="preserve">La previsione per gli anni </w:t>
      </w:r>
      <w:r w:rsidR="00CD4510">
        <w:rPr>
          <w:rFonts w:ascii="Arial" w:hAnsi="Arial" w:cs="Arial"/>
          <w:sz w:val="22"/>
          <w:szCs w:val="22"/>
        </w:rPr>
        <w:t>2019, 2</w:t>
      </w:r>
      <w:r w:rsidRPr="00D80990">
        <w:rPr>
          <w:rFonts w:ascii="Arial" w:hAnsi="Arial" w:cs="Arial"/>
          <w:sz w:val="22"/>
          <w:szCs w:val="22"/>
        </w:rPr>
        <w:t>020</w:t>
      </w:r>
      <w:r w:rsidR="00CD4510">
        <w:rPr>
          <w:rFonts w:ascii="Arial" w:hAnsi="Arial" w:cs="Arial"/>
          <w:sz w:val="22"/>
          <w:szCs w:val="22"/>
        </w:rPr>
        <w:t xml:space="preserve"> e 2021</w:t>
      </w:r>
      <w:r w:rsidRPr="00D80990">
        <w:rPr>
          <w:rFonts w:ascii="Arial" w:hAnsi="Arial" w:cs="Arial"/>
          <w:sz w:val="22"/>
          <w:szCs w:val="22"/>
        </w:rPr>
        <w:t xml:space="preserve"> è inferiore alla spesa media del triennio 2011/2013 (</w:t>
      </w:r>
      <w:r w:rsidRPr="00D80990">
        <w:rPr>
          <w:rFonts w:ascii="Arial" w:hAnsi="Arial" w:cs="Arial"/>
          <w:i/>
          <w:sz w:val="22"/>
          <w:szCs w:val="22"/>
        </w:rPr>
        <w:t xml:space="preserve">o all’anno 2008 per gli enti che nel 2015 non erano soggetti al patto) </w:t>
      </w:r>
      <w:r w:rsidRPr="00D80990">
        <w:rPr>
          <w:rFonts w:ascii="Arial" w:hAnsi="Arial" w:cs="Arial"/>
          <w:sz w:val="22"/>
          <w:szCs w:val="22"/>
        </w:rPr>
        <w:t>che era pari a euro</w:t>
      </w:r>
      <w:r w:rsidRPr="00D80990">
        <w:rPr>
          <w:rFonts w:ascii="Arial" w:hAnsi="Arial" w:cs="Arial"/>
          <w:i/>
          <w:sz w:val="22"/>
          <w:szCs w:val="22"/>
        </w:rPr>
        <w:t>……………….</w:t>
      </w:r>
    </w:p>
    <w:p w14:paraId="15EB201C" w14:textId="77777777" w:rsidR="009F6E3E" w:rsidRPr="00D80990" w:rsidRDefault="009F6E3E">
      <w:pPr>
        <w:rPr>
          <w:rFonts w:ascii="Arial" w:hAnsi="Arial" w:cs="Arial"/>
          <w:i/>
          <w:sz w:val="16"/>
          <w:szCs w:val="16"/>
        </w:rPr>
      </w:pPr>
    </w:p>
    <w:p w14:paraId="783B9E5F" w14:textId="77777777" w:rsidR="009F6E3E" w:rsidRPr="00D80990" w:rsidRDefault="007F766F">
      <w:pPr>
        <w:pStyle w:val="Titolo3"/>
      </w:pPr>
      <w:bookmarkStart w:id="62" w:name="_Toc535487620"/>
      <w:r w:rsidRPr="00D80990">
        <w:t>Spese per incarichi di collaborazione autonoma</w:t>
      </w:r>
      <w:bookmarkEnd w:id="62"/>
    </w:p>
    <w:p w14:paraId="2237984D" w14:textId="77777777" w:rsidR="009F6E3E" w:rsidRPr="00D80990" w:rsidRDefault="007F766F">
      <w:pPr>
        <w:rPr>
          <w:rFonts w:ascii="Arial" w:hAnsi="Arial" w:cs="Arial"/>
          <w:sz w:val="22"/>
          <w:szCs w:val="22"/>
        </w:rPr>
      </w:pPr>
      <w:r w:rsidRPr="00D80990">
        <w:rPr>
          <w:rFonts w:ascii="Arial" w:hAnsi="Arial" w:cs="Arial"/>
          <w:sz w:val="22"/>
          <w:szCs w:val="22"/>
        </w:rPr>
        <w:t>(art.7 comma 6, D.Lgs. 165/2001)</w:t>
      </w:r>
    </w:p>
    <w:p w14:paraId="49DA8A21" w14:textId="77777777" w:rsidR="009F6E3E" w:rsidRPr="00D80990" w:rsidRDefault="009F6E3E">
      <w:pPr>
        <w:jc w:val="both"/>
        <w:rPr>
          <w:rFonts w:ascii="Arial" w:hAnsi="Arial" w:cs="Arial"/>
          <w:sz w:val="22"/>
          <w:szCs w:val="22"/>
        </w:rPr>
      </w:pPr>
    </w:p>
    <w:p w14:paraId="5FF1EAC1" w14:textId="77777777" w:rsidR="00136623" w:rsidRPr="00D80990" w:rsidRDefault="00136623" w:rsidP="00136623">
      <w:pPr>
        <w:jc w:val="both"/>
        <w:rPr>
          <w:rFonts w:ascii="Arial" w:hAnsi="Arial" w:cs="Arial"/>
          <w:i/>
          <w:sz w:val="18"/>
          <w:szCs w:val="18"/>
        </w:rPr>
      </w:pPr>
      <w:r w:rsidRPr="00D80990">
        <w:rPr>
          <w:rFonts w:ascii="Arial" w:hAnsi="Arial" w:cs="Arial"/>
          <w:sz w:val="22"/>
          <w:szCs w:val="22"/>
        </w:rPr>
        <w:t>Il limite massimo previsto in bilancio per incarichi di collaborazione auton</w:t>
      </w:r>
      <w:r>
        <w:rPr>
          <w:rFonts w:ascii="Arial" w:hAnsi="Arial" w:cs="Arial"/>
          <w:sz w:val="22"/>
          <w:szCs w:val="22"/>
        </w:rPr>
        <w:t>oma previsto per gli anni 2019-2021</w:t>
      </w:r>
      <w:r w:rsidRPr="00D80990">
        <w:rPr>
          <w:rFonts w:ascii="Arial" w:hAnsi="Arial" w:cs="Arial"/>
          <w:sz w:val="22"/>
          <w:szCs w:val="22"/>
        </w:rPr>
        <w:t xml:space="preserve"> è di euro ………... I contratti di collaborazione potranno essere stipulati con riferimento alle attività istituzionali stabilite dalla Legge e con riferimento al programma sottoposto all’approvazione del Consiglio</w:t>
      </w:r>
      <w:r w:rsidRPr="00D80990">
        <w:rPr>
          <w:rFonts w:ascii="Arial" w:hAnsi="Arial" w:cs="Arial"/>
          <w:i/>
          <w:sz w:val="18"/>
          <w:szCs w:val="18"/>
        </w:rPr>
        <w:t>.</w:t>
      </w:r>
    </w:p>
    <w:p w14:paraId="5EC7D4FD" w14:textId="77777777" w:rsidR="00136623" w:rsidRPr="00D80990" w:rsidRDefault="00136623" w:rsidP="00136623">
      <w:pPr>
        <w:jc w:val="both"/>
        <w:rPr>
          <w:rFonts w:ascii="Arial" w:hAnsi="Arial" w:cs="Arial"/>
          <w:sz w:val="22"/>
          <w:szCs w:val="22"/>
        </w:rPr>
      </w:pPr>
      <w:r w:rsidRPr="00D80990">
        <w:rPr>
          <w:rFonts w:ascii="Arial" w:hAnsi="Arial" w:cs="Arial"/>
          <w:sz w:val="22"/>
          <w:szCs w:val="22"/>
        </w:rPr>
        <w:t xml:space="preserve">L’ente </w:t>
      </w:r>
      <w:r>
        <w:rPr>
          <w:rFonts w:ascii="Arial" w:hAnsi="Arial" w:cs="Arial"/>
          <w:sz w:val="22"/>
          <w:szCs w:val="22"/>
        </w:rPr>
        <w:t xml:space="preserve">è dotato di un </w:t>
      </w:r>
      <w:r w:rsidRPr="00D80990">
        <w:rPr>
          <w:rFonts w:ascii="Arial" w:hAnsi="Arial" w:cs="Arial"/>
          <w:sz w:val="22"/>
          <w:szCs w:val="22"/>
        </w:rPr>
        <w:t xml:space="preserve">regolamento per </w:t>
      </w:r>
      <w:r>
        <w:rPr>
          <w:rFonts w:ascii="Arial" w:hAnsi="Arial" w:cs="Arial"/>
          <w:sz w:val="22"/>
          <w:szCs w:val="22"/>
        </w:rPr>
        <w:t>l’affidamento de</w:t>
      </w:r>
      <w:r w:rsidRPr="00D80990">
        <w:rPr>
          <w:rFonts w:ascii="Arial" w:hAnsi="Arial" w:cs="Arial"/>
          <w:sz w:val="22"/>
          <w:szCs w:val="22"/>
        </w:rPr>
        <w:t xml:space="preserve">gli incarichi di collaborazione autonoma sulla base delle disposizioni introdotte dall’art. 46 del D.L. 25 giugno 2008 n. 112, </w:t>
      </w:r>
      <w:r>
        <w:rPr>
          <w:rFonts w:ascii="Arial" w:hAnsi="Arial" w:cs="Arial"/>
          <w:sz w:val="22"/>
          <w:szCs w:val="22"/>
        </w:rPr>
        <w:t>trasmesso alla Corte dei Conti alle cui previsioni si raccomanda di attenersi rigorosamente</w:t>
      </w:r>
      <w:r w:rsidRPr="00D80990">
        <w:rPr>
          <w:rFonts w:ascii="Arial" w:hAnsi="Arial" w:cs="Arial"/>
          <w:sz w:val="22"/>
          <w:szCs w:val="22"/>
        </w:rPr>
        <w:t>.</w:t>
      </w:r>
    </w:p>
    <w:p w14:paraId="3342D6D0" w14:textId="77777777" w:rsidR="009F6E3E" w:rsidRPr="00D80990" w:rsidRDefault="00136623" w:rsidP="00136623">
      <w:pPr>
        <w:jc w:val="both"/>
        <w:rPr>
          <w:rFonts w:ascii="Arial" w:hAnsi="Arial" w:cs="Arial"/>
          <w:b/>
          <w:i/>
          <w:color w:val="0070C0"/>
          <w:sz w:val="20"/>
          <w:szCs w:val="18"/>
        </w:rPr>
      </w:pPr>
      <w:r w:rsidRPr="00D80990">
        <w:rPr>
          <w:rFonts w:ascii="Arial" w:hAnsi="Arial" w:cs="Arial"/>
          <w:sz w:val="22"/>
          <w:szCs w:val="22"/>
        </w:rPr>
        <w:t xml:space="preserve">L’ente </w:t>
      </w:r>
      <w:r>
        <w:rPr>
          <w:rFonts w:ascii="Arial" w:hAnsi="Arial" w:cs="Arial"/>
          <w:sz w:val="22"/>
          <w:szCs w:val="22"/>
        </w:rPr>
        <w:t>è tenuto a pubblicare</w:t>
      </w:r>
      <w:r w:rsidRPr="00D80990">
        <w:rPr>
          <w:rFonts w:ascii="Arial" w:hAnsi="Arial" w:cs="Arial"/>
          <w:sz w:val="22"/>
          <w:szCs w:val="22"/>
        </w:rPr>
        <w:t xml:space="preserve"> regolarmente nel sito istituzionale i provvedimenti di incarico con l’indicazione dei soggetti percettori, della ragione dell’incarico e del compenso</w:t>
      </w:r>
      <w:r>
        <w:rPr>
          <w:rFonts w:ascii="Arial" w:hAnsi="Arial" w:cs="Arial"/>
          <w:sz w:val="22"/>
          <w:szCs w:val="22"/>
        </w:rPr>
        <w:t xml:space="preserve"> e delle altre informazioni previste dalla legge.</w:t>
      </w:r>
    </w:p>
    <w:p w14:paraId="2637A86E" w14:textId="77777777" w:rsidR="009F6E3E" w:rsidRPr="00D80990" w:rsidRDefault="009F6E3E">
      <w:pPr>
        <w:pStyle w:val="Titolo3"/>
      </w:pPr>
    </w:p>
    <w:p w14:paraId="404546A6" w14:textId="77777777" w:rsidR="009F6E3E" w:rsidRPr="00D80990" w:rsidRDefault="007F766F">
      <w:pPr>
        <w:pStyle w:val="Titolo3"/>
      </w:pPr>
      <w:bookmarkStart w:id="63" w:name="_Toc535487621"/>
      <w:r w:rsidRPr="00D80990">
        <w:t>Spese per acquisto beni e servizi</w:t>
      </w:r>
      <w:bookmarkEnd w:id="63"/>
    </w:p>
    <w:p w14:paraId="3CB41B1B" w14:textId="77777777" w:rsidR="00136623" w:rsidRPr="00D80990" w:rsidRDefault="00136623" w:rsidP="00136623">
      <w:pPr>
        <w:pStyle w:val="Corpodeltesto3"/>
        <w:spacing w:before="120"/>
        <w:rPr>
          <w:rFonts w:cs="Arial"/>
          <w:sz w:val="22"/>
          <w:szCs w:val="22"/>
        </w:rPr>
      </w:pPr>
      <w:r w:rsidRPr="00D80990">
        <w:rPr>
          <w:rFonts w:cs="Arial"/>
          <w:sz w:val="22"/>
          <w:szCs w:val="22"/>
        </w:rPr>
        <w:t>La previsione di spesa tiene conto dei vincoli posti dal saldo di finanza pubblica, dal piano triennale di contenimento delle spese di cui all’art. 2, commi da 594 a 599 della Legge 244/2007 e di quelle dell’art. 1, commi 146 e 147 della Legge 24/12/2012 n. 228</w:t>
      </w:r>
      <w:r>
        <w:rPr>
          <w:rFonts w:cs="Arial"/>
          <w:sz w:val="22"/>
          <w:szCs w:val="22"/>
        </w:rPr>
        <w:t xml:space="preserve"> (in materia di consulenza informatica).</w:t>
      </w:r>
    </w:p>
    <w:p w14:paraId="6480BB9D" w14:textId="77777777" w:rsidR="009F6E3E" w:rsidRPr="00D80990" w:rsidRDefault="00136623" w:rsidP="00136623">
      <w:pPr>
        <w:pStyle w:val="Corpodeltesto3"/>
        <w:spacing w:before="120"/>
        <w:rPr>
          <w:rFonts w:cs="Arial"/>
          <w:sz w:val="22"/>
          <w:szCs w:val="22"/>
        </w:rPr>
      </w:pPr>
      <w:r>
        <w:rPr>
          <w:rFonts w:cs="Arial"/>
          <w:sz w:val="22"/>
          <w:szCs w:val="22"/>
        </w:rPr>
        <w:t xml:space="preserve">La previsione di spesa </w:t>
      </w:r>
      <w:r w:rsidRPr="00136623">
        <w:rPr>
          <w:rFonts w:cs="Arial"/>
          <w:b/>
          <w:i/>
          <w:sz w:val="22"/>
          <w:szCs w:val="22"/>
        </w:rPr>
        <w:t>tiene/non tiene</w:t>
      </w:r>
      <w:r>
        <w:rPr>
          <w:rFonts w:cs="Arial"/>
          <w:sz w:val="22"/>
          <w:szCs w:val="22"/>
        </w:rPr>
        <w:t xml:space="preserve"> altresì conto </w:t>
      </w:r>
      <w:r w:rsidRPr="00D80990">
        <w:rPr>
          <w:rFonts w:cs="Arial"/>
          <w:sz w:val="22"/>
          <w:szCs w:val="22"/>
        </w:rPr>
        <w:t>delle riduzioni disposte dall’art. 6 del D.L. 78/2010</w:t>
      </w:r>
      <w:r>
        <w:rPr>
          <w:rFonts w:cs="Arial"/>
          <w:sz w:val="22"/>
          <w:szCs w:val="22"/>
        </w:rPr>
        <w:t xml:space="preserve"> posto che l’ente </w:t>
      </w:r>
      <w:r w:rsidRPr="00136623">
        <w:rPr>
          <w:rFonts w:cs="Arial"/>
          <w:b/>
          <w:i/>
          <w:sz w:val="22"/>
          <w:szCs w:val="22"/>
        </w:rPr>
        <w:t>rientra/non rientra</w:t>
      </w:r>
      <w:r>
        <w:rPr>
          <w:rFonts w:cs="Arial"/>
          <w:sz w:val="22"/>
          <w:szCs w:val="22"/>
        </w:rPr>
        <w:t xml:space="preserve"> nella previsione di cui all’art. 21 bis comma 2 del D.L. 50/2017 (per i comuni e le forme associative che approvano il bilancio di previsione entro il 31/12 dell’anno precedente e che </w:t>
      </w:r>
      <w:r w:rsidR="005F1085" w:rsidRPr="008B1A79">
        <w:rPr>
          <w:rFonts w:cs="Arial"/>
          <w:sz w:val="22"/>
          <w:szCs w:val="22"/>
        </w:rPr>
        <w:t>hanno rispettato nell'anno precedente il saldo tra entrate finali e spese finali di cui all'articolo 9 della legge 24 dicembre 2012, n. 243</w:t>
      </w:r>
      <w:r>
        <w:rPr>
          <w:rFonts w:cs="Arial"/>
          <w:sz w:val="22"/>
          <w:szCs w:val="22"/>
        </w:rPr>
        <w:t>).</w:t>
      </w:r>
    </w:p>
    <w:p w14:paraId="39AA69F3" w14:textId="77777777" w:rsidR="009F6E3E" w:rsidRPr="00D80990" w:rsidRDefault="007F766F">
      <w:pPr>
        <w:pStyle w:val="Corpodeltesto3"/>
        <w:spacing w:before="120"/>
        <w:rPr>
          <w:rFonts w:cs="Arial"/>
          <w:sz w:val="22"/>
          <w:szCs w:val="22"/>
        </w:rPr>
      </w:pPr>
      <w:r w:rsidRPr="00D80990">
        <w:rPr>
          <w:rFonts w:cs="Arial"/>
          <w:sz w:val="22"/>
          <w:szCs w:val="22"/>
        </w:rPr>
        <w:t>In particolare</w:t>
      </w:r>
      <w:r w:rsidR="00CD4510">
        <w:rPr>
          <w:rFonts w:cs="Arial"/>
          <w:sz w:val="22"/>
          <w:szCs w:val="22"/>
        </w:rPr>
        <w:t xml:space="preserve"> le previsioni per gli anni 2019-2021</w:t>
      </w:r>
      <w:r w:rsidRPr="00D80990">
        <w:rPr>
          <w:rFonts w:cs="Arial"/>
          <w:sz w:val="22"/>
          <w:szCs w:val="22"/>
        </w:rPr>
        <w:t xml:space="preserve"> rispettano i seguenti limiti:</w:t>
      </w:r>
    </w:p>
    <w:p w14:paraId="59AF690A" w14:textId="77777777" w:rsidR="009F6E3E" w:rsidRPr="00D80990" w:rsidRDefault="00EE41C1" w:rsidP="00937836">
      <w:pPr>
        <w:pStyle w:val="Corpodeltesto3"/>
        <w:spacing w:before="120"/>
        <w:jc w:val="center"/>
        <w:rPr>
          <w:rFonts w:cs="Arial"/>
          <w:sz w:val="22"/>
          <w:szCs w:val="22"/>
        </w:rPr>
      </w:pPr>
      <w:r w:rsidRPr="00213664">
        <w:rPr>
          <w:rFonts w:cs="Arial"/>
          <w:sz w:val="22"/>
          <w:szCs w:val="22"/>
        </w:rPr>
        <w:object w:dxaOrig="10240" w:dyaOrig="2620" w14:anchorId="27A769C6">
          <v:shape id="_x0000_i1050" type="#_x0000_t75" style="width:489.75pt;height:122.25pt" o:ole="">
            <v:imagedata r:id="rId66" o:title=""/>
          </v:shape>
          <o:OLEObject Type="Embed" ProgID="Excel.Sheet.12" ShapeID="_x0000_i1050" DrawAspect="Content" ObjectID="_1780988739" r:id="rId67"/>
        </w:object>
      </w:r>
    </w:p>
    <w:p w14:paraId="395D95B3" w14:textId="77777777" w:rsidR="009F6E3E" w:rsidRDefault="007F766F">
      <w:pPr>
        <w:jc w:val="both"/>
        <w:rPr>
          <w:rFonts w:ascii="Arial" w:hAnsi="Arial" w:cs="Arial"/>
          <w:i/>
          <w:color w:val="00B0F0"/>
          <w:sz w:val="22"/>
          <w:szCs w:val="22"/>
        </w:rPr>
      </w:pPr>
      <w:bookmarkStart w:id="64" w:name="_MON_1513857507"/>
      <w:bookmarkEnd w:id="64"/>
      <w:r w:rsidRPr="00D80990">
        <w:rPr>
          <w:rFonts w:ascii="Arial" w:hAnsi="Arial" w:cs="Arial"/>
          <w:i/>
          <w:color w:val="00B0F0"/>
          <w:sz w:val="22"/>
          <w:szCs w:val="22"/>
        </w:rPr>
        <w:lastRenderedPageBreak/>
        <w:t xml:space="preserve">La </w:t>
      </w:r>
      <w:hyperlink r:id="rId68" w:history="1">
        <w:r w:rsidRPr="00D80990">
          <w:rPr>
            <w:rStyle w:val="Collegamentoipertestuale"/>
            <w:rFonts w:ascii="Arial" w:hAnsi="Arial" w:cs="Arial"/>
            <w:i/>
            <w:color w:val="00B0F0"/>
            <w:sz w:val="22"/>
            <w:szCs w:val="22"/>
            <w:u w:val="none"/>
          </w:rPr>
          <w:t>Corte costituzionale con sentenza n.139 del 2012</w:t>
        </w:r>
      </w:hyperlink>
      <w:r w:rsidRPr="00D80990">
        <w:rPr>
          <w:rFonts w:ascii="Arial" w:hAnsi="Arial" w:cs="Arial"/>
          <w:i/>
          <w:color w:val="00B0F0"/>
          <w:sz w:val="22"/>
          <w:szCs w:val="22"/>
        </w:rPr>
        <w:t xml:space="preserve"> e la </w:t>
      </w:r>
      <w:hyperlink r:id="rId69" w:history="1">
        <w:r w:rsidRPr="00D80990">
          <w:rPr>
            <w:rStyle w:val="Collegamentoipertestuale"/>
            <w:rFonts w:ascii="Arial" w:hAnsi="Arial" w:cs="Arial"/>
            <w:i/>
            <w:color w:val="00B0F0"/>
            <w:sz w:val="22"/>
            <w:szCs w:val="22"/>
            <w:u w:val="none"/>
          </w:rPr>
          <w:t>Sezione Autonomie della Corte dei Conti con delibera 26 del 20/12/2013</w:t>
        </w:r>
      </w:hyperlink>
      <w:r w:rsidRPr="00D80990">
        <w:rPr>
          <w:rFonts w:ascii="Arial" w:hAnsi="Arial" w:cs="Arial"/>
          <w:i/>
          <w:color w:val="00B0F0"/>
          <w:sz w:val="22"/>
          <w:szCs w:val="22"/>
        </w:rPr>
        <w:t>, hanno stabilito che deve essere rispettato il limite complessivo ed è consentito che lo stanziamento in bilancio fra le diverse tipologie avvenga in base alle necessità derivanti dalle attività istituzionali dell’ente.</w:t>
      </w:r>
    </w:p>
    <w:p w14:paraId="5644D189" w14:textId="77777777" w:rsidR="009D14EE" w:rsidRPr="009D14EE" w:rsidRDefault="00414C97" w:rsidP="009D14EE">
      <w:pPr>
        <w:pStyle w:val="xmsonormal"/>
        <w:shd w:val="clear" w:color="auto" w:fill="FFFFFF"/>
        <w:jc w:val="both"/>
        <w:rPr>
          <w:rFonts w:ascii="Arial" w:hAnsi="Arial" w:cs="Arial"/>
          <w:i/>
          <w:color w:val="00B0F0"/>
          <w:sz w:val="22"/>
          <w:szCs w:val="22"/>
        </w:rPr>
      </w:pPr>
      <w:r>
        <w:rPr>
          <w:rFonts w:ascii="Arial" w:hAnsi="Arial" w:cs="Arial"/>
          <w:i/>
          <w:color w:val="00B0F0"/>
          <w:sz w:val="22"/>
          <w:szCs w:val="22"/>
        </w:rPr>
        <w:t xml:space="preserve">Si tenga presente che il D.L. 50/2017 all’art. 21-bis prevede che a </w:t>
      </w:r>
      <w:r w:rsidRPr="00414C97">
        <w:rPr>
          <w:rFonts w:ascii="Arial" w:hAnsi="Arial" w:cs="Arial"/>
          <w:i/>
          <w:color w:val="00B0F0"/>
          <w:sz w:val="22"/>
          <w:szCs w:val="22"/>
        </w:rPr>
        <w:t>decorrere dall’esercizio2018 </w:t>
      </w:r>
      <w:r w:rsidR="009D14EE" w:rsidRPr="009D14EE">
        <w:rPr>
          <w:rFonts w:ascii="Arial" w:hAnsi="Arial" w:cs="Arial"/>
          <w:i/>
          <w:color w:val="00B0F0"/>
          <w:sz w:val="22"/>
          <w:szCs w:val="22"/>
        </w:rPr>
        <w:t>le</w:t>
      </w:r>
      <w:r w:rsidR="009D14EE">
        <w:rPr>
          <w:rFonts w:ascii="Arial" w:hAnsi="Arial" w:cs="Arial"/>
          <w:i/>
          <w:color w:val="00B0F0"/>
          <w:sz w:val="22"/>
          <w:szCs w:val="22"/>
        </w:rPr>
        <w:t xml:space="preserve"> seguenti </w:t>
      </w:r>
      <w:r w:rsidR="009D14EE" w:rsidRPr="009D14EE">
        <w:rPr>
          <w:rFonts w:ascii="Arial" w:hAnsi="Arial" w:cs="Arial"/>
          <w:i/>
          <w:color w:val="00B0F0"/>
          <w:sz w:val="22"/>
          <w:szCs w:val="22"/>
        </w:rPr>
        <w:t xml:space="preserve">limitazioni e i </w:t>
      </w:r>
      <w:r w:rsidR="009D14EE">
        <w:rPr>
          <w:rFonts w:ascii="Arial" w:hAnsi="Arial" w:cs="Arial"/>
          <w:i/>
          <w:color w:val="00B0F0"/>
          <w:sz w:val="22"/>
          <w:szCs w:val="22"/>
        </w:rPr>
        <w:t xml:space="preserve">seguenti </w:t>
      </w:r>
      <w:r w:rsidR="009D14EE" w:rsidRPr="009D14EE">
        <w:rPr>
          <w:rFonts w:ascii="Arial" w:hAnsi="Arial" w:cs="Arial"/>
          <w:i/>
          <w:color w:val="00B0F0"/>
          <w:sz w:val="22"/>
          <w:szCs w:val="22"/>
        </w:rPr>
        <w:t>vincoli:</w:t>
      </w:r>
    </w:p>
    <w:p w14:paraId="292768FC" w14:textId="77777777" w:rsidR="009D14EE" w:rsidRPr="009D14EE" w:rsidRDefault="009D14EE" w:rsidP="009D14EE">
      <w:pPr>
        <w:pStyle w:val="xmsonormal"/>
        <w:shd w:val="clear" w:color="auto" w:fill="FFFFFF"/>
        <w:jc w:val="both"/>
        <w:rPr>
          <w:rFonts w:ascii="Arial" w:hAnsi="Arial" w:cs="Arial"/>
          <w:i/>
          <w:color w:val="00B0F0"/>
          <w:sz w:val="22"/>
          <w:szCs w:val="22"/>
        </w:rPr>
      </w:pPr>
      <w:r w:rsidRPr="009D14EE">
        <w:rPr>
          <w:rFonts w:ascii="Arial" w:hAnsi="Arial" w:cs="Arial"/>
          <w:i/>
          <w:color w:val="00B0F0"/>
          <w:sz w:val="22"/>
          <w:szCs w:val="22"/>
        </w:rPr>
        <w:t>a) all’articolo 6, commi 7, 8, fatta eccezione delle spese per mostre, 9 e 13, deldecreto-legge 31 maggio 2010, n. 78, convertito, con modificazioni, dallalegge 30 luglio 2010, n. 122;</w:t>
      </w:r>
    </w:p>
    <w:p w14:paraId="67F35AD2" w14:textId="77777777" w:rsidR="009D14EE" w:rsidRPr="009D14EE" w:rsidRDefault="009D14EE" w:rsidP="009D14EE">
      <w:pPr>
        <w:pStyle w:val="xmsonormal"/>
        <w:shd w:val="clear" w:color="auto" w:fill="FFFFFF"/>
        <w:jc w:val="both"/>
        <w:rPr>
          <w:rFonts w:ascii="Arial" w:hAnsi="Arial" w:cs="Arial"/>
          <w:i/>
          <w:color w:val="00B0F0"/>
          <w:sz w:val="22"/>
          <w:szCs w:val="22"/>
        </w:rPr>
      </w:pPr>
      <w:r w:rsidRPr="009D14EE">
        <w:rPr>
          <w:rFonts w:ascii="Arial" w:hAnsi="Arial" w:cs="Arial"/>
          <w:i/>
          <w:color w:val="00B0F0"/>
          <w:sz w:val="22"/>
          <w:szCs w:val="22"/>
        </w:rPr>
        <w:t>b) all’articolo 27, comma 1, del decreto-legge 25 giugno 2008, n. 112,convertito, con modificazioni, dalla legge 6 agosto 2008, n. 133</w:t>
      </w:r>
    </w:p>
    <w:p w14:paraId="7DF00ADE" w14:textId="77777777" w:rsidR="00414C97" w:rsidRDefault="009D14EE" w:rsidP="009D14EE">
      <w:pPr>
        <w:pStyle w:val="xmsonormal"/>
        <w:shd w:val="clear" w:color="auto" w:fill="FFFFFF"/>
        <w:jc w:val="both"/>
        <w:rPr>
          <w:rFonts w:ascii="Arial" w:hAnsi="Arial" w:cs="Arial"/>
          <w:i/>
          <w:color w:val="00B0F0"/>
          <w:sz w:val="22"/>
          <w:szCs w:val="22"/>
        </w:rPr>
      </w:pPr>
      <w:r>
        <w:rPr>
          <w:rFonts w:ascii="Arial" w:hAnsi="Arial" w:cs="Arial"/>
          <w:i/>
          <w:color w:val="00B0F0"/>
          <w:sz w:val="22"/>
          <w:szCs w:val="22"/>
        </w:rPr>
        <w:t xml:space="preserve">non si applicano </w:t>
      </w:r>
      <w:r w:rsidR="00414C97" w:rsidRPr="00414C97">
        <w:rPr>
          <w:rFonts w:ascii="Arial" w:hAnsi="Arial" w:cs="Arial"/>
          <w:i/>
          <w:color w:val="00B0F0"/>
          <w:sz w:val="22"/>
          <w:szCs w:val="22"/>
        </w:rPr>
        <w:t xml:space="preserve">esclusivamente ai comuni e alle loro forme associative che hannoapprovato ilbilancio preventivo dell’esercizio di riferimento entro il 31 dicembredell’anno precedente e che hanno rispettato nell’anno precedente il saldotra entrate finali e spese finali di cui all’articolo 9 della legge 24 dicembre2012, n. 243. </w:t>
      </w:r>
    </w:p>
    <w:p w14:paraId="7CDDEC04" w14:textId="77777777" w:rsidR="003D7428" w:rsidRPr="000E4A5C" w:rsidRDefault="003D7428" w:rsidP="003D7428">
      <w:pPr>
        <w:pStyle w:val="xmsonormal"/>
        <w:shd w:val="clear" w:color="auto" w:fill="FFFFFF"/>
        <w:jc w:val="both"/>
        <w:rPr>
          <w:rFonts w:ascii="Arial" w:hAnsi="Arial" w:cs="Arial"/>
          <w:i/>
          <w:iCs/>
          <w:color w:val="00B0F0"/>
          <w:sz w:val="22"/>
          <w:szCs w:val="22"/>
        </w:rPr>
      </w:pPr>
      <w:r w:rsidRPr="000E4A5C">
        <w:rPr>
          <w:rFonts w:ascii="Arial" w:hAnsi="Arial" w:cs="Arial"/>
          <w:i/>
          <w:color w:val="00B0F0"/>
          <w:sz w:val="22"/>
          <w:szCs w:val="22"/>
        </w:rPr>
        <w:t>Il comma 905 della L</w:t>
      </w:r>
      <w:r w:rsidR="0036319E" w:rsidRPr="000E4A5C">
        <w:rPr>
          <w:rFonts w:ascii="Arial" w:hAnsi="Arial" w:cs="Arial"/>
          <w:i/>
          <w:color w:val="00B0F0"/>
          <w:sz w:val="22"/>
          <w:szCs w:val="22"/>
        </w:rPr>
        <w:t>egge di bilancio 2019 (</w:t>
      </w:r>
      <w:r w:rsidR="000E4A5C">
        <w:rPr>
          <w:rFonts w:ascii="Arial" w:hAnsi="Arial" w:cs="Arial"/>
          <w:i/>
          <w:color w:val="00B0F0"/>
          <w:sz w:val="22"/>
          <w:szCs w:val="22"/>
        </w:rPr>
        <w:t>n.</w:t>
      </w:r>
      <w:r w:rsidR="0036319E" w:rsidRPr="000E4A5C">
        <w:rPr>
          <w:rFonts w:ascii="Arial" w:hAnsi="Arial" w:cs="Arial"/>
          <w:i/>
          <w:color w:val="00B0F0"/>
          <w:sz w:val="22"/>
          <w:szCs w:val="22"/>
        </w:rPr>
        <w:t xml:space="preserve">145/2018) </w:t>
      </w:r>
      <w:r w:rsidR="0036319E" w:rsidRPr="000E4A5C">
        <w:rPr>
          <w:rFonts w:ascii="Arial" w:hAnsi="Arial" w:cs="Arial"/>
          <w:b/>
          <w:bCs/>
          <w:i/>
          <w:iCs/>
          <w:color w:val="00B0F0"/>
          <w:sz w:val="22"/>
          <w:szCs w:val="22"/>
        </w:rPr>
        <w:t>introduce alcune semplificazioni per i comuni (e le loro forme associative) condizionate all’approvazione dei bilanci entro i termini ordinari previsti dal TUEL</w:t>
      </w:r>
      <w:r w:rsidR="0036319E" w:rsidRPr="000E4A5C">
        <w:rPr>
          <w:rFonts w:ascii="Arial" w:hAnsi="Arial" w:cs="Arial"/>
          <w:i/>
          <w:iCs/>
          <w:color w:val="00B0F0"/>
          <w:sz w:val="22"/>
          <w:szCs w:val="22"/>
        </w:rPr>
        <w:t xml:space="preserve">, ossia il bilancio consuntivo entro il 30 aprile dell’anno successivo e il bilancio preventivo entro il 31 dicembre dell'anno precedente all’esercizio di riferimento. Le norme che non trovano applicazione sono le seguenti: </w:t>
      </w:r>
    </w:p>
    <w:p w14:paraId="68B461F1" w14:textId="77777777" w:rsidR="0036319E" w:rsidRPr="000E4A5C" w:rsidRDefault="0036319E" w:rsidP="003D7428">
      <w:pPr>
        <w:pStyle w:val="Paragrafoelenco"/>
        <w:numPr>
          <w:ilvl w:val="0"/>
          <w:numId w:val="30"/>
        </w:numPr>
        <w:autoSpaceDE w:val="0"/>
        <w:autoSpaceDN w:val="0"/>
        <w:adjustRightInd w:val="0"/>
        <w:jc w:val="both"/>
        <w:rPr>
          <w:rFonts w:ascii="Arial" w:hAnsi="Arial" w:cs="Arial"/>
          <w:i/>
          <w:iCs/>
          <w:color w:val="00B0F0"/>
          <w:sz w:val="22"/>
          <w:szCs w:val="22"/>
        </w:rPr>
      </w:pPr>
      <w:r w:rsidRPr="000E4A5C">
        <w:rPr>
          <w:rFonts w:ascii="Arial" w:hAnsi="Arial" w:cs="Arial"/>
          <w:b/>
          <w:i/>
          <w:iCs/>
          <w:color w:val="00B0F0"/>
          <w:sz w:val="22"/>
          <w:szCs w:val="22"/>
        </w:rPr>
        <w:t>commi 4 e 5 dell’articolo 5 della legge n. 67/1987</w:t>
      </w:r>
      <w:r w:rsidR="000E4A5C">
        <w:rPr>
          <w:rFonts w:ascii="Arial" w:hAnsi="Arial" w:cs="Arial"/>
          <w:i/>
          <w:iCs/>
          <w:color w:val="00B0F0"/>
          <w:sz w:val="22"/>
          <w:szCs w:val="22"/>
        </w:rPr>
        <w:t>, relativo</w:t>
      </w:r>
      <w:r w:rsidRPr="000E4A5C">
        <w:rPr>
          <w:rFonts w:ascii="Arial" w:hAnsi="Arial" w:cs="Arial"/>
          <w:i/>
          <w:iCs/>
          <w:color w:val="00B0F0"/>
          <w:sz w:val="22"/>
          <w:szCs w:val="22"/>
        </w:rPr>
        <w:t xml:space="preserve"> all’obbligo di comunicazione al Garante delle telecomunicazioni delle spese pubblicitarie effettuate nel corso di ogni esercizio finanziario, con deposito di riepilogo analitico. L’obbligo riguarda tutte le amministrazioni pubbliche anche in caso di dichiarazione negativa. A norma del comma 5, sono esentati dalla comunicazione negativa i comuni con meno di 40.000 abitanti; </w:t>
      </w:r>
    </w:p>
    <w:p w14:paraId="6B1E4A91" w14:textId="77777777" w:rsidR="0036319E" w:rsidRPr="000E4A5C" w:rsidRDefault="0036319E" w:rsidP="00F442A3">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594, articolo 2, della legge n. 244/2007</w:t>
      </w:r>
      <w:r w:rsidRPr="000E4A5C">
        <w:rPr>
          <w:rFonts w:ascii="Arial" w:hAnsi="Arial" w:cs="Arial"/>
          <w:i/>
          <w:iCs/>
          <w:color w:val="00B0F0"/>
          <w:sz w:val="22"/>
          <w:szCs w:val="22"/>
        </w:rPr>
        <w:t xml:space="preserve">, il quale dispone che ai fini del contenimento delle spese di funzionamento delle proprie strutture, le amministrazioni pubbliche (di cui all’art.1, co.2, del D.lgs. 165/2001), adottano </w:t>
      </w:r>
      <w:r w:rsidRPr="000E4A5C">
        <w:rPr>
          <w:rFonts w:ascii="Arial" w:hAnsi="Arial" w:cs="Arial"/>
          <w:b/>
          <w:bCs/>
          <w:i/>
          <w:iCs/>
          <w:color w:val="00B0F0"/>
          <w:sz w:val="22"/>
          <w:szCs w:val="22"/>
        </w:rPr>
        <w:t xml:space="preserve">piani triennali </w:t>
      </w:r>
      <w:r w:rsidRPr="000E4A5C">
        <w:rPr>
          <w:rFonts w:ascii="Arial" w:hAnsi="Arial" w:cs="Arial"/>
          <w:i/>
          <w:iCs/>
          <w:color w:val="00B0F0"/>
          <w:sz w:val="22"/>
          <w:szCs w:val="22"/>
        </w:rPr>
        <w:t xml:space="preserve">per l’individuazione di misure finalizzate alla </w:t>
      </w:r>
      <w:r w:rsidRPr="000E4A5C">
        <w:rPr>
          <w:rFonts w:ascii="Arial" w:hAnsi="Arial" w:cs="Arial"/>
          <w:b/>
          <w:bCs/>
          <w:i/>
          <w:iCs/>
          <w:color w:val="00B0F0"/>
          <w:sz w:val="22"/>
          <w:szCs w:val="22"/>
        </w:rPr>
        <w:t>razionalizzazione dell’utilizzo delle dotazioni strumentali</w:t>
      </w:r>
      <w:r w:rsidRPr="000E4A5C">
        <w:rPr>
          <w:rFonts w:ascii="Arial" w:hAnsi="Arial" w:cs="Arial"/>
          <w:i/>
          <w:iCs/>
          <w:color w:val="00B0F0"/>
          <w:sz w:val="22"/>
          <w:szCs w:val="22"/>
        </w:rPr>
        <w:t xml:space="preserve">, anche informatiche, delle autovetture di servizio, dei beni immobili ad uso abitativo o di servizio, con esclusione dei beni infrastrutturali; </w:t>
      </w:r>
    </w:p>
    <w:p w14:paraId="041F8BB9" w14:textId="77777777"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commi 12 e 14 dell’articolo 6 del Dl 78/2010</w:t>
      </w:r>
      <w:r w:rsidRPr="000E4A5C">
        <w:rPr>
          <w:rFonts w:ascii="Arial" w:hAnsi="Arial" w:cs="Arial"/>
          <w:i/>
          <w:iCs/>
          <w:color w:val="00B0F0"/>
          <w:sz w:val="22"/>
          <w:szCs w:val="22"/>
        </w:rPr>
        <w:t xml:space="preserve">, relativi alla riduzione dei costi degli apparati amministrativi. In sintesi, il comma 12 prevede che le amministrazioni pubbliche non possono effettuare </w:t>
      </w:r>
      <w:r w:rsidRPr="000E4A5C">
        <w:rPr>
          <w:rFonts w:ascii="Arial" w:hAnsi="Arial" w:cs="Arial"/>
          <w:b/>
          <w:bCs/>
          <w:i/>
          <w:iCs/>
          <w:color w:val="00B0F0"/>
          <w:sz w:val="22"/>
          <w:szCs w:val="22"/>
        </w:rPr>
        <w:t>spese per missioni per un ammontare superiore al 50% della spesa sostenuta nell'anno 2009</w:t>
      </w:r>
      <w:r w:rsidRPr="000E4A5C">
        <w:rPr>
          <w:rFonts w:ascii="Arial" w:hAnsi="Arial" w:cs="Arial"/>
          <w:i/>
          <w:iCs/>
          <w:color w:val="00B0F0"/>
          <w:sz w:val="22"/>
          <w:szCs w:val="22"/>
        </w:rPr>
        <w:t xml:space="preserve">. Il comma 14 dispone che a decorrere dall'anno 2011 le amministrazioni pubbliche non possono </w:t>
      </w:r>
      <w:r w:rsidRPr="000E4A5C">
        <w:rPr>
          <w:rFonts w:ascii="Arial" w:hAnsi="Arial" w:cs="Arial"/>
          <w:b/>
          <w:bCs/>
          <w:i/>
          <w:iCs/>
          <w:color w:val="00B0F0"/>
          <w:sz w:val="22"/>
          <w:szCs w:val="22"/>
        </w:rPr>
        <w:t xml:space="preserve">effettuare spese per autovetture </w:t>
      </w:r>
      <w:r w:rsidRPr="000E4A5C">
        <w:rPr>
          <w:rFonts w:ascii="Arial" w:hAnsi="Arial" w:cs="Arial"/>
          <w:i/>
          <w:iCs/>
          <w:color w:val="00B0F0"/>
          <w:sz w:val="22"/>
          <w:szCs w:val="22"/>
        </w:rPr>
        <w:t xml:space="preserve">(acquisto, manutenzione, noleggio, buoni taxi), </w:t>
      </w:r>
      <w:r w:rsidRPr="000E4A5C">
        <w:rPr>
          <w:rFonts w:ascii="Arial" w:hAnsi="Arial" w:cs="Arial"/>
          <w:b/>
          <w:bCs/>
          <w:i/>
          <w:iCs/>
          <w:color w:val="00B0F0"/>
          <w:sz w:val="22"/>
          <w:szCs w:val="22"/>
        </w:rPr>
        <w:t>per un ammontare superiore all'80 per cento della spesa sostenuta nell'anno 2009</w:t>
      </w:r>
      <w:r w:rsidRPr="000E4A5C">
        <w:rPr>
          <w:rFonts w:ascii="Arial" w:hAnsi="Arial" w:cs="Arial"/>
          <w:i/>
          <w:iCs/>
          <w:color w:val="00B0F0"/>
          <w:sz w:val="22"/>
          <w:szCs w:val="22"/>
        </w:rPr>
        <w:t xml:space="preserve">; </w:t>
      </w:r>
    </w:p>
    <w:p w14:paraId="493FF32D" w14:textId="77777777"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1-ter dell’articolo 12 del Dl 98/2011</w:t>
      </w:r>
      <w:r w:rsidRPr="000E4A5C">
        <w:rPr>
          <w:rFonts w:ascii="Arial" w:hAnsi="Arial" w:cs="Arial"/>
          <w:i/>
          <w:iCs/>
          <w:color w:val="00B0F0"/>
          <w:sz w:val="22"/>
          <w:szCs w:val="22"/>
        </w:rPr>
        <w:t xml:space="preserve">, il quale prevede che a decorrere dal 1° gennaio 2014, gli enti territoriali e gli enti del Servizio sanitario nazionale, al fine di pervenire a risparmi di spesa ulteriori rispetto a quelli previsti dal patto di stabilità interno, effettuano </w:t>
      </w:r>
      <w:r w:rsidRPr="000E4A5C">
        <w:rPr>
          <w:rFonts w:ascii="Arial" w:hAnsi="Arial" w:cs="Arial"/>
          <w:b/>
          <w:bCs/>
          <w:i/>
          <w:iCs/>
          <w:color w:val="00B0F0"/>
          <w:sz w:val="22"/>
          <w:szCs w:val="22"/>
        </w:rPr>
        <w:t xml:space="preserve">operazioni di acquisto di immobili solo ove ne siano comprovate documentalmente l'indispensabilità e l'indilazionabilità </w:t>
      </w:r>
      <w:r w:rsidRPr="000E4A5C">
        <w:rPr>
          <w:rFonts w:ascii="Arial" w:hAnsi="Arial" w:cs="Arial"/>
          <w:i/>
          <w:iCs/>
          <w:color w:val="00B0F0"/>
          <w:sz w:val="22"/>
          <w:szCs w:val="22"/>
        </w:rPr>
        <w:t xml:space="preserve">attestate dal responsabile del procedimento; </w:t>
      </w:r>
    </w:p>
    <w:p w14:paraId="3560DD50" w14:textId="77777777"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2 dell’articolo 5 del Dl 95/2012</w:t>
      </w:r>
      <w:r w:rsidRPr="000E4A5C">
        <w:rPr>
          <w:rFonts w:ascii="Arial" w:hAnsi="Arial" w:cs="Arial"/>
          <w:i/>
          <w:iCs/>
          <w:color w:val="00B0F0"/>
          <w:sz w:val="22"/>
          <w:szCs w:val="22"/>
        </w:rPr>
        <w:t xml:space="preserve">, che dispone che a decorrere dal 1° maggio 2014, le amministrazioni pubbliche non possono effettuare </w:t>
      </w:r>
      <w:r w:rsidRPr="000E4A5C">
        <w:rPr>
          <w:rFonts w:ascii="Arial" w:hAnsi="Arial" w:cs="Arial"/>
          <w:b/>
          <w:bCs/>
          <w:i/>
          <w:iCs/>
          <w:color w:val="00B0F0"/>
          <w:sz w:val="22"/>
          <w:szCs w:val="22"/>
        </w:rPr>
        <w:t>spese per autovetture</w:t>
      </w:r>
      <w:r w:rsidRPr="000E4A5C">
        <w:rPr>
          <w:rFonts w:ascii="Arial" w:hAnsi="Arial" w:cs="Arial"/>
          <w:i/>
          <w:iCs/>
          <w:color w:val="00B0F0"/>
          <w:sz w:val="22"/>
          <w:szCs w:val="22"/>
        </w:rPr>
        <w:t xml:space="preserve">, </w:t>
      </w:r>
      <w:r w:rsidRPr="000E4A5C">
        <w:rPr>
          <w:rFonts w:ascii="Arial" w:hAnsi="Arial" w:cs="Arial"/>
          <w:b/>
          <w:bCs/>
          <w:i/>
          <w:iCs/>
          <w:color w:val="00B0F0"/>
          <w:sz w:val="22"/>
          <w:szCs w:val="22"/>
        </w:rPr>
        <w:t>di ammontare superiore al 30 per cento della spesa sostenuta nell'anno 2011</w:t>
      </w:r>
      <w:r w:rsidRPr="000E4A5C">
        <w:rPr>
          <w:rFonts w:ascii="Arial" w:hAnsi="Arial" w:cs="Arial"/>
          <w:i/>
          <w:iCs/>
          <w:color w:val="00B0F0"/>
          <w:sz w:val="22"/>
          <w:szCs w:val="22"/>
        </w:rPr>
        <w:t xml:space="preserve">; </w:t>
      </w:r>
    </w:p>
    <w:p w14:paraId="60172957" w14:textId="77777777"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articolo 24 del Dl 66/2014</w:t>
      </w:r>
      <w:r w:rsidRPr="000E4A5C">
        <w:rPr>
          <w:rFonts w:ascii="Arial" w:hAnsi="Arial" w:cs="Arial"/>
          <w:i/>
          <w:iCs/>
          <w:color w:val="00B0F0"/>
          <w:sz w:val="22"/>
          <w:szCs w:val="22"/>
        </w:rPr>
        <w:t xml:space="preserve">, che riguarda le norme in materia di locazioni e manutenzioni di immobili da parte delle pubbliche amministrazioni. In particolare, la disposizione in </w:t>
      </w:r>
      <w:r w:rsidRPr="000E4A5C">
        <w:rPr>
          <w:rFonts w:ascii="Arial" w:hAnsi="Arial" w:cs="Arial"/>
          <w:i/>
          <w:iCs/>
          <w:color w:val="00B0F0"/>
          <w:sz w:val="22"/>
          <w:szCs w:val="22"/>
        </w:rPr>
        <w:lastRenderedPageBreak/>
        <w:t xml:space="preserve">questione prevede specifici </w:t>
      </w:r>
      <w:r w:rsidRPr="000E4A5C">
        <w:rPr>
          <w:rFonts w:ascii="Arial" w:hAnsi="Arial" w:cs="Arial"/>
          <w:b/>
          <w:bCs/>
          <w:i/>
          <w:iCs/>
          <w:color w:val="00B0F0"/>
          <w:sz w:val="22"/>
          <w:szCs w:val="22"/>
        </w:rPr>
        <w:t>obblighi volti a ridurre le spese concernenti la locazione e la manutenzione degli immobili</w:t>
      </w:r>
      <w:r w:rsidRPr="000E4A5C">
        <w:rPr>
          <w:rFonts w:ascii="Arial" w:hAnsi="Arial" w:cs="Arial"/>
          <w:i/>
          <w:iCs/>
          <w:color w:val="00B0F0"/>
          <w:sz w:val="22"/>
          <w:szCs w:val="22"/>
        </w:rPr>
        <w:t xml:space="preserve">, anche attraverso il recesso contrattuale. </w:t>
      </w:r>
    </w:p>
    <w:p w14:paraId="7399E24B" w14:textId="77777777" w:rsidR="0036319E" w:rsidRPr="003D7428" w:rsidRDefault="0036319E">
      <w:pPr>
        <w:jc w:val="both"/>
        <w:rPr>
          <w:rFonts w:ascii="Arial" w:hAnsi="Arial" w:cs="Arial"/>
          <w:i/>
          <w:color w:val="00B0F0"/>
          <w:sz w:val="22"/>
          <w:szCs w:val="22"/>
        </w:rPr>
      </w:pPr>
    </w:p>
    <w:p w14:paraId="718B4277" w14:textId="77777777" w:rsidR="009F6E3E" w:rsidRPr="00D80990" w:rsidRDefault="009F6E3E">
      <w:pPr>
        <w:jc w:val="both"/>
        <w:rPr>
          <w:rFonts w:ascii="Arial" w:hAnsi="Arial" w:cs="Arial"/>
          <w:sz w:val="22"/>
          <w:szCs w:val="22"/>
        </w:rPr>
      </w:pPr>
    </w:p>
    <w:p w14:paraId="0681CCBD" w14:textId="77777777" w:rsidR="00E453A3" w:rsidRPr="00D80990" w:rsidRDefault="00E453A3" w:rsidP="00E453A3">
      <w:pPr>
        <w:pStyle w:val="Titolo3"/>
        <w:rPr>
          <w:szCs w:val="22"/>
        </w:rPr>
      </w:pPr>
      <w:bookmarkStart w:id="65" w:name="_Toc535487622"/>
      <w:bookmarkStart w:id="66" w:name="_Toc346838833"/>
      <w:r w:rsidRPr="00D80990">
        <w:rPr>
          <w:szCs w:val="22"/>
        </w:rPr>
        <w:t>Fondo crediti di dubbia esigibilità (FCDE)</w:t>
      </w:r>
      <w:bookmarkEnd w:id="65"/>
    </w:p>
    <w:p w14:paraId="3C982BBA" w14:textId="77777777" w:rsidR="00E453A3" w:rsidRPr="00D80990" w:rsidRDefault="00E453A3" w:rsidP="00E453A3">
      <w:pPr>
        <w:rPr>
          <w:rFonts w:ascii="Arial" w:hAnsi="Arial" w:cs="Arial"/>
          <w:sz w:val="22"/>
          <w:szCs w:val="22"/>
        </w:rPr>
      </w:pPr>
    </w:p>
    <w:p w14:paraId="34D259D5" w14:textId="77777777" w:rsidR="00E453A3" w:rsidRPr="00D80990" w:rsidRDefault="00E453A3" w:rsidP="00E453A3">
      <w:pPr>
        <w:jc w:val="both"/>
        <w:rPr>
          <w:rFonts w:ascii="Arial" w:hAnsi="Arial" w:cs="Arial"/>
          <w:i/>
          <w:color w:val="365F91" w:themeColor="accent1" w:themeShade="BF"/>
          <w:sz w:val="22"/>
          <w:szCs w:val="22"/>
        </w:rPr>
      </w:pPr>
      <w:r w:rsidRPr="00D80990">
        <w:rPr>
          <w:rFonts w:ascii="Arial" w:hAnsi="Arial" w:cs="Arial"/>
          <w:i/>
          <w:color w:val="00B0F0"/>
          <w:sz w:val="22"/>
          <w:szCs w:val="22"/>
        </w:rPr>
        <w:t>Riferimento punto 3.3 del principio applicato 4/2 D.Lgs. 118/2011</w:t>
      </w:r>
      <w:r>
        <w:rPr>
          <w:rFonts w:ascii="Arial" w:hAnsi="Arial" w:cs="Arial"/>
          <w:i/>
          <w:color w:val="00B0F0"/>
          <w:sz w:val="22"/>
          <w:szCs w:val="22"/>
        </w:rPr>
        <w:t xml:space="preserve"> e esempio n. 5</w:t>
      </w:r>
    </w:p>
    <w:p w14:paraId="04CD235D" w14:textId="77777777" w:rsidR="00E453A3" w:rsidRPr="00D80990" w:rsidRDefault="00E453A3" w:rsidP="00E453A3">
      <w:pPr>
        <w:jc w:val="both"/>
        <w:rPr>
          <w:rFonts w:ascii="Arial" w:hAnsi="Arial" w:cs="Arial"/>
          <w:sz w:val="22"/>
          <w:szCs w:val="22"/>
        </w:rPr>
      </w:pPr>
    </w:p>
    <w:p w14:paraId="4CD2583D" w14:textId="77777777" w:rsidR="00E453A3" w:rsidRPr="00D80990" w:rsidRDefault="00E453A3" w:rsidP="00E453A3">
      <w:pPr>
        <w:jc w:val="both"/>
        <w:rPr>
          <w:rFonts w:ascii="Arial" w:hAnsi="Arial" w:cs="Arial"/>
          <w:sz w:val="22"/>
          <w:szCs w:val="22"/>
        </w:rPr>
      </w:pPr>
      <w:r>
        <w:rPr>
          <w:rFonts w:ascii="Arial" w:hAnsi="Arial" w:cs="Arial"/>
          <w:sz w:val="22"/>
          <w:szCs w:val="22"/>
        </w:rPr>
        <w:t>Gli stanziamenti iscritti nella missione 20, programma 2(accantonamenti al fondo crediti dubbia esigibilità) a titolo di</w:t>
      </w:r>
      <w:r w:rsidRPr="00D80990">
        <w:rPr>
          <w:rFonts w:ascii="Arial" w:hAnsi="Arial" w:cs="Arial"/>
          <w:sz w:val="22"/>
          <w:szCs w:val="22"/>
        </w:rPr>
        <w:t xml:space="preserve"> FCDE </w:t>
      </w:r>
      <w:r>
        <w:rPr>
          <w:rFonts w:ascii="Arial" w:hAnsi="Arial" w:cs="Arial"/>
          <w:sz w:val="22"/>
          <w:szCs w:val="22"/>
        </w:rPr>
        <w:t>per ciascuno degli anni</w:t>
      </w:r>
      <w:r w:rsidRPr="00D80990">
        <w:rPr>
          <w:rFonts w:ascii="Arial" w:hAnsi="Arial" w:cs="Arial"/>
          <w:sz w:val="22"/>
          <w:szCs w:val="22"/>
        </w:rPr>
        <w:t xml:space="preserve"> 201</w:t>
      </w:r>
      <w:r>
        <w:rPr>
          <w:rFonts w:ascii="Arial" w:hAnsi="Arial" w:cs="Arial"/>
          <w:sz w:val="22"/>
          <w:szCs w:val="22"/>
        </w:rPr>
        <w:t xml:space="preserve">9-2021risultano dai </w:t>
      </w:r>
      <w:r w:rsidRPr="00D80990">
        <w:rPr>
          <w:rFonts w:ascii="Arial" w:hAnsi="Arial" w:cs="Arial"/>
          <w:sz w:val="22"/>
          <w:szCs w:val="22"/>
        </w:rPr>
        <w:t xml:space="preserve">prospetti che seguono per singola tipologia di entrata. </w:t>
      </w:r>
    </w:p>
    <w:p w14:paraId="3C8FF181" w14:textId="77777777" w:rsidR="00E453A3" w:rsidRDefault="00E453A3" w:rsidP="00E453A3">
      <w:pPr>
        <w:jc w:val="both"/>
        <w:rPr>
          <w:rFonts w:ascii="Arial" w:hAnsi="Arial" w:cs="Arial"/>
          <w:sz w:val="22"/>
          <w:szCs w:val="22"/>
        </w:rPr>
      </w:pPr>
    </w:p>
    <w:p w14:paraId="7930B76E" w14:textId="77777777" w:rsidR="00E453A3"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Il fondo crediti di dubbia esigibilità, pur confluendo in un unico piano finanziario</w:t>
      </w:r>
      <w:r>
        <w:rPr>
          <w:rFonts w:ascii="Arial" w:hAnsi="Arial" w:cs="Arial"/>
          <w:i/>
          <w:color w:val="00B0F0"/>
          <w:sz w:val="22"/>
          <w:szCs w:val="22"/>
        </w:rPr>
        <w:t xml:space="preserve"> (distinto fra parte corrente e in conto capitale)</w:t>
      </w:r>
      <w:r w:rsidRPr="00D80990">
        <w:rPr>
          <w:rFonts w:ascii="Arial" w:hAnsi="Arial" w:cs="Arial"/>
          <w:i/>
          <w:color w:val="00B0F0"/>
          <w:sz w:val="22"/>
          <w:szCs w:val="22"/>
        </w:rPr>
        <w:t xml:space="preserve"> incluso nella missione 20 programma 2, deve essere articolato distintamente in considerazione della differente natura dei crediti.</w:t>
      </w:r>
    </w:p>
    <w:p w14:paraId="5CF9E16F" w14:textId="77777777" w:rsidR="00E453A3" w:rsidRDefault="00E453A3" w:rsidP="00E453A3">
      <w:pPr>
        <w:tabs>
          <w:tab w:val="left" w:pos="284"/>
        </w:tabs>
        <w:ind w:right="-1"/>
        <w:jc w:val="both"/>
        <w:rPr>
          <w:rFonts w:ascii="Arial" w:hAnsi="Arial" w:cs="Arial"/>
          <w:i/>
          <w:color w:val="00B0F0"/>
          <w:sz w:val="22"/>
          <w:szCs w:val="22"/>
        </w:rPr>
      </w:pPr>
    </w:p>
    <w:p w14:paraId="794A3D82" w14:textId="77777777" w:rsidR="00E453A3" w:rsidRPr="00536A56" w:rsidRDefault="00E453A3" w:rsidP="00E453A3">
      <w:pPr>
        <w:tabs>
          <w:tab w:val="left" w:pos="284"/>
        </w:tabs>
        <w:ind w:right="-1"/>
        <w:jc w:val="both"/>
        <w:rPr>
          <w:rFonts w:ascii="Arial" w:hAnsi="Arial" w:cs="Arial"/>
          <w:i/>
          <w:color w:val="00B0F0"/>
          <w:sz w:val="22"/>
          <w:szCs w:val="22"/>
          <w:u w:val="single"/>
        </w:rPr>
      </w:pPr>
      <w:r w:rsidRPr="00536A56">
        <w:rPr>
          <w:rFonts w:ascii="Arial" w:hAnsi="Arial" w:cs="Arial"/>
          <w:i/>
          <w:color w:val="00B0F0"/>
          <w:sz w:val="22"/>
          <w:szCs w:val="22"/>
          <w:u w:val="single"/>
        </w:rPr>
        <w:t>Inoltre</w:t>
      </w:r>
      <w:r w:rsidR="007E421F">
        <w:rPr>
          <w:rFonts w:ascii="Arial" w:hAnsi="Arial" w:cs="Arial"/>
          <w:i/>
          <w:color w:val="00B0F0"/>
          <w:sz w:val="22"/>
          <w:szCs w:val="22"/>
          <w:u w:val="single"/>
        </w:rPr>
        <w:t>,</w:t>
      </w:r>
      <w:r w:rsidRPr="00536A56">
        <w:rPr>
          <w:rFonts w:ascii="Arial" w:hAnsi="Arial" w:cs="Arial"/>
          <w:i/>
          <w:color w:val="00B0F0"/>
          <w:sz w:val="22"/>
          <w:szCs w:val="22"/>
          <w:u w:val="single"/>
        </w:rPr>
        <w:t xml:space="preserve"> l’importo indicato nel prospetto del fcde deve essere uguale a quello indicato nella missione 20, programma 1, e nel prospetto degli equilibri</w:t>
      </w:r>
      <w:r>
        <w:rPr>
          <w:rFonts w:ascii="Arial" w:hAnsi="Arial" w:cs="Arial"/>
          <w:i/>
          <w:color w:val="00B0F0"/>
          <w:sz w:val="22"/>
          <w:szCs w:val="22"/>
          <w:u w:val="single"/>
        </w:rPr>
        <w:t>.</w:t>
      </w:r>
    </w:p>
    <w:p w14:paraId="30268A6E" w14:textId="77777777" w:rsidR="00E453A3" w:rsidRDefault="00E453A3" w:rsidP="00E453A3">
      <w:pPr>
        <w:tabs>
          <w:tab w:val="left" w:pos="284"/>
        </w:tabs>
        <w:ind w:right="-1"/>
        <w:jc w:val="both"/>
        <w:rPr>
          <w:rFonts w:ascii="Arial" w:hAnsi="Arial" w:cs="Arial"/>
          <w:i/>
          <w:color w:val="00B0F0"/>
          <w:sz w:val="22"/>
          <w:szCs w:val="22"/>
        </w:rPr>
      </w:pPr>
    </w:p>
    <w:p w14:paraId="51996E82" w14:textId="77777777" w:rsidR="00E453A3" w:rsidRPr="00D80990" w:rsidRDefault="00E453A3" w:rsidP="00E453A3">
      <w:pPr>
        <w:tabs>
          <w:tab w:val="left" w:pos="284"/>
        </w:tabs>
        <w:ind w:right="-1"/>
        <w:jc w:val="both"/>
        <w:rPr>
          <w:rFonts w:ascii="Arial" w:hAnsi="Arial" w:cs="Arial"/>
          <w:b/>
          <w:i/>
          <w:color w:val="00B0F0"/>
          <w:sz w:val="22"/>
          <w:szCs w:val="22"/>
        </w:rPr>
      </w:pPr>
      <w:r w:rsidRPr="00D80990">
        <w:rPr>
          <w:rFonts w:ascii="Arial" w:hAnsi="Arial" w:cs="Arial"/>
          <w:i/>
          <w:color w:val="00B0F0"/>
          <w:sz w:val="22"/>
          <w:szCs w:val="22"/>
        </w:rPr>
        <w:t>Non sono oggetto di svalutazione i crediti da altre amministrazioni pubbliche</w:t>
      </w:r>
      <w:r>
        <w:rPr>
          <w:rFonts w:ascii="Arial" w:hAnsi="Arial" w:cs="Arial"/>
          <w:i/>
          <w:color w:val="00B0F0"/>
          <w:sz w:val="22"/>
          <w:szCs w:val="22"/>
        </w:rPr>
        <w:t xml:space="preserve"> (si fa riferimento a Elenco Istat)</w:t>
      </w:r>
      <w:r w:rsidRPr="00D80990">
        <w:rPr>
          <w:rFonts w:ascii="Arial" w:hAnsi="Arial" w:cs="Arial"/>
          <w:i/>
          <w:color w:val="00B0F0"/>
          <w:sz w:val="22"/>
          <w:szCs w:val="22"/>
        </w:rPr>
        <w:t>, i crediti assistiti da fidejussione e le entrate tributarie che, sulla base dei principi contabili sono accertate per cassa. Per le entrate da tributi in autoliquidazione in ossequio al principio 3.7.5, stante le modalità di accertamento non è stato previsto il FCDE</w:t>
      </w:r>
    </w:p>
    <w:p w14:paraId="0631552F" w14:textId="77777777" w:rsidR="00E453A3" w:rsidRPr="00D80990"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Non sono altresì oggetto di svalutazione le entrate di dubbia e difficile esazione riguardanti entrate riscosse da un ente per conto di un altro ente e destinate ad essere versate all’ente beneficiario finale. Il fondo crediti di dubbia esigibilità è accantonato dall’ente beneficiario finale.</w:t>
      </w:r>
    </w:p>
    <w:p w14:paraId="2D9DAB64" w14:textId="77777777" w:rsidR="00E453A3" w:rsidRDefault="00E453A3" w:rsidP="00E453A3">
      <w:pPr>
        <w:tabs>
          <w:tab w:val="left" w:pos="284"/>
        </w:tabs>
        <w:ind w:right="-1"/>
        <w:jc w:val="both"/>
        <w:rPr>
          <w:rFonts w:ascii="Arial" w:hAnsi="Arial" w:cs="Arial"/>
          <w:i/>
          <w:color w:val="00B0F0"/>
          <w:sz w:val="22"/>
          <w:szCs w:val="22"/>
        </w:rPr>
      </w:pPr>
    </w:p>
    <w:p w14:paraId="14C4E177" w14:textId="77777777" w:rsidR="00E453A3" w:rsidRDefault="00E453A3" w:rsidP="00E453A3">
      <w:pPr>
        <w:tabs>
          <w:tab w:val="left" w:pos="284"/>
        </w:tabs>
        <w:ind w:right="-1"/>
        <w:jc w:val="both"/>
        <w:rPr>
          <w:rFonts w:ascii="Arial" w:hAnsi="Arial" w:cs="Arial"/>
          <w:i/>
          <w:color w:val="00B0F0"/>
          <w:sz w:val="22"/>
          <w:szCs w:val="22"/>
        </w:rPr>
      </w:pPr>
      <w:r w:rsidRPr="0019299F">
        <w:rPr>
          <w:rFonts w:ascii="Arial" w:hAnsi="Arial" w:cs="Arial"/>
          <w:i/>
          <w:color w:val="00B0F0"/>
          <w:sz w:val="22"/>
          <w:szCs w:val="22"/>
        </w:rPr>
        <w:t>Con riferimento alle entrate che l’ente non considera di dubbia e difficile esazione, per le quali non si provvede all’accantonamento al fondo crediti di dubbia esigibilità, è necessario dare adeguata illustrazione nella Nota integrativa al bilancio</w:t>
      </w:r>
      <w:r>
        <w:rPr>
          <w:rFonts w:ascii="Arial" w:hAnsi="Arial" w:cs="Arial"/>
          <w:i/>
          <w:color w:val="00B0F0"/>
          <w:sz w:val="22"/>
          <w:szCs w:val="22"/>
        </w:rPr>
        <w:t>.</w:t>
      </w:r>
    </w:p>
    <w:p w14:paraId="600A464E" w14:textId="77777777" w:rsidR="00E453A3" w:rsidRDefault="00E453A3" w:rsidP="00E453A3">
      <w:pPr>
        <w:tabs>
          <w:tab w:val="left" w:pos="284"/>
        </w:tabs>
        <w:ind w:right="-1"/>
        <w:jc w:val="both"/>
        <w:rPr>
          <w:rFonts w:ascii="Arial" w:hAnsi="Arial" w:cs="Arial"/>
          <w:i/>
          <w:color w:val="00B0F0"/>
          <w:sz w:val="22"/>
          <w:szCs w:val="22"/>
        </w:rPr>
      </w:pPr>
    </w:p>
    <w:p w14:paraId="05380165" w14:textId="77777777" w:rsidR="00E453A3" w:rsidRPr="00D80990" w:rsidRDefault="00E453A3" w:rsidP="00E453A3">
      <w:pPr>
        <w:jc w:val="both"/>
        <w:rPr>
          <w:rFonts w:ascii="Arial" w:hAnsi="Arial" w:cs="Arial"/>
          <w:sz w:val="22"/>
          <w:szCs w:val="22"/>
        </w:rPr>
      </w:pPr>
      <w:r w:rsidRPr="00D80990">
        <w:rPr>
          <w:rFonts w:ascii="Arial" w:hAnsi="Arial" w:cs="Arial"/>
          <w:sz w:val="22"/>
          <w:szCs w:val="22"/>
        </w:rPr>
        <w:t xml:space="preserve">Il FCDE è determinato applicando all’importo complessivo degli stanziamenti di ciascuna delle entrate una percentuale pari al complemento a 100 delle medie calcolate come di seguito specificato. </w:t>
      </w:r>
    </w:p>
    <w:p w14:paraId="509A381D" w14:textId="77777777" w:rsidR="00E453A3" w:rsidRPr="00D80990" w:rsidRDefault="00E453A3" w:rsidP="00E453A3">
      <w:pPr>
        <w:tabs>
          <w:tab w:val="left" w:pos="284"/>
        </w:tabs>
        <w:ind w:right="-1"/>
        <w:jc w:val="both"/>
        <w:rPr>
          <w:rFonts w:ascii="Arial" w:hAnsi="Arial" w:cs="Arial"/>
          <w:color w:val="17365D" w:themeColor="text2" w:themeShade="BF"/>
          <w:sz w:val="22"/>
          <w:szCs w:val="22"/>
        </w:rPr>
      </w:pPr>
      <w:r w:rsidRPr="00D80990">
        <w:rPr>
          <w:rFonts w:ascii="Arial" w:hAnsi="Arial" w:cs="Arial"/>
          <w:sz w:val="22"/>
          <w:szCs w:val="22"/>
        </w:rPr>
        <w:t>I calcoli sono stati effettuati applicando al rapporto tra gli incassi in c/competenza e gli accertamenti degli ultimi 5 esercizi, il seguente metodo ………….(</w:t>
      </w:r>
      <w:r w:rsidRPr="00D80990">
        <w:rPr>
          <w:rFonts w:ascii="Arial" w:hAnsi="Arial" w:cs="Arial"/>
          <w:i/>
          <w:color w:val="00B0F0"/>
          <w:sz w:val="22"/>
          <w:szCs w:val="22"/>
        </w:rPr>
        <w:t>specificare  quali delle seguenti medie è stata prescelta</w:t>
      </w:r>
      <w:r w:rsidRPr="00D80990">
        <w:rPr>
          <w:rFonts w:ascii="Arial" w:hAnsi="Arial" w:cs="Arial"/>
          <w:color w:val="17365D" w:themeColor="text2" w:themeShade="BF"/>
          <w:sz w:val="22"/>
          <w:szCs w:val="22"/>
        </w:rPr>
        <w:t>):</w:t>
      </w:r>
    </w:p>
    <w:p w14:paraId="476781C2" w14:textId="77777777"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media semplice (sia la media fra totale incassato e totale accertato, sia la  media dei rapporti annui);</w:t>
      </w:r>
    </w:p>
    <w:p w14:paraId="68E9C56B" w14:textId="77777777"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rapporto tra la sommatoria degli incassi di ciascun anno ponderati con i seguenti pesi: 0,35 in ciascuno degli anni nel biennio precedente e lo 0,10 in ciascuno degli anni del primo triennio - rispetto alla sommatoria degli accertamenti di ciascuna anno ponderati con i medesimi pesi indicati per gli incassi;</w:t>
      </w:r>
    </w:p>
    <w:p w14:paraId="6B4780D2" w14:textId="77777777"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media ponderata del rapporto tra incassi e accertamenti registrato in ciascun anno del quinquennio con i seguenti pesi: 0,35 in ciascuno degli anni nel biennio precedente e il  0,10 in ciascuno degli anni del primo triennio).</w:t>
      </w:r>
    </w:p>
    <w:p w14:paraId="3125E829" w14:textId="77777777" w:rsidR="00E453A3" w:rsidRPr="00D80990" w:rsidRDefault="00E453A3" w:rsidP="00E453A3">
      <w:pPr>
        <w:tabs>
          <w:tab w:val="left" w:pos="284"/>
        </w:tabs>
        <w:ind w:right="-285"/>
        <w:jc w:val="both"/>
        <w:rPr>
          <w:rFonts w:ascii="Arial" w:hAnsi="Arial" w:cs="Arial"/>
          <w:b/>
          <w:color w:val="17365D" w:themeColor="text2" w:themeShade="BF"/>
          <w:sz w:val="22"/>
          <w:szCs w:val="22"/>
        </w:rPr>
      </w:pPr>
    </w:p>
    <w:p w14:paraId="164827B7" w14:textId="77777777" w:rsidR="00E453A3"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 xml:space="preserve">La possibilità di considerare al numeratore </w:t>
      </w:r>
      <w:r>
        <w:rPr>
          <w:rFonts w:ascii="Arial" w:hAnsi="Arial" w:cs="Arial"/>
          <w:i/>
          <w:color w:val="00B0F0"/>
          <w:sz w:val="22"/>
          <w:szCs w:val="22"/>
        </w:rPr>
        <w:t>il totale degli</w:t>
      </w:r>
      <w:r w:rsidRPr="00D80990">
        <w:rPr>
          <w:rFonts w:ascii="Arial" w:hAnsi="Arial" w:cs="Arial"/>
          <w:i/>
          <w:color w:val="00B0F0"/>
          <w:sz w:val="22"/>
          <w:szCs w:val="22"/>
        </w:rPr>
        <w:t xml:space="preserve"> incassic/competenza e in c/residui </w:t>
      </w:r>
      <w:r>
        <w:rPr>
          <w:rFonts w:ascii="Arial" w:hAnsi="Arial" w:cs="Arial"/>
          <w:i/>
          <w:color w:val="00B0F0"/>
          <w:sz w:val="22"/>
          <w:szCs w:val="22"/>
        </w:rPr>
        <w:t>è limitata agli esercizi del periodo considerato in cui non era in vigore la contabilità armonizzata.</w:t>
      </w:r>
    </w:p>
    <w:p w14:paraId="69286182" w14:textId="77777777" w:rsidR="00E453A3" w:rsidRPr="00536A56" w:rsidRDefault="00E453A3" w:rsidP="00E453A3">
      <w:pPr>
        <w:tabs>
          <w:tab w:val="left" w:pos="284"/>
        </w:tabs>
        <w:ind w:right="-1"/>
        <w:jc w:val="both"/>
        <w:rPr>
          <w:rFonts w:ascii="Arial" w:hAnsi="Arial" w:cs="Arial"/>
          <w:i/>
          <w:color w:val="00B0F0"/>
          <w:sz w:val="22"/>
          <w:szCs w:val="22"/>
        </w:rPr>
      </w:pPr>
      <w:r w:rsidRPr="00536A56">
        <w:rPr>
          <w:rFonts w:ascii="Arial" w:hAnsi="Arial" w:cs="Arial"/>
          <w:i/>
          <w:color w:val="00B0F0"/>
          <w:sz w:val="22"/>
          <w:szCs w:val="22"/>
        </w:rPr>
        <w:t xml:space="preserve">Con riferimento agli esercizi in cui sono entrati in vigore i nuovi principi, </w:t>
      </w:r>
      <w:r>
        <w:rPr>
          <w:rFonts w:ascii="Arial" w:hAnsi="Arial" w:cs="Arial"/>
          <w:i/>
          <w:color w:val="00B0F0"/>
          <w:sz w:val="22"/>
          <w:szCs w:val="22"/>
        </w:rPr>
        <w:t xml:space="preserve">invece, </w:t>
      </w:r>
      <w:r w:rsidRPr="00536A56">
        <w:rPr>
          <w:rFonts w:ascii="Arial" w:hAnsi="Arial" w:cs="Arial"/>
          <w:i/>
          <w:color w:val="00B0F0"/>
          <w:sz w:val="22"/>
          <w:szCs w:val="22"/>
        </w:rPr>
        <w:t xml:space="preserve">il numeratore è formato solo dalle riscossioni in conto competenza.  </w:t>
      </w:r>
      <w:r>
        <w:rPr>
          <w:rFonts w:ascii="Arial" w:hAnsi="Arial" w:cs="Arial"/>
          <w:i/>
          <w:color w:val="00B0F0"/>
          <w:sz w:val="22"/>
          <w:szCs w:val="22"/>
        </w:rPr>
        <w:t>Sempre con riferimento a questi esercizi armonizzati gli enti hanno facoltà di</w:t>
      </w:r>
      <w:r w:rsidRPr="00536A56">
        <w:rPr>
          <w:rFonts w:ascii="Arial" w:hAnsi="Arial" w:cs="Arial"/>
          <w:i/>
          <w:color w:val="00B0F0"/>
          <w:sz w:val="22"/>
          <w:szCs w:val="22"/>
        </w:rPr>
        <w:t xml:space="preserve"> determinare il rapporto tra incassi di competenza e relativi accertamenti, considerando anche le riscossioni effettuate nell’anno successivo, in conto residui a valore su accertamenti dell’anno precedente e facendo slittare il quinquennio di riferimento per il calcolo della media indietro di un anno:                   </w:t>
      </w:r>
    </w:p>
    <w:p w14:paraId="4D31A3C0" w14:textId="77777777" w:rsidR="00E453A3" w:rsidRPr="00D80990" w:rsidRDefault="00E453A3" w:rsidP="00E453A3">
      <w:pPr>
        <w:pStyle w:val="Paragrafoelenco"/>
        <w:ind w:left="1275" w:firstLine="141"/>
        <w:jc w:val="center"/>
        <w:rPr>
          <w:rFonts w:ascii="Arial" w:hAnsi="Arial" w:cs="Arial"/>
          <w:i/>
          <w:color w:val="00B0F0"/>
          <w:sz w:val="22"/>
          <w:szCs w:val="22"/>
          <w:u w:val="single"/>
        </w:rPr>
      </w:pPr>
      <w:r w:rsidRPr="00D80990">
        <w:rPr>
          <w:rFonts w:ascii="Arial" w:hAnsi="Arial" w:cs="Arial"/>
          <w:i/>
          <w:color w:val="00B0F0"/>
          <w:sz w:val="22"/>
          <w:szCs w:val="22"/>
          <w:u w:val="single"/>
        </w:rPr>
        <w:lastRenderedPageBreak/>
        <w:t>incassi di competenza es. X + incassi esercizio X+1 in c/residui X (*)</w:t>
      </w:r>
    </w:p>
    <w:p w14:paraId="0463C955" w14:textId="77777777" w:rsidR="00E453A3" w:rsidRPr="00D80990" w:rsidRDefault="00E453A3" w:rsidP="00E453A3">
      <w:pPr>
        <w:pStyle w:val="Paragrafoelenco"/>
        <w:ind w:left="567"/>
        <w:jc w:val="center"/>
        <w:rPr>
          <w:rFonts w:ascii="Arial" w:hAnsi="Arial" w:cs="Arial"/>
          <w:i/>
          <w:color w:val="00B0F0"/>
          <w:sz w:val="22"/>
          <w:szCs w:val="22"/>
        </w:rPr>
      </w:pPr>
      <w:r w:rsidRPr="00D80990">
        <w:rPr>
          <w:rFonts w:ascii="Arial" w:hAnsi="Arial" w:cs="Arial"/>
          <w:i/>
          <w:color w:val="00B0F0"/>
          <w:sz w:val="22"/>
          <w:szCs w:val="22"/>
        </w:rPr>
        <w:t>Accertamenti esercizio X</w:t>
      </w:r>
    </w:p>
    <w:p w14:paraId="032F676C" w14:textId="77777777" w:rsidR="00E453A3" w:rsidRPr="00D80990" w:rsidRDefault="00E453A3" w:rsidP="00E453A3">
      <w:pPr>
        <w:jc w:val="both"/>
        <w:rPr>
          <w:rFonts w:ascii="Arial" w:hAnsi="Arial" w:cs="Arial"/>
          <w:i/>
          <w:color w:val="00B0F0"/>
          <w:sz w:val="22"/>
          <w:szCs w:val="22"/>
          <w:u w:val="single"/>
        </w:rPr>
      </w:pPr>
      <w:r w:rsidRPr="00D80990">
        <w:rPr>
          <w:rFonts w:ascii="Arial" w:hAnsi="Arial" w:cs="Arial"/>
          <w:i/>
          <w:color w:val="00B0F0"/>
          <w:sz w:val="22"/>
          <w:szCs w:val="22"/>
          <w:u w:val="single"/>
        </w:rPr>
        <w:t>(specificare se l’ente si è avvalso di tale facoltà e se ha utilizzato metodi di calcolo diversi).</w:t>
      </w:r>
    </w:p>
    <w:p w14:paraId="4C9F4DC9" w14:textId="77777777" w:rsidR="00E453A3" w:rsidRPr="00D80990" w:rsidRDefault="00E453A3" w:rsidP="00E453A3">
      <w:pPr>
        <w:jc w:val="both"/>
        <w:rPr>
          <w:rFonts w:ascii="Arial" w:hAnsi="Arial" w:cs="Arial"/>
          <w:i/>
          <w:color w:val="00B0F0"/>
          <w:sz w:val="22"/>
          <w:szCs w:val="22"/>
        </w:rPr>
      </w:pPr>
    </w:p>
    <w:p w14:paraId="1677F0AA" w14:textId="77777777" w:rsidR="00E453A3" w:rsidRPr="00D80990" w:rsidRDefault="00E453A3" w:rsidP="00E453A3">
      <w:pPr>
        <w:jc w:val="both"/>
        <w:rPr>
          <w:rFonts w:ascii="Arial" w:hAnsi="Arial" w:cs="Arial"/>
          <w:i/>
          <w:color w:val="00B0F0"/>
          <w:sz w:val="22"/>
          <w:szCs w:val="22"/>
        </w:rPr>
      </w:pPr>
      <w:r w:rsidRPr="00D80990">
        <w:rPr>
          <w:rFonts w:ascii="Arial" w:hAnsi="Arial" w:cs="Arial"/>
          <w:i/>
          <w:color w:val="00B0F0"/>
          <w:sz w:val="22"/>
          <w:szCs w:val="22"/>
        </w:rPr>
        <w:t>(* riferimento FAQ Arconet 25 del 26.10.2017 e 26 del 27.10.2017)</w:t>
      </w:r>
    </w:p>
    <w:p w14:paraId="12586FAB" w14:textId="77777777" w:rsidR="00E453A3" w:rsidRPr="00D80990" w:rsidRDefault="00E453A3" w:rsidP="00E453A3">
      <w:pPr>
        <w:jc w:val="both"/>
        <w:rPr>
          <w:rFonts w:ascii="Arial" w:hAnsi="Arial" w:cs="Arial"/>
          <w:i/>
          <w:color w:val="00B0F0"/>
          <w:sz w:val="22"/>
          <w:szCs w:val="22"/>
        </w:rPr>
      </w:pPr>
    </w:p>
    <w:p w14:paraId="65C0B8A7" w14:textId="77777777" w:rsidR="00E453A3" w:rsidRPr="00D80990"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Per le entrate che negli esercizi precedenti all’adozione del nuovo ordinamento contabile erano state accertate per cassa, il fondo crediti di dubbia esigibilità è determinato sulla base di dati extra-contabili, ad esempio confrontando il totale dei ruoli ordinari emessi negli ultimi cinque anni con gli incassi complessivi (senza distinguere gli incassi relativi ai ruoli ordinari da quelli relativi ai ruoli coattivi) registrati nei medesimi esercizi.</w:t>
      </w:r>
    </w:p>
    <w:p w14:paraId="2D78CE16" w14:textId="77777777" w:rsidR="00E453A3" w:rsidRPr="00D80990" w:rsidRDefault="00E453A3" w:rsidP="00E453A3">
      <w:pPr>
        <w:tabs>
          <w:tab w:val="left" w:pos="284"/>
        </w:tabs>
        <w:ind w:right="-1"/>
        <w:jc w:val="both"/>
        <w:rPr>
          <w:rFonts w:ascii="Arial" w:hAnsi="Arial" w:cs="Arial"/>
          <w:color w:val="00B0F0"/>
          <w:sz w:val="22"/>
          <w:szCs w:val="22"/>
        </w:rPr>
      </w:pPr>
      <w:r w:rsidRPr="00D80990">
        <w:rPr>
          <w:rFonts w:ascii="Arial" w:hAnsi="Arial" w:cs="Arial"/>
          <w:i/>
          <w:color w:val="00B0F0"/>
          <w:sz w:val="22"/>
          <w:szCs w:val="22"/>
        </w:rPr>
        <w:t>Si fa presente che enti che negli ultimi tre esercizi hanno formalmente attivato un processo di accelerazione della propria capacità di riscossione possono calcolare il fondo crediti di dubbia esigibilitàfacendo riferimento ai risultati di tali tre esercizi.</w:t>
      </w:r>
    </w:p>
    <w:p w14:paraId="0E86FFA8" w14:textId="77777777" w:rsidR="00E453A3" w:rsidRPr="00D80990" w:rsidRDefault="00E453A3" w:rsidP="00E453A3">
      <w:pPr>
        <w:jc w:val="both"/>
        <w:rPr>
          <w:rFonts w:ascii="Arial" w:hAnsi="Arial" w:cs="Arial"/>
          <w:i/>
          <w:color w:val="00B0F0"/>
          <w:sz w:val="22"/>
          <w:szCs w:val="22"/>
          <w:u w:val="single"/>
        </w:rPr>
      </w:pPr>
      <w:r w:rsidRPr="00D80990">
        <w:rPr>
          <w:rFonts w:ascii="Arial" w:hAnsi="Arial" w:cs="Arial"/>
          <w:i/>
          <w:color w:val="00B0F0"/>
          <w:sz w:val="22"/>
          <w:szCs w:val="22"/>
          <w:u w:val="single"/>
        </w:rPr>
        <w:t>(specificare se l’ente si è avvalso di tale facoltà).</w:t>
      </w:r>
    </w:p>
    <w:p w14:paraId="6C0A8574" w14:textId="77777777" w:rsidR="00E453A3" w:rsidRPr="00D80990" w:rsidRDefault="00E453A3" w:rsidP="00E453A3">
      <w:pPr>
        <w:tabs>
          <w:tab w:val="left" w:pos="284"/>
        </w:tabs>
        <w:ind w:right="-285"/>
        <w:jc w:val="both"/>
        <w:rPr>
          <w:rFonts w:ascii="Arial" w:hAnsi="Arial" w:cs="Arial"/>
          <w:color w:val="00B0F0"/>
          <w:sz w:val="22"/>
          <w:szCs w:val="22"/>
        </w:rPr>
      </w:pPr>
    </w:p>
    <w:p w14:paraId="6AAEA089" w14:textId="77777777" w:rsidR="00E453A3" w:rsidRPr="00536A56" w:rsidRDefault="00E453A3" w:rsidP="00E453A3">
      <w:pPr>
        <w:pStyle w:val="Nessunaspaziatura"/>
        <w:rPr>
          <w:rFonts w:ascii="Arial" w:eastAsia="Calibri" w:hAnsi="Arial" w:cs="Arial"/>
          <w:sz w:val="22"/>
          <w:szCs w:val="22"/>
          <w:u w:val="single"/>
          <w:lang w:eastAsia="en-US"/>
        </w:rPr>
      </w:pPr>
      <w:r w:rsidRPr="00536A56">
        <w:rPr>
          <w:rFonts w:ascii="Arial" w:hAnsi="Arial" w:cs="Arial"/>
          <w:i/>
          <w:color w:val="00B0F0"/>
          <w:sz w:val="22"/>
          <w:szCs w:val="22"/>
          <w:u w:val="single"/>
        </w:rPr>
        <w:t>Importo minimo</w:t>
      </w:r>
    </w:p>
    <w:p w14:paraId="4851891A" w14:textId="77777777"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Il comma 882 dell’art.1 della Legge 205/2017, modifica il paragrafo 3.3 dell’allegato 4.2, recante “Principio contabile applicato concernente la contabilità finanziaria”, annesso al D.lgs. 118/2011, introducendo una maggiore gradualità per gli enti locali nell'applicazione delle disposizioni riguardanti l'accantonamento al Fondo crediti di dubbia esigibilità (FCDE) iscritto nel bilancio di previsione, a partire dal 2018.</w:t>
      </w:r>
    </w:p>
    <w:p w14:paraId="7B058268" w14:textId="77777777"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In particolare, l’accantonamento al Fondo è effettuato:</w:t>
      </w:r>
    </w:p>
    <w:p w14:paraId="1D68D96D" w14:textId="77777777"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2018 per un importo pari almeno al 75 per cento;</w:t>
      </w:r>
    </w:p>
    <w:p w14:paraId="5A69F7FF" w14:textId="77777777"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2019 per un importo pari almeno all’85 per cento;</w:t>
      </w:r>
    </w:p>
    <w:p w14:paraId="2E5BE3D4" w14:textId="77777777"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2020 per un importo pari almeno al 95 per cento;</w:t>
      </w:r>
    </w:p>
    <w:p w14:paraId="16400EF7" w14:textId="77777777" w:rsidR="00E453A3" w:rsidRPr="00B84E39" w:rsidRDefault="00E453A3" w:rsidP="00B84E39">
      <w:pPr>
        <w:ind w:right="-1"/>
        <w:jc w:val="both"/>
        <w:rPr>
          <w:rFonts w:ascii="Arial" w:hAnsi="Arial" w:cs="Arial"/>
          <w:color w:val="00B0F0"/>
          <w:sz w:val="22"/>
          <w:szCs w:val="22"/>
        </w:rPr>
      </w:pPr>
      <w:r w:rsidRPr="00D80990">
        <w:rPr>
          <w:rFonts w:ascii="Arial" w:hAnsi="Arial" w:cs="Arial"/>
          <w:i/>
          <w:color w:val="00B0F0"/>
          <w:sz w:val="22"/>
          <w:szCs w:val="22"/>
        </w:rPr>
        <w:t>- dal 2021 per l’intero importo.</w:t>
      </w:r>
    </w:p>
    <w:p w14:paraId="328AD021" w14:textId="77777777" w:rsidR="00E453A3" w:rsidRPr="00D80990" w:rsidRDefault="00E453A3" w:rsidP="00B84E39">
      <w:pPr>
        <w:ind w:right="-1"/>
        <w:jc w:val="both"/>
        <w:rPr>
          <w:rFonts w:ascii="Arial" w:hAnsi="Arial" w:cs="Arial"/>
          <w:color w:val="00B0F0"/>
          <w:sz w:val="22"/>
          <w:szCs w:val="22"/>
        </w:rPr>
      </w:pPr>
    </w:p>
    <w:p w14:paraId="125F56E3" w14:textId="77777777" w:rsidR="00193C38" w:rsidRPr="000E4A5C" w:rsidRDefault="0070665A" w:rsidP="00193C38">
      <w:pPr>
        <w:ind w:right="-1"/>
        <w:jc w:val="both"/>
        <w:rPr>
          <w:rFonts w:ascii="Arial" w:hAnsi="Arial" w:cs="Arial"/>
          <w:i/>
          <w:color w:val="00B0F0"/>
          <w:sz w:val="22"/>
          <w:szCs w:val="22"/>
        </w:rPr>
      </w:pPr>
      <w:r w:rsidRPr="000E4A5C">
        <w:rPr>
          <w:rFonts w:ascii="Arial" w:hAnsi="Arial" w:cs="Arial"/>
          <w:i/>
          <w:color w:val="00B0F0"/>
          <w:sz w:val="22"/>
          <w:szCs w:val="22"/>
        </w:rPr>
        <w:t xml:space="preserve">N.B. La Legge di Bilancio 2019 (n. 145/2018), in tema di FCDE prevede </w:t>
      </w:r>
      <w:r w:rsidR="000E4A5C" w:rsidRPr="000E4A5C">
        <w:rPr>
          <w:rFonts w:ascii="Arial" w:hAnsi="Arial" w:cs="Arial"/>
          <w:i/>
          <w:color w:val="00B0F0"/>
          <w:sz w:val="22"/>
          <w:szCs w:val="22"/>
        </w:rPr>
        <w:t xml:space="preserve">al comma 1015 </w:t>
      </w:r>
      <w:r w:rsidRPr="000E4A5C">
        <w:rPr>
          <w:rFonts w:ascii="Arial" w:hAnsi="Arial" w:cs="Arial"/>
          <w:i/>
          <w:color w:val="00B0F0"/>
          <w:sz w:val="22"/>
          <w:szCs w:val="22"/>
        </w:rPr>
        <w:t>che:“</w:t>
      </w:r>
      <w:r w:rsidR="00193C38" w:rsidRPr="000E4A5C">
        <w:rPr>
          <w:rFonts w:ascii="Arial" w:hAnsi="Arial" w:cs="Arial"/>
          <w:i/>
          <w:color w:val="00B0F0"/>
          <w:sz w:val="22"/>
          <w:szCs w:val="22"/>
        </w:rPr>
        <w:t>Nel corso del 2019 gli enti locali possono variare il bilancio di previsione 2019-2021 per ridurre il fondo crediti di dubbia esigibilità stanziato per l’esercizio 2019 nella missione«Fondi e Accantonamenti» ad un valore pari all’80 per centodell’accantonamento quantificato nell’allegato al bilancioriguardante il fondo crediti di dubbia esigibilità, se sonoverificate entrambe le seguenti condizioni:</w:t>
      </w:r>
    </w:p>
    <w:p w14:paraId="6E94EE38" w14:textId="77777777"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a) con riferimento all’esercizio 2018 l’indicatore annuale di tempestività dei pagamenti calcolato e pubblicato secondo le modalità stabilite dal decreto del Presidente del Consiglio dei ministri 22 settembre 2014, pubblicato nella Gazzetta Ufficiale n. 265 del 14 novembre 2014, è rispettoso dei termini di pagamento delle transazioni commerciali, di cui all’articolo 4 del decreto legislativo 9 ottobre 2002, n. 231, e le fatture ricevute e scadute nell’esercizio 2018 sono state pagate per un importo complessivo superiore al 75 per cento del totale ricevuto;</w:t>
      </w:r>
    </w:p>
    <w:p w14:paraId="6283DD8B" w14:textId="77777777"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b) se il debito commerciale residuo, di cui all’articolo 33 del decreto legislativo 14 marzo 2013, n. 33, rilevato alla fine del 2018 si è ridotto del 10 per cento rispetto a quello del 2017, o è nullo o costituito solo da debiti oggetto di contenzioso o contestazione.</w:t>
      </w:r>
      <w:r w:rsidR="000E4A5C" w:rsidRPr="000E4A5C">
        <w:rPr>
          <w:rFonts w:ascii="Arial" w:hAnsi="Arial" w:cs="Arial"/>
          <w:i/>
          <w:color w:val="00B0F0"/>
          <w:sz w:val="22"/>
          <w:szCs w:val="22"/>
        </w:rPr>
        <w:t>”</w:t>
      </w:r>
    </w:p>
    <w:p w14:paraId="77D6F96E" w14:textId="77777777" w:rsidR="0070665A" w:rsidRPr="000E4A5C" w:rsidRDefault="0070665A" w:rsidP="0070665A">
      <w:pPr>
        <w:ind w:right="-1"/>
        <w:jc w:val="both"/>
        <w:rPr>
          <w:rFonts w:ascii="Arial" w:hAnsi="Arial" w:cs="Arial"/>
          <w:i/>
          <w:color w:val="00B0F0"/>
          <w:sz w:val="22"/>
          <w:szCs w:val="22"/>
        </w:rPr>
      </w:pPr>
    </w:p>
    <w:p w14:paraId="0D2BEC4C" w14:textId="77777777" w:rsidR="0070665A" w:rsidRPr="000E4A5C" w:rsidRDefault="000E4A5C" w:rsidP="0070665A">
      <w:pPr>
        <w:ind w:right="-1"/>
        <w:jc w:val="both"/>
        <w:rPr>
          <w:rFonts w:ascii="Arial" w:hAnsi="Arial" w:cs="Arial"/>
          <w:i/>
          <w:color w:val="00B0F0"/>
          <w:sz w:val="22"/>
          <w:szCs w:val="22"/>
        </w:rPr>
      </w:pPr>
      <w:r w:rsidRPr="000E4A5C">
        <w:rPr>
          <w:rFonts w:ascii="Arial" w:hAnsi="Arial" w:cs="Arial"/>
          <w:i/>
          <w:color w:val="00B0F0"/>
          <w:sz w:val="22"/>
          <w:szCs w:val="22"/>
        </w:rPr>
        <w:t>Inoltre al comma 1016 prevede che “L</w:t>
      </w:r>
      <w:r w:rsidR="0070665A" w:rsidRPr="000E4A5C">
        <w:rPr>
          <w:rFonts w:ascii="Arial" w:hAnsi="Arial" w:cs="Arial"/>
          <w:i/>
          <w:color w:val="00B0F0"/>
          <w:sz w:val="22"/>
          <w:szCs w:val="22"/>
        </w:rPr>
        <w:t>a facoltà di cui al comma 1015 può essere esercitata anche dagli enti locali che, pur non soddisfacendo i criteri di cui al medesimo 1015, rispettano entrambe le seguenti condizioni:</w:t>
      </w:r>
    </w:p>
    <w:p w14:paraId="6914D27C" w14:textId="77777777"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a) l’indicatore di tempestività dei pagamenti, al 30 giugno 2019, calcolato e pubblicato secondo le modalità stabilite dal decreto del Presidente del Consiglio dei ministri 22 settembre 2014, pubblicato nella Gazzetta Ufficiale n. 265 del 14 novembre 2014, è rispettoso dei termini di pagamento delle transazioni commerciali, di cui all’articolo 4 del decreto legislativo 9 ottobre 2002, n. 231, e le fatture ricevute e scadute nel semestre sono state pagate per un importo complessivo superiore al 75 per cento del totale ricevuto;</w:t>
      </w:r>
    </w:p>
    <w:p w14:paraId="5EDBC5B2" w14:textId="77777777" w:rsidR="0070665A"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lastRenderedPageBreak/>
        <w:t xml:space="preserve">b) se il debito commerciale residuo, di cui all’articolo 33 del decreto legislativo 14 marzo 2013, n. 33, rilevato al 30 giugno 2019 si è ridotto del 5 per cento rispetto a quello al 31 dicembre 2018, o è nullo o costituito solo da debiti oggetto di contenzioso </w:t>
      </w:r>
      <w:r w:rsidR="000E4A5C">
        <w:rPr>
          <w:rFonts w:ascii="Arial" w:hAnsi="Arial" w:cs="Arial"/>
          <w:i/>
          <w:color w:val="00B0F0"/>
          <w:sz w:val="22"/>
          <w:szCs w:val="22"/>
        </w:rPr>
        <w:t>o contestazione.”</w:t>
      </w:r>
    </w:p>
    <w:p w14:paraId="303C3806" w14:textId="77777777" w:rsidR="000E4A5C" w:rsidRPr="000E4A5C" w:rsidRDefault="000E4A5C" w:rsidP="0070665A">
      <w:pPr>
        <w:ind w:right="-1"/>
        <w:jc w:val="both"/>
        <w:rPr>
          <w:rFonts w:ascii="Arial" w:hAnsi="Arial" w:cs="Arial"/>
          <w:i/>
          <w:color w:val="00B0F0"/>
          <w:sz w:val="22"/>
          <w:szCs w:val="22"/>
        </w:rPr>
      </w:pPr>
    </w:p>
    <w:p w14:paraId="113E0969" w14:textId="77777777" w:rsidR="0070665A" w:rsidRDefault="000E4A5C" w:rsidP="0070665A">
      <w:pPr>
        <w:ind w:right="-1"/>
        <w:jc w:val="both"/>
        <w:rPr>
          <w:rFonts w:ascii="Arial" w:hAnsi="Arial" w:cs="Arial"/>
          <w:color w:val="FF0000"/>
          <w:sz w:val="22"/>
          <w:szCs w:val="22"/>
        </w:rPr>
      </w:pPr>
      <w:r>
        <w:rPr>
          <w:rFonts w:ascii="Arial" w:hAnsi="Arial" w:cs="Arial"/>
          <w:i/>
          <w:color w:val="00B0F0"/>
          <w:sz w:val="22"/>
          <w:szCs w:val="22"/>
        </w:rPr>
        <w:t xml:space="preserve">Il comma </w:t>
      </w:r>
      <w:r w:rsidR="0070665A" w:rsidRPr="000E4A5C">
        <w:rPr>
          <w:rFonts w:ascii="Arial" w:hAnsi="Arial" w:cs="Arial"/>
          <w:i/>
          <w:color w:val="00B0F0"/>
          <w:sz w:val="22"/>
          <w:szCs w:val="22"/>
        </w:rPr>
        <w:t>1017</w:t>
      </w:r>
      <w:r>
        <w:rPr>
          <w:rFonts w:ascii="Arial" w:hAnsi="Arial" w:cs="Arial"/>
          <w:i/>
          <w:color w:val="00B0F0"/>
          <w:sz w:val="22"/>
          <w:szCs w:val="22"/>
        </w:rPr>
        <w:t xml:space="preserve"> prevede che“</w:t>
      </w:r>
      <w:r w:rsidR="0070665A" w:rsidRPr="000E4A5C">
        <w:rPr>
          <w:rFonts w:ascii="Arial" w:hAnsi="Arial" w:cs="Arial"/>
          <w:i/>
          <w:color w:val="00B0F0"/>
          <w:sz w:val="22"/>
          <w:szCs w:val="22"/>
        </w:rPr>
        <w:t>I commi 1015 e 1016 non si applicano agli enti che, con riferimento agli esercizi 2017 e 2018, non hanno pubblicato nel proprio sito internet, entro i termini previsti dalla legge, gli indicatori concernenti i tempi di pagamento ed il debito commerciale residuo di cui all’articolo 33 del decreto legislativo 14 marzo 2013, n. 33, e che, con riferimento ai mesi precedenti all’avvio di SIOPE+ di cui all’articolo 14, commi 8-bis e 8-ter, della legge 31 dicembre 2009, n. 196, non hanno trasmesso alla piattaforma elettronica dei crediti commerciali le comunicazioni relative al pagamento delle fatture</w:t>
      </w:r>
      <w:r w:rsidR="009672FA" w:rsidRPr="000E4A5C">
        <w:rPr>
          <w:rFonts w:ascii="Arial" w:hAnsi="Arial" w:cs="Arial"/>
          <w:i/>
          <w:color w:val="00B0F0"/>
          <w:sz w:val="22"/>
          <w:szCs w:val="22"/>
        </w:rPr>
        <w:t>”</w:t>
      </w:r>
      <w:r w:rsidR="0070665A" w:rsidRPr="000E4A5C">
        <w:rPr>
          <w:rFonts w:ascii="Arial" w:hAnsi="Arial" w:cs="Arial"/>
          <w:i/>
          <w:color w:val="00B0F0"/>
          <w:sz w:val="22"/>
          <w:szCs w:val="22"/>
        </w:rPr>
        <w:t>.</w:t>
      </w:r>
    </w:p>
    <w:p w14:paraId="13FBC2B6" w14:textId="77777777" w:rsidR="00806EFE" w:rsidRDefault="00806EFE" w:rsidP="0070665A">
      <w:pPr>
        <w:ind w:right="-1"/>
        <w:jc w:val="both"/>
        <w:rPr>
          <w:rFonts w:ascii="Arial" w:hAnsi="Arial" w:cs="Arial"/>
          <w:color w:val="FF0000"/>
          <w:sz w:val="22"/>
          <w:szCs w:val="22"/>
        </w:rPr>
      </w:pPr>
    </w:p>
    <w:p w14:paraId="3C69711F" w14:textId="77777777" w:rsidR="00E453A3" w:rsidRPr="006F619A" w:rsidRDefault="00E453A3" w:rsidP="00B84E39">
      <w:pPr>
        <w:ind w:right="-1"/>
        <w:jc w:val="both"/>
        <w:rPr>
          <w:rFonts w:ascii="Arial" w:hAnsi="Arial" w:cs="Arial"/>
          <w:sz w:val="22"/>
          <w:szCs w:val="22"/>
        </w:rPr>
      </w:pPr>
      <w:r w:rsidRPr="006F619A">
        <w:rPr>
          <w:rFonts w:ascii="Arial" w:hAnsi="Arial" w:cs="Arial"/>
          <w:sz w:val="22"/>
          <w:szCs w:val="22"/>
        </w:rPr>
        <w:t>L’accantonamento al fondo crediti di dubbia esigibilità non è oggetto di impegno e con il rendiconto genera un’economia di bilancio che confluisce nel risultato di amministrazione come quota accantonata.</w:t>
      </w:r>
    </w:p>
    <w:p w14:paraId="34258429" w14:textId="77777777" w:rsidR="00E453A3" w:rsidRPr="006F619A" w:rsidRDefault="00E453A3" w:rsidP="00B84E39">
      <w:pPr>
        <w:ind w:right="-1"/>
        <w:jc w:val="both"/>
        <w:rPr>
          <w:rFonts w:ascii="Arial" w:hAnsi="Arial" w:cs="Arial"/>
          <w:sz w:val="22"/>
          <w:szCs w:val="22"/>
        </w:rPr>
      </w:pPr>
    </w:p>
    <w:p w14:paraId="1E4BE0D4" w14:textId="77777777" w:rsidR="00E453A3" w:rsidRPr="006F619A" w:rsidRDefault="00E453A3" w:rsidP="00B84E39">
      <w:pPr>
        <w:ind w:right="-1"/>
        <w:jc w:val="both"/>
        <w:rPr>
          <w:rFonts w:ascii="Arial" w:hAnsi="Arial" w:cs="Arial"/>
          <w:sz w:val="22"/>
          <w:szCs w:val="22"/>
        </w:rPr>
      </w:pPr>
      <w:r w:rsidRPr="006F619A">
        <w:rPr>
          <w:rFonts w:ascii="Arial" w:hAnsi="Arial" w:cs="Arial"/>
          <w:sz w:val="22"/>
          <w:szCs w:val="22"/>
        </w:rPr>
        <w:t>L’Organo di revisione ha accertato la regolarità del calcolo del fondo che è stato effettuato (</w:t>
      </w:r>
      <w:r w:rsidRPr="006F619A">
        <w:rPr>
          <w:rFonts w:ascii="Arial" w:hAnsi="Arial" w:cs="Arial"/>
          <w:i/>
          <w:sz w:val="22"/>
          <w:szCs w:val="22"/>
        </w:rPr>
        <w:t>scegliere opzione</w:t>
      </w:r>
      <w:r w:rsidRPr="006F619A">
        <w:rPr>
          <w:rFonts w:ascii="Arial" w:hAnsi="Arial" w:cs="Arial"/>
          <w:sz w:val="22"/>
          <w:szCs w:val="22"/>
        </w:rPr>
        <w:t>):</w:t>
      </w:r>
    </w:p>
    <w:p w14:paraId="5FFCE6E0" w14:textId="77777777" w:rsidR="00E453A3" w:rsidRPr="006F619A" w:rsidRDefault="006F619A" w:rsidP="00B84E39">
      <w:pPr>
        <w:ind w:right="-1"/>
        <w:jc w:val="both"/>
        <w:rPr>
          <w:rFonts w:ascii="Arial" w:hAnsi="Arial" w:cs="Arial"/>
          <w:sz w:val="22"/>
          <w:szCs w:val="22"/>
        </w:rPr>
      </w:pPr>
      <w:r>
        <w:rPr>
          <w:rFonts w:ascii="Arial" w:hAnsi="Arial" w:cs="Arial"/>
          <w:sz w:val="22"/>
          <w:szCs w:val="22"/>
        </w:rPr>
        <w:t>-</w:t>
      </w:r>
      <w:r w:rsidR="00E453A3" w:rsidRPr="006F619A">
        <w:rPr>
          <w:rFonts w:ascii="Arial" w:hAnsi="Arial" w:cs="Arial"/>
          <w:sz w:val="22"/>
          <w:szCs w:val="22"/>
        </w:rPr>
        <w:t>utilizzando la facoltà di accantonare l’importo minimo previsto dalla normativa vigente;</w:t>
      </w:r>
    </w:p>
    <w:p w14:paraId="0432129E" w14:textId="77777777" w:rsidR="00E453A3" w:rsidRPr="006F619A" w:rsidRDefault="006F619A" w:rsidP="00B84E39">
      <w:pPr>
        <w:ind w:right="-1"/>
        <w:jc w:val="both"/>
        <w:rPr>
          <w:rFonts w:ascii="Arial" w:hAnsi="Arial" w:cs="Arial"/>
          <w:sz w:val="22"/>
          <w:szCs w:val="22"/>
        </w:rPr>
      </w:pPr>
      <w:r>
        <w:rPr>
          <w:rFonts w:ascii="Arial" w:hAnsi="Arial" w:cs="Arial"/>
          <w:sz w:val="22"/>
          <w:szCs w:val="22"/>
        </w:rPr>
        <w:t xml:space="preserve">- </w:t>
      </w:r>
      <w:r w:rsidR="00E453A3" w:rsidRPr="006F619A">
        <w:rPr>
          <w:rFonts w:ascii="Arial" w:hAnsi="Arial" w:cs="Arial"/>
          <w:sz w:val="22"/>
          <w:szCs w:val="22"/>
        </w:rPr>
        <w:t>accantonando l’intero importo che deriva dall’applicazione delle norme sul Fcde.</w:t>
      </w:r>
    </w:p>
    <w:p w14:paraId="1000F8D0" w14:textId="77777777" w:rsidR="00E453A3" w:rsidRPr="006F619A" w:rsidRDefault="00E453A3" w:rsidP="00B84E39">
      <w:pPr>
        <w:ind w:right="-1"/>
        <w:jc w:val="both"/>
        <w:rPr>
          <w:rFonts w:ascii="Arial" w:hAnsi="Arial" w:cs="Arial"/>
          <w:sz w:val="22"/>
          <w:szCs w:val="22"/>
        </w:rPr>
      </w:pPr>
    </w:p>
    <w:p w14:paraId="10560CFF" w14:textId="77777777" w:rsidR="00E453A3" w:rsidRPr="006F619A" w:rsidRDefault="00E453A3" w:rsidP="00B84E39">
      <w:pPr>
        <w:ind w:right="-1"/>
        <w:jc w:val="both"/>
        <w:rPr>
          <w:rFonts w:ascii="Arial" w:hAnsi="Arial" w:cs="Arial"/>
          <w:sz w:val="22"/>
          <w:szCs w:val="22"/>
        </w:rPr>
      </w:pPr>
      <w:r w:rsidRPr="006F619A">
        <w:rPr>
          <w:rFonts w:ascii="Arial" w:hAnsi="Arial" w:cs="Arial"/>
          <w:sz w:val="22"/>
          <w:szCs w:val="22"/>
        </w:rPr>
        <w:t xml:space="preserve">Il fondo crediti di dubbia esigibilità per gli anni 2019-2021 risulta come dai seguenti prospetti: </w:t>
      </w:r>
    </w:p>
    <w:p w14:paraId="503D4669" w14:textId="77777777" w:rsidR="00E453A3" w:rsidRPr="00B84E39" w:rsidRDefault="00E453A3" w:rsidP="00B84E39">
      <w:pPr>
        <w:ind w:right="-1"/>
        <w:jc w:val="both"/>
        <w:rPr>
          <w:rFonts w:ascii="Arial" w:hAnsi="Arial" w:cs="Arial"/>
          <w:color w:val="00B0F0"/>
          <w:sz w:val="22"/>
          <w:szCs w:val="22"/>
        </w:rPr>
      </w:pPr>
    </w:p>
    <w:bookmarkStart w:id="67" w:name="_Toc529960150"/>
    <w:bookmarkEnd w:id="67"/>
    <w:bookmarkStart w:id="68" w:name="_MON_1609227778"/>
    <w:bookmarkEnd w:id="68"/>
    <w:p w14:paraId="59C317B0" w14:textId="77777777" w:rsidR="00E453A3" w:rsidRPr="00B84E39" w:rsidRDefault="006F619A" w:rsidP="00B84E39">
      <w:pPr>
        <w:ind w:right="-1"/>
        <w:jc w:val="both"/>
        <w:rPr>
          <w:rFonts w:ascii="Arial" w:hAnsi="Arial" w:cs="Arial"/>
          <w:color w:val="00B0F0"/>
          <w:sz w:val="22"/>
          <w:szCs w:val="22"/>
        </w:rPr>
      </w:pPr>
      <w:r w:rsidRPr="00213664">
        <w:rPr>
          <w:rFonts w:ascii="Arial" w:hAnsi="Arial" w:cs="Arial"/>
          <w:color w:val="00B0F0"/>
          <w:sz w:val="22"/>
          <w:szCs w:val="22"/>
        </w:rPr>
        <w:object w:dxaOrig="12071" w:dyaOrig="10122" w14:anchorId="5C919111">
          <v:shape id="_x0000_i1051" type="#_x0000_t75" style="width:7in;height:424.5pt" o:ole="">
            <v:imagedata r:id="rId70" o:title=""/>
          </v:shape>
          <o:OLEObject Type="Embed" ProgID="Excel.Sheet.12" ShapeID="_x0000_i1051" DrawAspect="Content" ObjectID="_1780988740" r:id="rId71"/>
        </w:object>
      </w:r>
    </w:p>
    <w:p w14:paraId="2C70AA35" w14:textId="77777777" w:rsidR="007E421F" w:rsidRPr="00B84E39" w:rsidRDefault="007E421F" w:rsidP="00B84E39">
      <w:pPr>
        <w:ind w:right="-1"/>
        <w:jc w:val="both"/>
        <w:rPr>
          <w:rFonts w:ascii="Arial" w:hAnsi="Arial" w:cs="Arial"/>
          <w:color w:val="00B0F0"/>
          <w:sz w:val="22"/>
          <w:szCs w:val="22"/>
        </w:rPr>
      </w:pPr>
    </w:p>
    <w:p w14:paraId="793E82F9" w14:textId="77777777" w:rsidR="00B84E39" w:rsidRDefault="00B84E39" w:rsidP="00B84E39">
      <w:pPr>
        <w:jc w:val="both"/>
      </w:pPr>
    </w:p>
    <w:p w14:paraId="6E3394D9" w14:textId="77777777" w:rsidR="00E453A3" w:rsidRPr="00D80990" w:rsidRDefault="00E453A3" w:rsidP="00E453A3">
      <w:pPr>
        <w:pStyle w:val="Titolo3"/>
      </w:pPr>
      <w:bookmarkStart w:id="69" w:name="_Toc535487623"/>
      <w:r w:rsidRPr="00D80990">
        <w:t>Fondo di riserva di competenza</w:t>
      </w:r>
      <w:bookmarkEnd w:id="69"/>
    </w:p>
    <w:p w14:paraId="4BE2358D" w14:textId="77777777" w:rsidR="00E453A3" w:rsidRPr="00D80990" w:rsidRDefault="00E453A3" w:rsidP="00E453A3">
      <w:pPr>
        <w:pStyle w:val="Corpodeltesto21"/>
        <w:spacing w:before="120"/>
        <w:rPr>
          <w:rFonts w:cs="Arial"/>
          <w:b w:val="0"/>
          <w:i w:val="0"/>
          <w:sz w:val="22"/>
          <w:szCs w:val="22"/>
        </w:rPr>
      </w:pPr>
    </w:p>
    <w:p w14:paraId="402D51A4" w14:textId="77777777" w:rsidR="00E453A3" w:rsidRPr="00D80990" w:rsidRDefault="00E453A3" w:rsidP="00E453A3">
      <w:pPr>
        <w:pStyle w:val="Corpodeltesto21"/>
        <w:spacing w:before="120"/>
        <w:rPr>
          <w:rFonts w:cs="Arial"/>
          <w:b w:val="0"/>
          <w:i w:val="0"/>
          <w:sz w:val="22"/>
          <w:szCs w:val="22"/>
        </w:rPr>
      </w:pPr>
      <w:r w:rsidRPr="00D80990">
        <w:rPr>
          <w:rFonts w:cs="Arial"/>
          <w:b w:val="0"/>
          <w:i w:val="0"/>
          <w:sz w:val="22"/>
          <w:szCs w:val="22"/>
        </w:rPr>
        <w:t xml:space="preserve">La </w:t>
      </w:r>
      <w:r>
        <w:rPr>
          <w:rFonts w:cs="Arial"/>
          <w:b w:val="0"/>
          <w:i w:val="0"/>
          <w:sz w:val="22"/>
          <w:szCs w:val="22"/>
        </w:rPr>
        <w:t>previsione</w:t>
      </w:r>
      <w:r w:rsidRPr="00D80990">
        <w:rPr>
          <w:rFonts w:cs="Arial"/>
          <w:b w:val="0"/>
          <w:i w:val="0"/>
          <w:sz w:val="22"/>
          <w:szCs w:val="22"/>
        </w:rPr>
        <w:t xml:space="preserve"> del fondo di riserva ordinario</w:t>
      </w:r>
      <w:r>
        <w:rPr>
          <w:rFonts w:cs="Arial"/>
          <w:b w:val="0"/>
          <w:i w:val="0"/>
          <w:sz w:val="22"/>
          <w:szCs w:val="22"/>
        </w:rPr>
        <w:t>, iscritto nella missione 20, programma 1, titolo 1, macroaggregato 10 del bilancio,ammonta a</w:t>
      </w:r>
      <w:r w:rsidRPr="00D80990">
        <w:rPr>
          <w:rFonts w:cs="Arial"/>
          <w:b w:val="0"/>
          <w:i w:val="0"/>
          <w:sz w:val="22"/>
          <w:szCs w:val="22"/>
        </w:rPr>
        <w:t>:</w:t>
      </w:r>
    </w:p>
    <w:p w14:paraId="25A1DE3E" w14:textId="77777777" w:rsidR="00E453A3" w:rsidRPr="00D80990" w:rsidRDefault="00E453A3" w:rsidP="00E453A3">
      <w:pPr>
        <w:pStyle w:val="Corpodeltesto21"/>
        <w:spacing w:before="120"/>
        <w:rPr>
          <w:rFonts w:cs="Arial"/>
          <w:b w:val="0"/>
          <w:i w:val="0"/>
          <w:sz w:val="22"/>
          <w:szCs w:val="22"/>
        </w:rPr>
      </w:pPr>
      <w:r>
        <w:rPr>
          <w:rFonts w:cs="Arial"/>
          <w:b w:val="0"/>
          <w:i w:val="0"/>
          <w:sz w:val="22"/>
          <w:szCs w:val="22"/>
        </w:rPr>
        <w:t>anno 2019</w:t>
      </w:r>
      <w:r w:rsidRPr="00D80990">
        <w:rPr>
          <w:rFonts w:cs="Arial"/>
          <w:b w:val="0"/>
          <w:i w:val="0"/>
          <w:sz w:val="22"/>
          <w:szCs w:val="22"/>
        </w:rPr>
        <w:t xml:space="preserve"> - euro ……… pari allo ……% delle spese correnti;</w:t>
      </w:r>
    </w:p>
    <w:p w14:paraId="4DD7A5F2" w14:textId="77777777" w:rsidR="00E453A3" w:rsidRPr="00D80990" w:rsidRDefault="00E453A3" w:rsidP="00E453A3">
      <w:pPr>
        <w:pStyle w:val="Corpodeltesto21"/>
        <w:spacing w:before="120"/>
        <w:rPr>
          <w:rFonts w:cs="Arial"/>
          <w:b w:val="0"/>
          <w:i w:val="0"/>
          <w:sz w:val="22"/>
          <w:szCs w:val="22"/>
        </w:rPr>
      </w:pPr>
      <w:r>
        <w:rPr>
          <w:rFonts w:cs="Arial"/>
          <w:b w:val="0"/>
          <w:i w:val="0"/>
          <w:sz w:val="22"/>
          <w:szCs w:val="22"/>
        </w:rPr>
        <w:t>anno 2020</w:t>
      </w:r>
      <w:r w:rsidRPr="00D80990">
        <w:rPr>
          <w:rFonts w:cs="Arial"/>
          <w:b w:val="0"/>
          <w:i w:val="0"/>
          <w:sz w:val="22"/>
          <w:szCs w:val="22"/>
        </w:rPr>
        <w:t xml:space="preserve"> - euro ……… pari allo ……% delle spese correnti;</w:t>
      </w:r>
    </w:p>
    <w:p w14:paraId="6506224F" w14:textId="77777777" w:rsidR="00E453A3" w:rsidRPr="00D80990" w:rsidRDefault="00E453A3" w:rsidP="00E453A3">
      <w:pPr>
        <w:pStyle w:val="Corpodeltesto21"/>
        <w:spacing w:before="120"/>
        <w:rPr>
          <w:rFonts w:cs="Arial"/>
          <w:b w:val="0"/>
          <w:i w:val="0"/>
          <w:sz w:val="22"/>
          <w:szCs w:val="22"/>
        </w:rPr>
      </w:pPr>
      <w:r>
        <w:rPr>
          <w:rFonts w:cs="Arial"/>
          <w:b w:val="0"/>
          <w:i w:val="0"/>
          <w:sz w:val="22"/>
          <w:szCs w:val="22"/>
        </w:rPr>
        <w:t>anno 2021</w:t>
      </w:r>
      <w:r w:rsidRPr="00D80990">
        <w:rPr>
          <w:rFonts w:cs="Arial"/>
          <w:b w:val="0"/>
          <w:i w:val="0"/>
          <w:sz w:val="22"/>
          <w:szCs w:val="22"/>
        </w:rPr>
        <w:t xml:space="preserve"> - euro ……… pari allo ……% delle spese correnti;</w:t>
      </w:r>
    </w:p>
    <w:p w14:paraId="375F1208" w14:textId="77777777" w:rsidR="00E453A3" w:rsidRPr="00D80990" w:rsidRDefault="00E453A3" w:rsidP="00E453A3">
      <w:pPr>
        <w:pStyle w:val="Corpodeltesto21"/>
        <w:spacing w:before="120"/>
        <w:rPr>
          <w:rFonts w:cs="Arial"/>
          <w:b w:val="0"/>
          <w:i w:val="0"/>
          <w:sz w:val="22"/>
          <w:szCs w:val="22"/>
        </w:rPr>
      </w:pPr>
      <w:r w:rsidRPr="00D80990">
        <w:rPr>
          <w:rFonts w:cs="Arial"/>
          <w:b w:val="0"/>
          <w:i w:val="0"/>
          <w:sz w:val="22"/>
          <w:szCs w:val="22"/>
        </w:rPr>
        <w:t xml:space="preserve">rientra nei limiti previsti dall’articolo 166 del </w:t>
      </w:r>
      <w:r w:rsidRPr="00D80990">
        <w:rPr>
          <w:rFonts w:cs="Arial"/>
          <w:sz w:val="20"/>
        </w:rPr>
        <w:t>TUEL</w:t>
      </w:r>
      <w:r w:rsidRPr="00D80990">
        <w:rPr>
          <w:rFonts w:cs="Arial"/>
          <w:b w:val="0"/>
          <w:i w:val="0"/>
          <w:sz w:val="22"/>
          <w:szCs w:val="22"/>
        </w:rPr>
        <w:t xml:space="preserve"> ed in quelli previsti dal regolamento di contabilità.</w:t>
      </w:r>
    </w:p>
    <w:p w14:paraId="554394DF" w14:textId="77777777" w:rsidR="00E453A3" w:rsidRPr="00536A56" w:rsidRDefault="00E453A3" w:rsidP="00E453A3">
      <w:pPr>
        <w:autoSpaceDE w:val="0"/>
        <w:autoSpaceDN w:val="0"/>
        <w:adjustRightInd w:val="0"/>
        <w:jc w:val="both"/>
        <w:rPr>
          <w:rFonts w:ascii="Arial" w:hAnsi="Arial" w:cs="Arial"/>
          <w:bCs/>
          <w:sz w:val="22"/>
          <w:szCs w:val="22"/>
        </w:rPr>
      </w:pPr>
      <w:r w:rsidRPr="00536A56">
        <w:rPr>
          <w:rFonts w:ascii="Arial" w:hAnsi="Arial" w:cs="Arial"/>
          <w:bCs/>
          <w:sz w:val="22"/>
          <w:szCs w:val="22"/>
        </w:rPr>
        <w:t>L’organo di revisione ha verificato che la metà della quota minima del fondo di riserva è riservata alla copertura di eventuali spese non prevedibili, la cui mancata effettuazione comporta danni certi all’amministrazione.</w:t>
      </w:r>
    </w:p>
    <w:p w14:paraId="1CB3124B" w14:textId="77777777" w:rsidR="00E453A3" w:rsidRDefault="00E453A3" w:rsidP="00E453A3">
      <w:pPr>
        <w:autoSpaceDE w:val="0"/>
        <w:autoSpaceDN w:val="0"/>
        <w:adjustRightInd w:val="0"/>
        <w:rPr>
          <w:rFonts w:ascii="Arial" w:hAnsi="Arial" w:cs="Arial"/>
          <w:b/>
          <w:bCs/>
          <w:sz w:val="22"/>
          <w:szCs w:val="22"/>
          <w:u w:val="single"/>
        </w:rPr>
      </w:pPr>
    </w:p>
    <w:p w14:paraId="1CD19493" w14:textId="77777777" w:rsidR="008E4E51" w:rsidRDefault="008E4E51">
      <w:pPr>
        <w:rPr>
          <w:rFonts w:ascii="Arial" w:hAnsi="Arial" w:cs="Arial"/>
          <w:b/>
          <w:bCs/>
          <w:sz w:val="22"/>
          <w:szCs w:val="22"/>
          <w:u w:val="single"/>
        </w:rPr>
      </w:pPr>
    </w:p>
    <w:p w14:paraId="2F3D9043" w14:textId="77777777" w:rsidR="00E453A3" w:rsidRPr="00D80990" w:rsidRDefault="00E453A3" w:rsidP="00E453A3">
      <w:pPr>
        <w:pStyle w:val="Titolo3"/>
      </w:pPr>
      <w:bookmarkStart w:id="70" w:name="_Toc535487624"/>
      <w:r w:rsidRPr="00D80990">
        <w:t>Fondi per spese potenziali</w:t>
      </w:r>
      <w:bookmarkEnd w:id="70"/>
    </w:p>
    <w:p w14:paraId="67D43168" w14:textId="77777777" w:rsidR="00E453A3" w:rsidRPr="00D80990" w:rsidRDefault="00E453A3" w:rsidP="00E453A3">
      <w:pPr>
        <w:rPr>
          <w:rFonts w:ascii="Arial" w:hAnsi="Arial" w:cs="Arial"/>
        </w:rPr>
      </w:pPr>
    </w:p>
    <w:p w14:paraId="52783F2B" w14:textId="77777777" w:rsidR="00E453A3" w:rsidRPr="00D80990" w:rsidRDefault="00E453A3" w:rsidP="00E453A3">
      <w:pPr>
        <w:autoSpaceDE w:val="0"/>
        <w:autoSpaceDN w:val="0"/>
        <w:adjustRightInd w:val="0"/>
        <w:rPr>
          <w:rFonts w:ascii="Arial" w:hAnsi="Arial" w:cs="Arial"/>
          <w:bCs/>
          <w:sz w:val="22"/>
          <w:szCs w:val="22"/>
        </w:rPr>
      </w:pPr>
      <w:r w:rsidRPr="00D80990">
        <w:rPr>
          <w:rFonts w:ascii="Arial" w:hAnsi="Arial" w:cs="Arial"/>
          <w:bCs/>
          <w:sz w:val="22"/>
          <w:szCs w:val="22"/>
        </w:rPr>
        <w:lastRenderedPageBreak/>
        <w:t xml:space="preserve">Sono previsti accantonamenti per le seguenti passività potenziali </w:t>
      </w:r>
      <w:r w:rsidRPr="00D80990">
        <w:rPr>
          <w:rFonts w:ascii="Arial" w:hAnsi="Arial" w:cs="Arial"/>
          <w:bCs/>
          <w:sz w:val="22"/>
          <w:szCs w:val="22"/>
          <w:vertAlign w:val="superscript"/>
        </w:rPr>
        <w:t>(1)</w:t>
      </w:r>
      <w:r w:rsidRPr="00D80990">
        <w:rPr>
          <w:rFonts w:ascii="Arial" w:hAnsi="Arial" w:cs="Arial"/>
          <w:bCs/>
          <w:sz w:val="22"/>
          <w:szCs w:val="22"/>
        </w:rPr>
        <w:t>:</w:t>
      </w:r>
    </w:p>
    <w:p w14:paraId="6A1C2D09" w14:textId="77777777" w:rsidR="00E453A3" w:rsidRPr="00D80990" w:rsidRDefault="00E453A3" w:rsidP="00E453A3">
      <w:pPr>
        <w:autoSpaceDE w:val="0"/>
        <w:autoSpaceDN w:val="0"/>
        <w:adjustRightInd w:val="0"/>
        <w:rPr>
          <w:rFonts w:ascii="Arial" w:hAnsi="Arial" w:cs="Arial"/>
          <w:bCs/>
          <w:sz w:val="22"/>
          <w:szCs w:val="22"/>
        </w:rPr>
      </w:pPr>
    </w:p>
    <w:bookmarkStart w:id="71" w:name="_MON_1609227826"/>
    <w:bookmarkEnd w:id="71"/>
    <w:p w14:paraId="55F898FF" w14:textId="77777777" w:rsidR="00E453A3" w:rsidRPr="00D80990" w:rsidRDefault="006F619A" w:rsidP="00E453A3">
      <w:pPr>
        <w:autoSpaceDE w:val="0"/>
        <w:autoSpaceDN w:val="0"/>
        <w:adjustRightInd w:val="0"/>
        <w:jc w:val="center"/>
        <w:rPr>
          <w:rFonts w:ascii="Arial" w:hAnsi="Arial" w:cs="Arial"/>
          <w:bCs/>
          <w:sz w:val="22"/>
          <w:szCs w:val="22"/>
        </w:rPr>
      </w:pPr>
      <w:r w:rsidRPr="006B2B37">
        <w:rPr>
          <w:rFonts w:cs="Arial"/>
          <w:sz w:val="22"/>
          <w:szCs w:val="22"/>
        </w:rPr>
        <w:object w:dxaOrig="10103" w:dyaOrig="2924" w14:anchorId="57772599">
          <v:shape id="_x0000_i1052" type="#_x0000_t75" style="width:475.5pt;height:136.5pt" o:ole="">
            <v:imagedata r:id="rId72" o:title=""/>
          </v:shape>
          <o:OLEObject Type="Embed" ProgID="Excel.Sheet.12" ShapeID="_x0000_i1052" DrawAspect="Content" ObjectID="_1780988741" r:id="rId73"/>
        </w:object>
      </w:r>
    </w:p>
    <w:p w14:paraId="3D12499A" w14:textId="77777777" w:rsidR="00003942" w:rsidRDefault="00003942" w:rsidP="00E453A3">
      <w:pPr>
        <w:autoSpaceDE w:val="0"/>
        <w:autoSpaceDN w:val="0"/>
        <w:adjustRightInd w:val="0"/>
        <w:rPr>
          <w:rFonts w:ascii="Arial" w:hAnsi="Arial" w:cs="Arial"/>
          <w:bCs/>
          <w:sz w:val="22"/>
          <w:szCs w:val="22"/>
        </w:rPr>
      </w:pPr>
    </w:p>
    <w:p w14:paraId="019E600E" w14:textId="77777777" w:rsidR="00E453A3" w:rsidRPr="00D80990" w:rsidRDefault="00E453A3" w:rsidP="00E453A3">
      <w:pPr>
        <w:autoSpaceDE w:val="0"/>
        <w:autoSpaceDN w:val="0"/>
        <w:adjustRightInd w:val="0"/>
        <w:rPr>
          <w:rFonts w:ascii="Arial" w:hAnsi="Arial" w:cs="Arial"/>
          <w:bCs/>
          <w:sz w:val="22"/>
          <w:szCs w:val="22"/>
        </w:rPr>
      </w:pPr>
      <w:r w:rsidRPr="00D80990">
        <w:rPr>
          <w:rFonts w:ascii="Arial" w:hAnsi="Arial" w:cs="Arial"/>
          <w:bCs/>
          <w:sz w:val="22"/>
          <w:szCs w:val="22"/>
        </w:rPr>
        <w:t>A fine esercizio come disposto dall’art.167, comma 3 del TUEL le economie di bilancio dovranno confluire nella quota accantonata del risultato di amministrazione.</w:t>
      </w:r>
    </w:p>
    <w:p w14:paraId="33D7BB06" w14:textId="77777777" w:rsidR="00E453A3" w:rsidRPr="00D80990" w:rsidRDefault="00E453A3" w:rsidP="00E453A3">
      <w:pPr>
        <w:autoSpaceDE w:val="0"/>
        <w:autoSpaceDN w:val="0"/>
        <w:adjustRightInd w:val="0"/>
        <w:rPr>
          <w:rFonts w:ascii="Arial" w:hAnsi="Arial" w:cs="Arial"/>
          <w:bCs/>
          <w:sz w:val="22"/>
          <w:szCs w:val="22"/>
        </w:rPr>
      </w:pPr>
    </w:p>
    <w:p w14:paraId="762EA906" w14:textId="77777777" w:rsidR="00E453A3" w:rsidRPr="00D80990" w:rsidRDefault="00E453A3" w:rsidP="00E453A3">
      <w:pPr>
        <w:pBdr>
          <w:top w:val="single" w:sz="4" w:space="1" w:color="auto"/>
          <w:left w:val="single" w:sz="4" w:space="4" w:color="auto"/>
          <w:bottom w:val="single" w:sz="4" w:space="1" w:color="auto"/>
          <w:right w:val="single" w:sz="4" w:space="4" w:color="auto"/>
        </w:pBdr>
        <w:autoSpaceDE w:val="0"/>
        <w:autoSpaceDN w:val="0"/>
        <w:adjustRightInd w:val="0"/>
        <w:rPr>
          <w:rFonts w:ascii="Arial" w:hAnsi="Arial" w:cs="Arial"/>
          <w:bCs/>
          <w:i/>
          <w:color w:val="00B0F0"/>
          <w:sz w:val="22"/>
          <w:szCs w:val="22"/>
          <w:vertAlign w:val="superscript"/>
        </w:rPr>
      </w:pPr>
      <w:r w:rsidRPr="00D80990">
        <w:rPr>
          <w:rFonts w:ascii="Arial" w:hAnsi="Arial" w:cs="Arial"/>
          <w:bCs/>
          <w:i/>
          <w:color w:val="00B0F0"/>
          <w:sz w:val="22"/>
          <w:szCs w:val="22"/>
          <w:vertAlign w:val="superscript"/>
        </w:rPr>
        <w:t>(1)</w:t>
      </w:r>
    </w:p>
    <w:p w14:paraId="77173A55" w14:textId="77777777"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a) </w:t>
      </w:r>
      <w:r w:rsidRPr="00D80990">
        <w:rPr>
          <w:rFonts w:ascii="Arial" w:hAnsi="Arial" w:cs="Arial"/>
          <w:i/>
          <w:color w:val="00B0F0"/>
          <w:sz w:val="22"/>
          <w:szCs w:val="22"/>
          <w:u w:val="single"/>
        </w:rPr>
        <w:t>accantonamenti per contenzioso</w:t>
      </w:r>
    </w:p>
    <w:p w14:paraId="5125CDBB" w14:textId="77777777"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sulla base del punto 5.2 lettera h) del principio contabile applicato alla contabilità finanziaria (allegato 4.2 al D.Lgs. 118/2011)</w:t>
      </w:r>
      <w:r>
        <w:rPr>
          <w:rFonts w:ascii="Arial" w:hAnsi="Arial" w:cs="Arial"/>
          <w:i/>
          <w:color w:val="00B0F0"/>
          <w:sz w:val="22"/>
          <w:szCs w:val="22"/>
        </w:rPr>
        <w:t>, secondo cui l’organo di revisione deve provvedere a verificare la congruità degli accantonamenti.</w:t>
      </w:r>
    </w:p>
    <w:p w14:paraId="32526CB4" w14:textId="77777777"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b) </w:t>
      </w:r>
      <w:r w:rsidRPr="00D80990">
        <w:rPr>
          <w:rFonts w:ascii="Arial" w:hAnsi="Arial" w:cs="Arial"/>
          <w:i/>
          <w:color w:val="00B0F0"/>
          <w:sz w:val="22"/>
          <w:szCs w:val="22"/>
          <w:u w:val="single"/>
        </w:rPr>
        <w:t>accantonamenti per indennità fine mandato</w:t>
      </w:r>
    </w:p>
    <w:p w14:paraId="1F211334" w14:textId="77777777"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sulla base del punto 5.2 lettera i) del principio contabile applicato alla contabilità finanziaria (allegato 4.2 al D.Lgs.118/2011);</w:t>
      </w:r>
    </w:p>
    <w:p w14:paraId="52EA7540" w14:textId="77777777"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c) </w:t>
      </w:r>
      <w:r w:rsidRPr="00D80990">
        <w:rPr>
          <w:rFonts w:ascii="Arial" w:hAnsi="Arial" w:cs="Arial"/>
          <w:i/>
          <w:color w:val="00B0F0"/>
          <w:sz w:val="22"/>
          <w:szCs w:val="22"/>
          <w:u w:val="single"/>
        </w:rPr>
        <w:t>accantonamenti a copertura di perdite organismi partecipati</w:t>
      </w:r>
    </w:p>
    <w:p w14:paraId="07A0FD68" w14:textId="77777777" w:rsidR="00E453A3" w:rsidRPr="00D80990" w:rsidRDefault="00E453A3" w:rsidP="00E453A3">
      <w:pPr>
        <w:pBdr>
          <w:top w:val="single" w:sz="4" w:space="1" w:color="auto"/>
          <w:left w:val="single" w:sz="4" w:space="4" w:color="auto"/>
          <w:bottom w:val="single" w:sz="4" w:space="1" w:color="auto"/>
          <w:right w:val="single" w:sz="4" w:space="4" w:color="auto"/>
        </w:pBdr>
        <w:rPr>
          <w:rFonts w:ascii="Arial" w:hAnsi="Arial" w:cs="Arial"/>
          <w:i/>
          <w:color w:val="00B0F0"/>
          <w:sz w:val="22"/>
          <w:szCs w:val="22"/>
        </w:rPr>
      </w:pPr>
      <w:r w:rsidRPr="00D80990">
        <w:rPr>
          <w:rFonts w:ascii="Arial" w:hAnsi="Arial" w:cs="Arial"/>
          <w:i/>
          <w:color w:val="00B0F0"/>
          <w:sz w:val="22"/>
          <w:szCs w:val="22"/>
        </w:rPr>
        <w:t>sulla base di quanto disposto dal comma 552 dell’art.1 della Legge 147/2013 e dall’art. 21 commi 1 e 2 del D.Lgs. 19/8/2016 n.175 e di quanto dettagliato in seguito nella parte relativa agli organismi partecipati.</w:t>
      </w:r>
    </w:p>
    <w:p w14:paraId="46263A80" w14:textId="77777777" w:rsidR="00E453A3" w:rsidRPr="00D80990" w:rsidRDefault="00E453A3" w:rsidP="00E453A3">
      <w:pPr>
        <w:rPr>
          <w:rFonts w:ascii="Arial" w:hAnsi="Arial" w:cs="Arial"/>
        </w:rPr>
      </w:pPr>
      <w:bookmarkStart w:id="72" w:name="_ORGANISMI_PARTECIPATI"/>
      <w:bookmarkEnd w:id="72"/>
    </w:p>
    <w:p w14:paraId="439F116C" w14:textId="77777777" w:rsidR="00E453A3" w:rsidRPr="00D80990" w:rsidRDefault="00E453A3" w:rsidP="00E453A3">
      <w:pPr>
        <w:pStyle w:val="Titolo3"/>
      </w:pPr>
      <w:bookmarkStart w:id="73" w:name="_Toc535487625"/>
      <w:r w:rsidRPr="00D80990">
        <w:t>Fondo di riserva di cassa</w:t>
      </w:r>
      <w:bookmarkEnd w:id="73"/>
    </w:p>
    <w:p w14:paraId="486C3CAB" w14:textId="77777777" w:rsidR="008B1A79" w:rsidRDefault="00E453A3">
      <w:pPr>
        <w:pStyle w:val="provvr0"/>
        <w:rPr>
          <w:rFonts w:ascii="Arial" w:hAnsi="Arial" w:cs="Arial"/>
          <w:i/>
          <w:color w:val="17365D" w:themeColor="text2" w:themeShade="BF"/>
          <w:sz w:val="22"/>
          <w:szCs w:val="22"/>
        </w:rPr>
      </w:pPr>
      <w:r w:rsidRPr="00D80990">
        <w:rPr>
          <w:rFonts w:ascii="Arial" w:hAnsi="Arial" w:cs="Arial"/>
          <w:sz w:val="22"/>
          <w:szCs w:val="22"/>
        </w:rPr>
        <w:t>La consistenza del fondo di riserva di cassa rientra</w:t>
      </w:r>
      <w:r>
        <w:rPr>
          <w:rFonts w:ascii="Arial" w:hAnsi="Arial" w:cs="Arial"/>
          <w:sz w:val="22"/>
          <w:szCs w:val="22"/>
        </w:rPr>
        <w:t>/non rientra</w:t>
      </w:r>
      <w:r w:rsidRPr="00D80990">
        <w:rPr>
          <w:rFonts w:ascii="Arial" w:hAnsi="Arial" w:cs="Arial"/>
          <w:sz w:val="22"/>
          <w:szCs w:val="22"/>
        </w:rPr>
        <w:t xml:space="preserve"> nei limiti di cui all’art. 166, comma 2 quater del TUEL. </w:t>
      </w:r>
      <w:r w:rsidRPr="00D80990">
        <w:rPr>
          <w:rFonts w:ascii="Arial" w:hAnsi="Arial" w:cs="Arial"/>
          <w:i/>
          <w:color w:val="17365D" w:themeColor="text2" w:themeShade="BF"/>
          <w:sz w:val="22"/>
          <w:szCs w:val="22"/>
        </w:rPr>
        <w:t>(</w:t>
      </w:r>
      <w:r w:rsidRPr="00D80990">
        <w:rPr>
          <w:rFonts w:ascii="Arial" w:hAnsi="Arial" w:cs="Arial"/>
          <w:i/>
          <w:color w:val="00B0F0"/>
          <w:sz w:val="22"/>
          <w:szCs w:val="22"/>
        </w:rPr>
        <w:t>non inferiore allo 0,2 per cento delle spese finali</w:t>
      </w:r>
      <w:r w:rsidRPr="00D80990">
        <w:rPr>
          <w:rFonts w:ascii="Arial" w:hAnsi="Arial" w:cs="Arial"/>
          <w:i/>
          <w:color w:val="17365D" w:themeColor="text2" w:themeShade="BF"/>
          <w:sz w:val="22"/>
          <w:szCs w:val="22"/>
        </w:rPr>
        <w:t>)</w:t>
      </w:r>
    </w:p>
    <w:p w14:paraId="7B603D31" w14:textId="77777777" w:rsidR="009F6E3E" w:rsidRPr="00D80990" w:rsidRDefault="007F766F">
      <w:pPr>
        <w:pStyle w:val="Titolo1"/>
        <w:shd w:val="clear" w:color="auto" w:fill="B6DDE8" w:themeFill="accent5" w:themeFillTint="66"/>
      </w:pPr>
      <w:bookmarkStart w:id="74" w:name="_Toc535487626"/>
      <w:r w:rsidRPr="00D80990">
        <w:t>ORGANISMI PARTECIPATI</w:t>
      </w:r>
      <w:bookmarkEnd w:id="74"/>
    </w:p>
    <w:p w14:paraId="36186F2C"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Nel corso del triennio 2019-2021 l’ente prevede di esternalizzare i seguenti servizi:</w:t>
      </w:r>
    </w:p>
    <w:p w14:paraId="626DB3E3"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w:t>
      </w:r>
    </w:p>
    <w:p w14:paraId="259B018E"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w:t>
      </w:r>
    </w:p>
    <w:p w14:paraId="46976240" w14:textId="77777777" w:rsidR="00C10C7F" w:rsidRPr="00EB13D6" w:rsidRDefault="00C10C7F" w:rsidP="00C10C7F">
      <w:pPr>
        <w:pStyle w:val="BodyText21"/>
        <w:spacing w:before="120"/>
        <w:rPr>
          <w:rFonts w:cs="Arial"/>
          <w:b w:val="0"/>
          <w:i w:val="0"/>
          <w:sz w:val="22"/>
          <w:szCs w:val="22"/>
        </w:rPr>
      </w:pPr>
    </w:p>
    <w:p w14:paraId="38A11DE6"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 xml:space="preserve">Tutti gli organismi partecipati hanno approvato i bilanci d’esercizio al 31/12/2017 </w:t>
      </w:r>
      <w:r>
        <w:rPr>
          <w:rFonts w:cs="Arial"/>
          <w:b w:val="0"/>
          <w:i w:val="0"/>
          <w:color w:val="0000FF"/>
          <w:sz w:val="22"/>
          <w:szCs w:val="22"/>
        </w:rPr>
        <w:t>[</w:t>
      </w:r>
      <w:r w:rsidRPr="00E616A5">
        <w:rPr>
          <w:rFonts w:cs="Arial"/>
          <w:b w:val="0"/>
          <w:color w:val="00B0F0"/>
          <w:sz w:val="22"/>
          <w:szCs w:val="22"/>
        </w:rPr>
        <w:t>indicare l’eventualediverso termine</w:t>
      </w:r>
      <w:r>
        <w:rPr>
          <w:rFonts w:cs="Arial"/>
          <w:b w:val="0"/>
          <w:i w:val="0"/>
          <w:color w:val="00B0F0"/>
          <w:sz w:val="22"/>
          <w:szCs w:val="22"/>
        </w:rPr>
        <w:t>]</w:t>
      </w:r>
      <w:r>
        <w:rPr>
          <w:rFonts w:cs="Arial"/>
          <w:b w:val="0"/>
          <w:i w:val="0"/>
          <w:sz w:val="22"/>
          <w:szCs w:val="22"/>
        </w:rPr>
        <w:t xml:space="preserve"> che sono pubblicati sul sito internet dell’Ente</w:t>
      </w:r>
      <w:r w:rsidRPr="00EB13D6">
        <w:rPr>
          <w:rFonts w:cs="Arial"/>
          <w:b w:val="0"/>
          <w:i w:val="0"/>
          <w:sz w:val="22"/>
          <w:szCs w:val="22"/>
        </w:rPr>
        <w:t>.</w:t>
      </w:r>
    </w:p>
    <w:p w14:paraId="1804C292"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 xml:space="preserve">Le seguenti società partecipate nell’ultimo bilancio approvato </w:t>
      </w:r>
      <w:r>
        <w:rPr>
          <w:rFonts w:cs="Arial"/>
          <w:b w:val="0"/>
          <w:i w:val="0"/>
          <w:sz w:val="22"/>
          <w:szCs w:val="22"/>
        </w:rPr>
        <w:t xml:space="preserve">hanno </w:t>
      </w:r>
      <w:r w:rsidRPr="00EB13D6">
        <w:rPr>
          <w:rFonts w:cs="Arial"/>
          <w:b w:val="0"/>
          <w:i w:val="0"/>
          <w:sz w:val="22"/>
          <w:szCs w:val="22"/>
        </w:rPr>
        <w:t>presenta</w:t>
      </w:r>
      <w:r>
        <w:rPr>
          <w:rFonts w:cs="Arial"/>
          <w:b w:val="0"/>
          <w:i w:val="0"/>
          <w:sz w:val="22"/>
          <w:szCs w:val="22"/>
        </w:rPr>
        <w:t>t</w:t>
      </w:r>
      <w:r w:rsidRPr="00EB13D6">
        <w:rPr>
          <w:rFonts w:cs="Arial"/>
          <w:b w:val="0"/>
          <w:i w:val="0"/>
          <w:sz w:val="22"/>
          <w:szCs w:val="22"/>
        </w:rPr>
        <w:t xml:space="preserve">o perdite che </w:t>
      </w:r>
      <w:r>
        <w:rPr>
          <w:rFonts w:cs="Arial"/>
          <w:b w:val="0"/>
          <w:i w:val="0"/>
          <w:sz w:val="22"/>
          <w:szCs w:val="22"/>
        </w:rPr>
        <w:t xml:space="preserve">hanno </w:t>
      </w:r>
      <w:r w:rsidRPr="00EB13D6">
        <w:rPr>
          <w:rFonts w:cs="Arial"/>
          <w:b w:val="0"/>
          <w:i w:val="0"/>
          <w:sz w:val="22"/>
          <w:szCs w:val="22"/>
        </w:rPr>
        <w:t>richie</w:t>
      </w:r>
      <w:r>
        <w:rPr>
          <w:rFonts w:cs="Arial"/>
          <w:b w:val="0"/>
          <w:i w:val="0"/>
          <w:sz w:val="22"/>
          <w:szCs w:val="22"/>
        </w:rPr>
        <w:t>st</w:t>
      </w:r>
      <w:r w:rsidRPr="00EB13D6">
        <w:rPr>
          <w:rFonts w:cs="Arial"/>
          <w:b w:val="0"/>
          <w:i w:val="0"/>
          <w:sz w:val="22"/>
          <w:szCs w:val="22"/>
        </w:rPr>
        <w:t xml:space="preserve">o gli interventi di cui all’art. 2447 del </w:t>
      </w:r>
      <w:hyperlink r:id="rId74" w:history="1">
        <w:r w:rsidRPr="00EB13D6">
          <w:rPr>
            <w:rStyle w:val="Collegamentoipertestuale"/>
            <w:rFonts w:cs="Arial"/>
            <w:b w:val="0"/>
            <w:i w:val="0"/>
            <w:color w:val="auto"/>
            <w:sz w:val="22"/>
            <w:szCs w:val="22"/>
            <w:u w:val="none"/>
          </w:rPr>
          <w:t>codice civile</w:t>
        </w:r>
      </w:hyperlink>
      <w:r w:rsidRPr="00EB13D6">
        <w:rPr>
          <w:rStyle w:val="Collegamentoipertestuale"/>
          <w:rFonts w:cs="Arial"/>
          <w:b w:val="0"/>
          <w:i w:val="0"/>
          <w:color w:val="auto"/>
          <w:sz w:val="22"/>
          <w:szCs w:val="22"/>
          <w:u w:val="none"/>
        </w:rPr>
        <w:t xml:space="preserve"> e/o all’art. 2482-ter del codice civile</w:t>
      </w:r>
      <w:r w:rsidRPr="00EB13D6">
        <w:rPr>
          <w:rFonts w:cs="Arial"/>
          <w:b w:val="0"/>
          <w:i w:val="0"/>
          <w:sz w:val="22"/>
          <w:szCs w:val="22"/>
        </w:rPr>
        <w:t>:</w:t>
      </w:r>
    </w:p>
    <w:p w14:paraId="09A90F7E" w14:textId="77777777" w:rsidR="00C10C7F" w:rsidRDefault="00003942" w:rsidP="00C10C7F">
      <w:pPr>
        <w:pStyle w:val="BodyText21"/>
        <w:spacing w:before="120"/>
        <w:rPr>
          <w:rFonts w:cs="Arial"/>
          <w:b w:val="0"/>
          <w:i w:val="0"/>
          <w:sz w:val="22"/>
          <w:szCs w:val="22"/>
        </w:rPr>
      </w:pPr>
      <w:r>
        <w:object w:dxaOrig="13226" w:dyaOrig="2017" w14:anchorId="10EA320E">
          <v:shape id="_x0000_i1053" type="#_x0000_t75" style="width:489pt;height:1in" o:ole="">
            <v:imagedata r:id="rId75" o:title=""/>
          </v:shape>
          <o:OLEObject Type="Embed" ProgID="Excel.Sheet.12" ShapeID="_x0000_i1053" DrawAspect="Content" ObjectID="_1780988742" r:id="rId76"/>
        </w:object>
      </w:r>
    </w:p>
    <w:p w14:paraId="35C40DF2" w14:textId="77777777"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lastRenderedPageBreak/>
        <w:t>La quota a carico del Comune per tali interventi è stata finanziata nel bilancio 2019.</w:t>
      </w:r>
    </w:p>
    <w:p w14:paraId="3D57C718" w14:textId="77777777" w:rsidR="00C10C7F" w:rsidRPr="00D80990" w:rsidRDefault="00C10C7F" w:rsidP="00C10C7F">
      <w:pPr>
        <w:spacing w:before="100" w:beforeAutospacing="1" w:after="100" w:afterAutospacing="1"/>
        <w:jc w:val="both"/>
        <w:rPr>
          <w:rFonts w:ascii="Arial" w:hAnsi="Arial" w:cs="Arial"/>
          <w:color w:val="000000"/>
          <w:sz w:val="22"/>
          <w:szCs w:val="22"/>
        </w:rPr>
      </w:pPr>
      <w:r w:rsidRPr="00D80990">
        <w:rPr>
          <w:rStyle w:val="provvrubrica"/>
          <w:rFonts w:ascii="Arial" w:hAnsi="Arial" w:cs="Arial"/>
          <w:b/>
          <w:i/>
          <w:iCs/>
          <w:color w:val="000000"/>
          <w:sz w:val="22"/>
          <w:szCs w:val="22"/>
        </w:rPr>
        <w:t xml:space="preserve">Adeguamento statuti </w:t>
      </w:r>
    </w:p>
    <w:p w14:paraId="6B7DB6D0" w14:textId="77777777" w:rsidR="00C10C7F" w:rsidRDefault="00C10C7F" w:rsidP="00C10C7F">
      <w:pPr>
        <w:spacing w:before="100" w:beforeAutospacing="1" w:after="100" w:afterAutospacing="1"/>
        <w:jc w:val="both"/>
        <w:rPr>
          <w:rFonts w:ascii="Arial" w:hAnsi="Arial" w:cs="Arial"/>
          <w:color w:val="000000"/>
          <w:sz w:val="22"/>
          <w:szCs w:val="22"/>
        </w:rPr>
      </w:pPr>
      <w:r>
        <w:rPr>
          <w:rFonts w:ascii="Arial" w:hAnsi="Arial" w:cs="Arial"/>
          <w:color w:val="000000"/>
          <w:sz w:val="22"/>
          <w:szCs w:val="22"/>
        </w:rPr>
        <w:t xml:space="preserve">Dalla verifica in materia di adeguamento degli statuti societari ex art. 26 del D.Lgs. n. 175/2016, risulta che non sono ancora stati adeguati alle disposizioni del suddetto decreto gli statuti delle seguenti società controllate e/o a partecipazione mista pubblico-privata: </w:t>
      </w:r>
    </w:p>
    <w:p w14:paraId="50DB3442" w14:textId="77777777" w:rsidR="00C10C7F" w:rsidRPr="002E473A" w:rsidRDefault="00C10C7F" w:rsidP="00C10C7F">
      <w:pPr>
        <w:pStyle w:val="BodyText21"/>
        <w:spacing w:before="120"/>
        <w:rPr>
          <w:rFonts w:cs="Arial"/>
          <w:b w:val="0"/>
          <w:i w:val="0"/>
          <w:sz w:val="22"/>
          <w:szCs w:val="22"/>
        </w:rPr>
      </w:pPr>
      <w:r w:rsidRPr="002E473A">
        <w:rPr>
          <w:rFonts w:cs="Arial"/>
          <w:b w:val="0"/>
          <w:i w:val="0"/>
          <w:sz w:val="22"/>
          <w:szCs w:val="22"/>
        </w:rPr>
        <w:t>……………………………………….</w:t>
      </w:r>
    </w:p>
    <w:p w14:paraId="0470BAFF" w14:textId="77777777" w:rsidR="00C10C7F" w:rsidRPr="002E473A" w:rsidRDefault="00C10C7F" w:rsidP="00C10C7F">
      <w:pPr>
        <w:pStyle w:val="BodyText21"/>
        <w:spacing w:before="120"/>
        <w:rPr>
          <w:rFonts w:cs="Arial"/>
          <w:b w:val="0"/>
          <w:i w:val="0"/>
          <w:sz w:val="22"/>
          <w:szCs w:val="22"/>
        </w:rPr>
      </w:pPr>
      <w:r w:rsidRPr="002E473A">
        <w:rPr>
          <w:rFonts w:cs="Arial"/>
          <w:b w:val="0"/>
          <w:i w:val="0"/>
          <w:sz w:val="22"/>
          <w:szCs w:val="22"/>
        </w:rPr>
        <w:t>……………………………………….</w:t>
      </w:r>
    </w:p>
    <w:p w14:paraId="73C27524" w14:textId="77777777" w:rsidR="00C10C7F" w:rsidRPr="00D80990" w:rsidRDefault="00C10C7F" w:rsidP="00C10C7F">
      <w:pPr>
        <w:spacing w:before="100" w:beforeAutospacing="1" w:after="100" w:afterAutospacing="1"/>
        <w:jc w:val="both"/>
        <w:rPr>
          <w:rFonts w:ascii="Arial" w:hAnsi="Arial" w:cs="Arial"/>
          <w:color w:val="000000"/>
          <w:sz w:val="22"/>
          <w:szCs w:val="22"/>
        </w:rPr>
      </w:pPr>
      <w:r>
        <w:rPr>
          <w:rFonts w:ascii="Arial" w:hAnsi="Arial" w:cs="Arial"/>
          <w:color w:val="000000"/>
          <w:sz w:val="22"/>
          <w:szCs w:val="22"/>
        </w:rPr>
        <w:t>[</w:t>
      </w:r>
      <w:r w:rsidRPr="00EB13D6">
        <w:rPr>
          <w:rFonts w:ascii="Arial" w:hAnsi="Arial" w:cs="Arial"/>
          <w:i/>
          <w:color w:val="000000"/>
          <w:sz w:val="22"/>
          <w:szCs w:val="22"/>
        </w:rPr>
        <w:t xml:space="preserve">OPPURE </w:t>
      </w:r>
      <w:r>
        <w:rPr>
          <w:rFonts w:ascii="Arial" w:hAnsi="Arial" w:cs="Arial"/>
          <w:color w:val="000000"/>
          <w:sz w:val="22"/>
          <w:szCs w:val="22"/>
        </w:rPr>
        <w:t xml:space="preserve">Tutte </w:t>
      </w:r>
      <w:r w:rsidRPr="00D80990">
        <w:rPr>
          <w:rFonts w:ascii="Arial" w:hAnsi="Arial" w:cs="Arial"/>
          <w:color w:val="000000"/>
          <w:sz w:val="22"/>
          <w:szCs w:val="22"/>
        </w:rPr>
        <w:t>società a controllo pubblico</w:t>
      </w:r>
      <w:r>
        <w:rPr>
          <w:rFonts w:ascii="Arial" w:hAnsi="Arial" w:cs="Arial"/>
          <w:color w:val="000000"/>
          <w:sz w:val="22"/>
          <w:szCs w:val="22"/>
        </w:rPr>
        <w:t xml:space="preserve"> e/o a partecipazione mista pubblico-privata del Comune </w:t>
      </w:r>
      <w:r w:rsidRPr="00D80990">
        <w:rPr>
          <w:rFonts w:ascii="Arial" w:hAnsi="Arial" w:cs="Arial"/>
          <w:color w:val="000000"/>
          <w:sz w:val="22"/>
          <w:szCs w:val="22"/>
        </w:rPr>
        <w:t xml:space="preserve">hanno adeguato i propri statuti societari alle norme del </w:t>
      </w:r>
      <w:r>
        <w:rPr>
          <w:rFonts w:ascii="Arial" w:hAnsi="Arial" w:cs="Arial"/>
          <w:color w:val="000000"/>
          <w:sz w:val="22"/>
          <w:szCs w:val="22"/>
        </w:rPr>
        <w:t>D.Lgs. n. 175/2016]</w:t>
      </w:r>
      <w:r w:rsidRPr="00D80990">
        <w:rPr>
          <w:rFonts w:ascii="Arial" w:hAnsi="Arial" w:cs="Arial"/>
          <w:color w:val="000000"/>
          <w:sz w:val="22"/>
          <w:szCs w:val="22"/>
        </w:rPr>
        <w:t>.</w:t>
      </w:r>
    </w:p>
    <w:p w14:paraId="0614E23D" w14:textId="77777777" w:rsidR="00C10C7F" w:rsidRPr="00D80990" w:rsidRDefault="00C10C7F" w:rsidP="00C10C7F">
      <w:pPr>
        <w:rPr>
          <w:rFonts w:ascii="Arial" w:hAnsi="Arial" w:cs="Arial"/>
          <w:b/>
        </w:rPr>
      </w:pPr>
      <w:r w:rsidRPr="00D80990">
        <w:rPr>
          <w:rStyle w:val="provvrubrica"/>
          <w:rFonts w:ascii="Arial" w:hAnsi="Arial" w:cs="Arial"/>
          <w:b/>
          <w:i/>
          <w:iCs/>
          <w:color w:val="000000"/>
          <w:sz w:val="22"/>
          <w:szCs w:val="22"/>
        </w:rPr>
        <w:t>Accantonamento a copertura di perdite</w:t>
      </w:r>
    </w:p>
    <w:p w14:paraId="6A37F0E2" w14:textId="77777777" w:rsidR="00C10C7F" w:rsidRPr="00D80990" w:rsidRDefault="00C10C7F" w:rsidP="00C10C7F">
      <w:pPr>
        <w:jc w:val="both"/>
        <w:rPr>
          <w:rFonts w:ascii="Arial" w:hAnsi="Arial" w:cs="Arial"/>
          <w:sz w:val="22"/>
          <w:szCs w:val="22"/>
        </w:rPr>
      </w:pPr>
    </w:p>
    <w:p w14:paraId="7F210D2D" w14:textId="77777777" w:rsidR="00C10C7F" w:rsidRPr="00D80990" w:rsidRDefault="00C10C7F" w:rsidP="00C10C7F">
      <w:pPr>
        <w:jc w:val="both"/>
        <w:rPr>
          <w:rFonts w:ascii="Arial" w:hAnsi="Arial" w:cs="Arial"/>
          <w:color w:val="0000FF"/>
          <w:sz w:val="22"/>
          <w:szCs w:val="22"/>
          <w:u w:val="single"/>
        </w:rPr>
      </w:pPr>
      <w:r w:rsidRPr="00D80990">
        <w:rPr>
          <w:rFonts w:ascii="Arial" w:hAnsi="Arial" w:cs="Arial"/>
          <w:sz w:val="22"/>
          <w:szCs w:val="22"/>
        </w:rPr>
        <w:t>Dai dati comunicati dalle società partecipate sul</w:t>
      </w:r>
      <w:r>
        <w:rPr>
          <w:rFonts w:ascii="Arial" w:hAnsi="Arial" w:cs="Arial"/>
          <w:sz w:val="22"/>
          <w:szCs w:val="22"/>
        </w:rPr>
        <w:t>la previsione del</w:t>
      </w:r>
      <w:r w:rsidRPr="00D80990">
        <w:rPr>
          <w:rFonts w:ascii="Arial" w:hAnsi="Arial" w:cs="Arial"/>
          <w:sz w:val="22"/>
          <w:szCs w:val="22"/>
        </w:rPr>
        <w:t xml:space="preserve"> risultato dell’esercizio 201</w:t>
      </w:r>
      <w:r>
        <w:rPr>
          <w:rFonts w:ascii="Arial" w:hAnsi="Arial" w:cs="Arial"/>
          <w:sz w:val="22"/>
          <w:szCs w:val="22"/>
        </w:rPr>
        <w:t>8</w:t>
      </w:r>
      <w:r w:rsidRPr="00D80990">
        <w:rPr>
          <w:rFonts w:ascii="Arial" w:hAnsi="Arial" w:cs="Arial"/>
          <w:sz w:val="22"/>
          <w:szCs w:val="22"/>
        </w:rPr>
        <w:t xml:space="preserve">, non </w:t>
      </w:r>
      <w:r>
        <w:rPr>
          <w:rFonts w:ascii="Arial" w:hAnsi="Arial" w:cs="Arial"/>
          <w:sz w:val="22"/>
          <w:szCs w:val="22"/>
        </w:rPr>
        <w:t xml:space="preserve">si rilevano </w:t>
      </w:r>
      <w:r w:rsidRPr="00D80990">
        <w:rPr>
          <w:rFonts w:ascii="Arial" w:hAnsi="Arial" w:cs="Arial"/>
          <w:sz w:val="22"/>
          <w:szCs w:val="22"/>
        </w:rPr>
        <w:t xml:space="preserve">risultati d’esercizio negativi non immediatamente ripianabili che obbligano l’ente a provvedere agli accantonamenti ai sensi </w:t>
      </w:r>
      <w:r w:rsidRPr="00D80990">
        <w:rPr>
          <w:rStyle w:val="Collegamentoipertestuale"/>
          <w:rFonts w:ascii="Arial" w:hAnsi="Arial" w:cs="Arial"/>
          <w:color w:val="auto"/>
          <w:sz w:val="22"/>
          <w:szCs w:val="22"/>
          <w:u w:val="none"/>
        </w:rPr>
        <w:t>dell’art. 21 commi 1 e 2 del D.Lgs.175/2016.</w:t>
      </w:r>
    </w:p>
    <w:p w14:paraId="320379F3" w14:textId="77777777" w:rsidR="00C10C7F" w:rsidRPr="00D80990" w:rsidRDefault="00C10C7F" w:rsidP="00C10C7F">
      <w:pPr>
        <w:jc w:val="both"/>
        <w:rPr>
          <w:rFonts w:ascii="Arial" w:hAnsi="Arial" w:cs="Arial"/>
          <w:i/>
          <w:sz w:val="22"/>
          <w:szCs w:val="22"/>
        </w:rPr>
      </w:pPr>
    </w:p>
    <w:p w14:paraId="4A6A29D5" w14:textId="77777777" w:rsidR="00C10C7F" w:rsidRPr="00D80990" w:rsidRDefault="00C10C7F" w:rsidP="00C10C7F">
      <w:pPr>
        <w:jc w:val="both"/>
        <w:rPr>
          <w:rFonts w:ascii="Arial" w:hAnsi="Arial" w:cs="Arial"/>
          <w:i/>
          <w:sz w:val="22"/>
          <w:szCs w:val="22"/>
        </w:rPr>
      </w:pPr>
      <w:r w:rsidRPr="00D80990">
        <w:rPr>
          <w:rFonts w:ascii="Arial" w:hAnsi="Arial" w:cs="Arial"/>
          <w:i/>
          <w:sz w:val="22"/>
          <w:szCs w:val="22"/>
        </w:rPr>
        <w:t>Oppure:</w:t>
      </w:r>
    </w:p>
    <w:p w14:paraId="65D39FF3" w14:textId="77777777" w:rsidR="00C10C7F" w:rsidRPr="00D80990" w:rsidRDefault="00C10C7F" w:rsidP="00C10C7F">
      <w:pPr>
        <w:jc w:val="both"/>
        <w:rPr>
          <w:rFonts w:ascii="Arial" w:hAnsi="Arial" w:cs="Arial"/>
          <w:sz w:val="22"/>
          <w:szCs w:val="22"/>
        </w:rPr>
      </w:pPr>
      <w:r w:rsidRPr="00D80990">
        <w:rPr>
          <w:rFonts w:ascii="Arial" w:hAnsi="Arial" w:cs="Arial"/>
          <w:sz w:val="22"/>
          <w:szCs w:val="22"/>
        </w:rPr>
        <w:t>Le seguenti Istituzioni, aziende speciali e società partecipate dall’ente hanno comunicato di prevedere</w:t>
      </w:r>
      <w:r>
        <w:rPr>
          <w:rFonts w:ascii="Arial" w:hAnsi="Arial" w:cs="Arial"/>
          <w:sz w:val="22"/>
          <w:szCs w:val="22"/>
        </w:rPr>
        <w:t xml:space="preserve"> per l’anno 2018</w:t>
      </w:r>
      <w:r w:rsidRPr="00D80990">
        <w:rPr>
          <w:rFonts w:ascii="Arial" w:hAnsi="Arial" w:cs="Arial"/>
          <w:sz w:val="22"/>
          <w:szCs w:val="22"/>
        </w:rPr>
        <w:t xml:space="preserve"> i seguenti risultati di esercizio o finanziari negativi non immediatamente ripianabili e l’ente ha provveduto ai seguenti accantonamenti ai sensi del comma 552 dell’art.1 della Legge 147/2013:</w:t>
      </w:r>
    </w:p>
    <w:p w14:paraId="02AC29BD" w14:textId="77777777" w:rsidR="00C10C7F" w:rsidRPr="00D80990" w:rsidRDefault="00C10C7F" w:rsidP="00C10C7F">
      <w:pPr>
        <w:jc w:val="both"/>
        <w:rPr>
          <w:rFonts w:ascii="Arial" w:hAnsi="Arial" w:cs="Arial"/>
          <w:sz w:val="22"/>
          <w:szCs w:val="22"/>
        </w:rPr>
      </w:pPr>
    </w:p>
    <w:p w14:paraId="21C9DFD3" w14:textId="77777777" w:rsidR="00C10C7F" w:rsidRPr="00D80990" w:rsidRDefault="00003942" w:rsidP="00C10C7F">
      <w:pPr>
        <w:jc w:val="center"/>
        <w:rPr>
          <w:rFonts w:ascii="Arial" w:hAnsi="Arial" w:cs="Arial"/>
          <w:sz w:val="20"/>
          <w:szCs w:val="20"/>
        </w:rPr>
      </w:pPr>
      <w:r>
        <w:object w:dxaOrig="8176" w:dyaOrig="1988" w14:anchorId="038F03E7">
          <v:shape id="_x0000_i1054" type="#_x0000_t75" style="width:410.25pt;height:100.5pt" o:ole="">
            <v:imagedata r:id="rId77" o:title=""/>
          </v:shape>
          <o:OLEObject Type="Embed" ProgID="Excel.Sheet.12" ShapeID="_x0000_i1054" DrawAspect="Content" ObjectID="_1780988743" r:id="rId78"/>
        </w:object>
      </w:r>
    </w:p>
    <w:p w14:paraId="589C62EB" w14:textId="77777777" w:rsidR="00C10C7F" w:rsidRPr="00D80990" w:rsidRDefault="00C10C7F" w:rsidP="00C10C7F">
      <w:pPr>
        <w:jc w:val="both"/>
        <w:rPr>
          <w:rFonts w:ascii="Arial" w:hAnsi="Arial" w:cs="Arial"/>
          <w:sz w:val="22"/>
          <w:szCs w:val="22"/>
        </w:rPr>
      </w:pPr>
    </w:p>
    <w:p w14:paraId="028BA3DF" w14:textId="77777777" w:rsidR="00C10C7F" w:rsidRPr="00D80990" w:rsidRDefault="00C10C7F" w:rsidP="00C10C7F">
      <w:pPr>
        <w:jc w:val="both"/>
        <w:rPr>
          <w:rStyle w:val="provvrubrica"/>
          <w:rFonts w:ascii="Arial" w:hAnsi="Arial" w:cs="Arial"/>
          <w:i/>
          <w:iCs/>
          <w:color w:val="000000"/>
          <w:sz w:val="22"/>
          <w:szCs w:val="22"/>
        </w:rPr>
      </w:pPr>
      <w:r>
        <w:rPr>
          <w:rStyle w:val="provvrubrica"/>
          <w:rFonts w:ascii="Arial" w:hAnsi="Arial" w:cs="Arial"/>
          <w:b/>
          <w:i/>
          <w:iCs/>
          <w:color w:val="000000"/>
          <w:sz w:val="22"/>
          <w:szCs w:val="22"/>
        </w:rPr>
        <w:t xml:space="preserve">[EVENTUALE </w:t>
      </w:r>
      <w:r w:rsidRPr="00D80990">
        <w:rPr>
          <w:rStyle w:val="provvrubrica"/>
          <w:rFonts w:ascii="Arial" w:hAnsi="Arial" w:cs="Arial"/>
          <w:b/>
          <w:i/>
          <w:iCs/>
          <w:color w:val="000000"/>
          <w:sz w:val="22"/>
          <w:szCs w:val="22"/>
        </w:rPr>
        <w:t xml:space="preserve">Revisione straordinaria delle partecipazioni </w:t>
      </w:r>
      <w:r w:rsidR="001C1946">
        <w:rPr>
          <w:rStyle w:val="provvrubrica"/>
          <w:rFonts w:ascii="Arial" w:hAnsi="Arial" w:cs="Arial"/>
          <w:i/>
          <w:iCs/>
          <w:color w:val="000000"/>
          <w:sz w:val="22"/>
          <w:szCs w:val="22"/>
        </w:rPr>
        <w:t>(art. 24, D.</w:t>
      </w:r>
      <w:r w:rsidRPr="00D80990">
        <w:rPr>
          <w:rStyle w:val="provvrubrica"/>
          <w:rFonts w:ascii="Arial" w:hAnsi="Arial" w:cs="Arial"/>
          <w:i/>
          <w:iCs/>
          <w:color w:val="000000"/>
          <w:sz w:val="22"/>
          <w:szCs w:val="22"/>
        </w:rPr>
        <w:t>Lgs. 175/2016)</w:t>
      </w:r>
      <w:r>
        <w:rPr>
          <w:rStyle w:val="provvrubrica"/>
          <w:rFonts w:ascii="Arial" w:hAnsi="Arial" w:cs="Arial"/>
          <w:i/>
          <w:iCs/>
          <w:color w:val="000000"/>
          <w:sz w:val="22"/>
          <w:szCs w:val="22"/>
        </w:rPr>
        <w:t>[</w:t>
      </w:r>
      <w:r w:rsidRPr="00E616A5">
        <w:rPr>
          <w:rFonts w:ascii="Arial" w:hAnsi="Arial" w:cs="Arial"/>
          <w:i/>
          <w:color w:val="00B0F0"/>
          <w:sz w:val="22"/>
          <w:szCs w:val="22"/>
        </w:rPr>
        <w:t>nel caso di enti che avevano individuato, entro il 31.</w:t>
      </w:r>
      <w:r w:rsidRPr="00160F09">
        <w:rPr>
          <w:rFonts w:ascii="Arial" w:hAnsi="Arial" w:cs="Arial"/>
          <w:i/>
          <w:color w:val="00B0F0"/>
          <w:sz w:val="22"/>
          <w:szCs w:val="22"/>
        </w:rPr>
        <w:t>12.2017, partecipazioni da dismettere</w:t>
      </w:r>
      <w:r>
        <w:rPr>
          <w:rFonts w:ascii="Arial" w:hAnsi="Arial" w:cs="Arial"/>
          <w:color w:val="0000FF"/>
          <w:sz w:val="22"/>
          <w:szCs w:val="22"/>
        </w:rPr>
        <w:t>]</w:t>
      </w:r>
    </w:p>
    <w:p w14:paraId="421A54F7" w14:textId="77777777" w:rsidR="00C10C7F" w:rsidRPr="00D80990" w:rsidRDefault="00C10C7F" w:rsidP="00C10C7F">
      <w:pPr>
        <w:rPr>
          <w:rFonts w:ascii="Arial" w:hAnsi="Arial" w:cs="Arial"/>
          <w:sz w:val="22"/>
        </w:rPr>
      </w:pPr>
    </w:p>
    <w:p w14:paraId="073A4EFE" w14:textId="77777777" w:rsidR="006A589E" w:rsidRDefault="00C10C7F" w:rsidP="00C10C7F">
      <w:pPr>
        <w:jc w:val="both"/>
        <w:rPr>
          <w:rFonts w:ascii="Arial" w:hAnsi="Arial" w:cs="Arial"/>
          <w:sz w:val="22"/>
        </w:rPr>
      </w:pPr>
      <w:r w:rsidRPr="00D80990">
        <w:rPr>
          <w:rFonts w:ascii="Arial" w:hAnsi="Arial" w:cs="Arial"/>
          <w:sz w:val="22"/>
        </w:rPr>
        <w:t xml:space="preserve">L’Ente ha provveduto con provvedimento motivato, entro il 30 settembre 2017, alla ricognizione di tutte le partecipazioni possedute, direttamente e indirettamente, individuando quelle che </w:t>
      </w:r>
      <w:r>
        <w:rPr>
          <w:rFonts w:ascii="Arial" w:hAnsi="Arial" w:cs="Arial"/>
          <w:sz w:val="22"/>
        </w:rPr>
        <w:t xml:space="preserve">dovevano </w:t>
      </w:r>
      <w:r w:rsidRPr="00D80990">
        <w:rPr>
          <w:rFonts w:ascii="Arial" w:hAnsi="Arial" w:cs="Arial"/>
          <w:sz w:val="22"/>
        </w:rPr>
        <w:t>essere dismesse</w:t>
      </w:r>
      <w:r>
        <w:rPr>
          <w:rFonts w:ascii="Arial" w:hAnsi="Arial" w:cs="Arial"/>
          <w:sz w:val="22"/>
        </w:rPr>
        <w:t xml:space="preserve"> entro il 3</w:t>
      </w:r>
      <w:r w:rsidR="006A589E">
        <w:rPr>
          <w:rFonts w:ascii="Arial" w:hAnsi="Arial" w:cs="Arial"/>
          <w:sz w:val="22"/>
        </w:rPr>
        <w:t>0 settembre 2018.</w:t>
      </w:r>
    </w:p>
    <w:p w14:paraId="62F526C9" w14:textId="77777777" w:rsidR="00C10C7F" w:rsidRPr="00D80990" w:rsidRDefault="006A589E" w:rsidP="00C10C7F">
      <w:pPr>
        <w:jc w:val="both"/>
        <w:rPr>
          <w:rFonts w:ascii="Arial" w:hAnsi="Arial" w:cs="Arial"/>
        </w:rPr>
      </w:pPr>
      <w:r>
        <w:rPr>
          <w:rFonts w:ascii="Arial" w:hAnsi="Arial" w:cs="Arial"/>
          <w:sz w:val="22"/>
        </w:rPr>
        <w:t>A</w:t>
      </w:r>
      <w:r w:rsidR="00C10C7F">
        <w:rPr>
          <w:rFonts w:ascii="Arial" w:hAnsi="Arial" w:cs="Arial"/>
          <w:sz w:val="22"/>
        </w:rPr>
        <w:t xml:space="preserve"> tal riguardo, il Comune ha proceduto alla dismissione delle seguenti partecipazioni societarie:</w:t>
      </w:r>
    </w:p>
    <w:p w14:paraId="71DDD5EB" w14:textId="77777777" w:rsidR="00C10C7F" w:rsidRPr="00D80990" w:rsidRDefault="00C10C7F" w:rsidP="00C10C7F">
      <w:pPr>
        <w:jc w:val="both"/>
        <w:rPr>
          <w:rFonts w:ascii="Arial" w:hAnsi="Arial" w:cs="Arial"/>
          <w:sz w:val="22"/>
        </w:rPr>
      </w:pPr>
    </w:p>
    <w:p w14:paraId="66647D99" w14:textId="77777777" w:rsidR="00CF0707" w:rsidRDefault="00003942" w:rsidP="00C10C7F">
      <w:pPr>
        <w:jc w:val="center"/>
        <w:rPr>
          <w:rFonts w:ascii="Arial" w:hAnsi="Arial" w:cs="Arial"/>
          <w:sz w:val="22"/>
        </w:rPr>
      </w:pPr>
      <w:r>
        <w:object w:dxaOrig="11522" w:dyaOrig="1268" w14:anchorId="20956CF7">
          <v:shape id="_x0000_i1055" type="#_x0000_t75" style="width:489.75pt;height:50.25pt" o:ole="">
            <v:imagedata r:id="rId79" o:title=""/>
          </v:shape>
          <o:OLEObject Type="Embed" ProgID="Excel.Sheet.12" ShapeID="_x0000_i1055" DrawAspect="Content" ObjectID="_1780988744" r:id="rId80"/>
        </w:object>
      </w:r>
    </w:p>
    <w:p w14:paraId="38333FB5" w14:textId="77777777" w:rsidR="0001679F" w:rsidRDefault="0001679F" w:rsidP="00C10C7F">
      <w:pPr>
        <w:jc w:val="both"/>
        <w:rPr>
          <w:rFonts w:ascii="Arial" w:hAnsi="Arial" w:cs="Arial"/>
          <w:sz w:val="22"/>
          <w:szCs w:val="22"/>
        </w:rPr>
      </w:pPr>
    </w:p>
    <w:p w14:paraId="211FD687" w14:textId="77777777" w:rsidR="00C10C7F" w:rsidRDefault="00C10C7F" w:rsidP="00C10C7F">
      <w:pPr>
        <w:jc w:val="both"/>
        <w:rPr>
          <w:rFonts w:ascii="Arial" w:hAnsi="Arial" w:cs="Arial"/>
          <w:sz w:val="22"/>
          <w:szCs w:val="22"/>
        </w:rPr>
      </w:pPr>
      <w:r w:rsidRPr="00D57946">
        <w:rPr>
          <w:rFonts w:ascii="Arial" w:hAnsi="Arial" w:cs="Arial"/>
          <w:sz w:val="22"/>
          <w:szCs w:val="22"/>
        </w:rPr>
        <w:t>[</w:t>
      </w:r>
      <w:r w:rsidRPr="00D57946">
        <w:rPr>
          <w:rFonts w:ascii="Arial" w:hAnsi="Arial" w:cs="Arial"/>
          <w:i/>
          <w:sz w:val="22"/>
          <w:szCs w:val="22"/>
        </w:rPr>
        <w:t>OPPURE</w:t>
      </w:r>
      <w:r w:rsidRPr="00D57946">
        <w:rPr>
          <w:rFonts w:ascii="Arial" w:hAnsi="Arial" w:cs="Arial"/>
          <w:sz w:val="22"/>
          <w:szCs w:val="22"/>
        </w:rPr>
        <w:t xml:space="preserve"> a tal riguardo, non risultano ancora dismesse o coinvolte in un Piano di razionalizzazione le seguenti partecipazioni so</w:t>
      </w:r>
      <w:r>
        <w:rPr>
          <w:rFonts w:ascii="Arial" w:hAnsi="Arial" w:cs="Arial"/>
          <w:sz w:val="22"/>
          <w:szCs w:val="22"/>
        </w:rPr>
        <w:t>cietarie:]</w:t>
      </w:r>
    </w:p>
    <w:p w14:paraId="5D75AF5D" w14:textId="77777777" w:rsidR="00C10C7F" w:rsidRDefault="00C10C7F" w:rsidP="00C10C7F">
      <w:pPr>
        <w:jc w:val="both"/>
        <w:rPr>
          <w:rFonts w:ascii="Arial" w:hAnsi="Arial" w:cs="Arial"/>
          <w:sz w:val="22"/>
          <w:szCs w:val="22"/>
        </w:rPr>
      </w:pPr>
    </w:p>
    <w:p w14:paraId="06D57714" w14:textId="77777777" w:rsidR="00C10C7F" w:rsidRPr="00D57946" w:rsidRDefault="00003942" w:rsidP="00003942">
      <w:pPr>
        <w:jc w:val="center"/>
        <w:rPr>
          <w:rFonts w:ascii="Arial" w:hAnsi="Arial" w:cs="Arial"/>
          <w:sz w:val="22"/>
          <w:szCs w:val="22"/>
        </w:rPr>
      </w:pPr>
      <w:r>
        <w:object w:dxaOrig="6472" w:dyaOrig="1268" w14:anchorId="1F82147A">
          <v:shape id="_x0000_i1056" type="#_x0000_t75" style="width:324pt;height:64.5pt" o:ole="">
            <v:imagedata r:id="rId81" o:title=""/>
          </v:shape>
          <o:OLEObject Type="Embed" ProgID="Excel.Sheet.12" ShapeID="_x0000_i1056" DrawAspect="Content" ObjectID="_1780988745" r:id="rId82"/>
        </w:object>
      </w:r>
    </w:p>
    <w:p w14:paraId="4645EA25" w14:textId="77777777" w:rsidR="00C10C7F" w:rsidRDefault="00C10C7F" w:rsidP="00C10C7F">
      <w:pPr>
        <w:jc w:val="both"/>
        <w:rPr>
          <w:rFonts w:ascii="Arial" w:hAnsi="Arial" w:cs="Arial"/>
          <w:sz w:val="22"/>
          <w:szCs w:val="22"/>
          <w:highlight w:val="yellow"/>
        </w:rPr>
      </w:pPr>
    </w:p>
    <w:p w14:paraId="033469E8" w14:textId="77777777" w:rsidR="00C10C7F" w:rsidRDefault="00C10C7F" w:rsidP="00C10C7F">
      <w:pPr>
        <w:jc w:val="both"/>
        <w:rPr>
          <w:rFonts w:ascii="Arial" w:hAnsi="Arial" w:cs="Arial"/>
          <w:b/>
          <w:sz w:val="20"/>
          <w:szCs w:val="20"/>
        </w:rPr>
      </w:pPr>
    </w:p>
    <w:p w14:paraId="0CCFA24E" w14:textId="77777777" w:rsidR="00C10C7F" w:rsidRDefault="00C10C7F" w:rsidP="00C10C7F">
      <w:pPr>
        <w:jc w:val="both"/>
        <w:rPr>
          <w:rFonts w:ascii="Arial" w:hAnsi="Arial" w:cs="Arial"/>
          <w:b/>
          <w:sz w:val="20"/>
          <w:szCs w:val="20"/>
        </w:rPr>
      </w:pPr>
      <w:r>
        <w:rPr>
          <w:rStyle w:val="provvrubrica"/>
          <w:rFonts w:ascii="Arial" w:hAnsi="Arial" w:cs="Arial"/>
          <w:b/>
          <w:i/>
          <w:iCs/>
          <w:color w:val="000000"/>
          <w:sz w:val="22"/>
          <w:szCs w:val="22"/>
        </w:rPr>
        <w:t xml:space="preserve">[EVENTUALE </w:t>
      </w:r>
      <w:r w:rsidRPr="00D80990">
        <w:rPr>
          <w:rStyle w:val="provvrubrica"/>
          <w:rFonts w:ascii="Arial" w:hAnsi="Arial" w:cs="Arial"/>
          <w:b/>
          <w:i/>
          <w:iCs/>
          <w:color w:val="000000"/>
          <w:sz w:val="22"/>
          <w:szCs w:val="22"/>
        </w:rPr>
        <w:t>R</w:t>
      </w:r>
      <w:r>
        <w:rPr>
          <w:rStyle w:val="provvrubrica"/>
          <w:rFonts w:ascii="Arial" w:hAnsi="Arial" w:cs="Arial"/>
          <w:b/>
          <w:i/>
          <w:iCs/>
          <w:color w:val="000000"/>
          <w:sz w:val="22"/>
          <w:szCs w:val="22"/>
        </w:rPr>
        <w:t>azionalizzazioneperiodica</w:t>
      </w:r>
      <w:r w:rsidRPr="00D80990">
        <w:rPr>
          <w:rStyle w:val="provvrubrica"/>
          <w:rFonts w:ascii="Arial" w:hAnsi="Arial" w:cs="Arial"/>
          <w:b/>
          <w:i/>
          <w:iCs/>
          <w:color w:val="000000"/>
          <w:sz w:val="22"/>
          <w:szCs w:val="22"/>
        </w:rPr>
        <w:t xml:space="preserve"> delle partecipazioni </w:t>
      </w:r>
      <w:r w:rsidRPr="00D80990">
        <w:rPr>
          <w:rStyle w:val="provvrubrica"/>
          <w:rFonts w:ascii="Arial" w:hAnsi="Arial" w:cs="Arial"/>
          <w:i/>
          <w:iCs/>
          <w:color w:val="000000"/>
          <w:sz w:val="22"/>
          <w:szCs w:val="22"/>
        </w:rPr>
        <w:t>(art. 2</w:t>
      </w:r>
      <w:r>
        <w:rPr>
          <w:rStyle w:val="provvrubrica"/>
          <w:rFonts w:ascii="Arial" w:hAnsi="Arial" w:cs="Arial"/>
          <w:i/>
          <w:iCs/>
          <w:color w:val="000000"/>
          <w:sz w:val="22"/>
          <w:szCs w:val="22"/>
        </w:rPr>
        <w:t>0, D.</w:t>
      </w:r>
      <w:r w:rsidRPr="00D80990">
        <w:rPr>
          <w:rStyle w:val="provvrubrica"/>
          <w:rFonts w:ascii="Arial" w:hAnsi="Arial" w:cs="Arial"/>
          <w:i/>
          <w:iCs/>
          <w:color w:val="000000"/>
          <w:sz w:val="22"/>
          <w:szCs w:val="22"/>
        </w:rPr>
        <w:t>Lgs. 175/2016)</w:t>
      </w:r>
      <w:r>
        <w:rPr>
          <w:rStyle w:val="provvrubrica"/>
          <w:rFonts w:ascii="Arial" w:hAnsi="Arial" w:cs="Arial"/>
          <w:i/>
          <w:iCs/>
          <w:color w:val="000000"/>
          <w:sz w:val="22"/>
          <w:szCs w:val="22"/>
        </w:rPr>
        <w:t>[</w:t>
      </w:r>
      <w:r w:rsidRPr="00E616A5">
        <w:rPr>
          <w:rFonts w:ascii="Arial" w:hAnsi="Arial" w:cs="Arial"/>
          <w:color w:val="00B0F0"/>
          <w:sz w:val="22"/>
          <w:szCs w:val="22"/>
        </w:rPr>
        <w:t xml:space="preserve">nel caso di </w:t>
      </w:r>
      <w:r w:rsidRPr="00160F09">
        <w:rPr>
          <w:rFonts w:ascii="Arial" w:hAnsi="Arial" w:cs="Arial"/>
          <w:color w:val="00B0F0"/>
          <w:sz w:val="22"/>
          <w:szCs w:val="22"/>
        </w:rPr>
        <w:t>enti che abbiano provveduto a effettuarla prima dell’approvazione del bilancio di previsione</w:t>
      </w:r>
      <w:r>
        <w:rPr>
          <w:rFonts w:ascii="Arial" w:hAnsi="Arial" w:cs="Arial"/>
          <w:color w:val="00B0F0"/>
          <w:sz w:val="22"/>
          <w:szCs w:val="22"/>
        </w:rPr>
        <w:t>]</w:t>
      </w:r>
    </w:p>
    <w:p w14:paraId="14924695" w14:textId="77777777" w:rsidR="00C10C7F" w:rsidRDefault="00C10C7F" w:rsidP="00C10C7F">
      <w:pPr>
        <w:jc w:val="both"/>
        <w:rPr>
          <w:rFonts w:ascii="Arial" w:hAnsi="Arial" w:cs="Arial"/>
          <w:sz w:val="22"/>
        </w:rPr>
      </w:pPr>
    </w:p>
    <w:p w14:paraId="4AAA8E19" w14:textId="77777777" w:rsidR="00C10C7F" w:rsidRDefault="00C10C7F" w:rsidP="00C10C7F">
      <w:pPr>
        <w:jc w:val="both"/>
        <w:rPr>
          <w:rFonts w:ascii="Arial" w:hAnsi="Arial" w:cs="Arial"/>
          <w:sz w:val="22"/>
        </w:rPr>
      </w:pPr>
      <w:r>
        <w:rPr>
          <w:rFonts w:ascii="Arial" w:hAnsi="Arial" w:cs="Arial"/>
          <w:sz w:val="22"/>
        </w:rPr>
        <w:t xml:space="preserve">L’Ente ha provveduto, in data …………… (entro il 31.12.2018), con proprio provvedimento motivato, all’analisi dell’assetto complessivo delle società in cui detiene partecipazioni, dirette o indirette, predisponendo un piano di riassetto per la loro razionalizzazione, fusione o soppressione, anche mediante messa in liquidazione o cessione, ai sensi dell’art. 20 del D.Lgs. n. 175/2016. </w:t>
      </w:r>
    </w:p>
    <w:p w14:paraId="0C1A26B8" w14:textId="77777777" w:rsidR="00C10C7F" w:rsidRDefault="00C10C7F" w:rsidP="00C10C7F">
      <w:pPr>
        <w:jc w:val="both"/>
        <w:rPr>
          <w:rFonts w:ascii="Arial" w:hAnsi="Arial" w:cs="Arial"/>
          <w:sz w:val="22"/>
        </w:rPr>
      </w:pPr>
      <w:r>
        <w:rPr>
          <w:rFonts w:ascii="Arial" w:hAnsi="Arial" w:cs="Arial"/>
          <w:sz w:val="22"/>
        </w:rPr>
        <w:t>Le partecipazioni che risultano da dismettere entro il 31.12.2019 sono:</w:t>
      </w:r>
    </w:p>
    <w:p w14:paraId="624C2387" w14:textId="77777777" w:rsidR="00C10C7F" w:rsidRDefault="00C10C7F" w:rsidP="00C10C7F">
      <w:pPr>
        <w:jc w:val="both"/>
        <w:rPr>
          <w:rFonts w:ascii="Arial" w:hAnsi="Arial" w:cs="Arial"/>
          <w:sz w:val="22"/>
        </w:rPr>
      </w:pPr>
    </w:p>
    <w:p w14:paraId="1DFBE536" w14:textId="77777777" w:rsidR="00C10C7F" w:rsidRDefault="00003942" w:rsidP="00C10C7F">
      <w:pPr>
        <w:jc w:val="both"/>
        <w:rPr>
          <w:rFonts w:ascii="Arial" w:hAnsi="Arial" w:cs="Arial"/>
          <w:sz w:val="22"/>
        </w:rPr>
      </w:pPr>
      <w:r>
        <w:object w:dxaOrig="9818" w:dyaOrig="1268" w14:anchorId="5C585081">
          <v:shape id="_x0000_i1057" type="#_x0000_t75" style="width:489.75pt;height:64.5pt" o:ole="">
            <v:imagedata r:id="rId83" o:title=""/>
          </v:shape>
          <o:OLEObject Type="Embed" ProgID="Excel.Sheet.12" ShapeID="_x0000_i1057" DrawAspect="Content" ObjectID="_1780988746" r:id="rId84"/>
        </w:object>
      </w:r>
    </w:p>
    <w:p w14:paraId="6395030F" w14:textId="77777777" w:rsidR="00C10C7F" w:rsidRDefault="00C10C7F" w:rsidP="00C10C7F">
      <w:pPr>
        <w:jc w:val="both"/>
        <w:rPr>
          <w:rFonts w:ascii="Arial" w:hAnsi="Arial" w:cs="Arial"/>
          <w:sz w:val="22"/>
        </w:rPr>
      </w:pPr>
      <w:r>
        <w:rPr>
          <w:rFonts w:ascii="Arial" w:hAnsi="Arial" w:cs="Arial"/>
          <w:sz w:val="22"/>
        </w:rPr>
        <w:t>[</w:t>
      </w:r>
      <w:r w:rsidRPr="00D3775C">
        <w:rPr>
          <w:rFonts w:ascii="Arial" w:hAnsi="Arial" w:cs="Arial"/>
          <w:i/>
          <w:sz w:val="22"/>
        </w:rPr>
        <w:t>OPPURE</w:t>
      </w:r>
      <w:r>
        <w:rPr>
          <w:rFonts w:ascii="Arial" w:hAnsi="Arial" w:cs="Arial"/>
          <w:sz w:val="22"/>
        </w:rPr>
        <w:t xml:space="preserve"> L’Ente ha provveduto, in data …………… (entro il 31.12.2018), con proprio provvedimento motivato, all’analisi dell’assetto complessivo delle società in cui detiene partecipazioni, dirette o indirette, non rilevando alcuna partecipazione da dover dismettere ai sensi del D.lgs. n. 175/2016].</w:t>
      </w:r>
    </w:p>
    <w:p w14:paraId="66A34A5C" w14:textId="77777777" w:rsidR="00C10C7F" w:rsidRDefault="00C10C7F" w:rsidP="00C10C7F">
      <w:pPr>
        <w:jc w:val="both"/>
        <w:rPr>
          <w:rFonts w:ascii="Arial" w:hAnsi="Arial" w:cs="Arial"/>
          <w:sz w:val="22"/>
        </w:rPr>
      </w:pPr>
    </w:p>
    <w:p w14:paraId="2168AB8D" w14:textId="77777777" w:rsidR="00C10C7F" w:rsidRPr="00D80990" w:rsidRDefault="00C10C7F" w:rsidP="00C10C7F">
      <w:pPr>
        <w:jc w:val="both"/>
        <w:rPr>
          <w:rFonts w:ascii="Arial" w:hAnsi="Arial" w:cs="Arial"/>
          <w:sz w:val="22"/>
        </w:rPr>
      </w:pPr>
      <w:r>
        <w:rPr>
          <w:rFonts w:ascii="Arial" w:hAnsi="Arial" w:cs="Arial"/>
          <w:sz w:val="22"/>
        </w:rPr>
        <w:t>L’esito di tale ricognizione [</w:t>
      </w:r>
      <w:r w:rsidRPr="00D3775C">
        <w:rPr>
          <w:rFonts w:ascii="Arial" w:hAnsi="Arial" w:cs="Arial"/>
          <w:i/>
          <w:sz w:val="22"/>
        </w:rPr>
        <w:t>anche se negativo</w:t>
      </w:r>
      <w:r>
        <w:rPr>
          <w:rFonts w:ascii="Arial" w:hAnsi="Arial" w:cs="Arial"/>
          <w:sz w:val="22"/>
        </w:rPr>
        <w:t xml:space="preserve">] </w:t>
      </w:r>
      <w:r w:rsidRPr="00D80990">
        <w:rPr>
          <w:rFonts w:ascii="Arial" w:hAnsi="Arial" w:cs="Arial"/>
          <w:sz w:val="22"/>
        </w:rPr>
        <w:t>è stato comunicato, con le modalità previste dall’art. 17 del D.L. 90/2014, convertito con modi</w:t>
      </w:r>
      <w:r>
        <w:rPr>
          <w:rFonts w:ascii="Arial" w:hAnsi="Arial" w:cs="Arial"/>
          <w:sz w:val="22"/>
        </w:rPr>
        <w:t xml:space="preserve">ficazioni dalla Legge 114/2014: </w:t>
      </w:r>
    </w:p>
    <w:p w14:paraId="478A0AED" w14:textId="77777777" w:rsidR="00C10C7F" w:rsidRPr="00D80990" w:rsidRDefault="00C10C7F" w:rsidP="00C10C7F">
      <w:pPr>
        <w:pStyle w:val="Paragrafoelenco"/>
        <w:widowControl w:val="0"/>
        <w:numPr>
          <w:ilvl w:val="0"/>
          <w:numId w:val="25"/>
        </w:numPr>
        <w:overflowPunct w:val="0"/>
        <w:autoSpaceDE w:val="0"/>
        <w:autoSpaceDN w:val="0"/>
        <w:adjustRightInd w:val="0"/>
        <w:spacing w:after="120"/>
        <w:jc w:val="both"/>
        <w:textAlignment w:val="baseline"/>
        <w:rPr>
          <w:rFonts w:ascii="Arial" w:hAnsi="Arial" w:cs="Arial"/>
          <w:sz w:val="22"/>
        </w:rPr>
      </w:pPr>
      <w:r w:rsidRPr="00D80990">
        <w:rPr>
          <w:rFonts w:ascii="Arial" w:hAnsi="Arial" w:cs="Arial"/>
          <w:sz w:val="22"/>
        </w:rPr>
        <w:t>alla Sezione Regionale di controllo della Corte dei Conti in data …………;</w:t>
      </w:r>
    </w:p>
    <w:p w14:paraId="15D2039C" w14:textId="77777777" w:rsidR="00C10C7F" w:rsidRPr="00D80990" w:rsidRDefault="00C10C7F" w:rsidP="00C10C7F">
      <w:pPr>
        <w:pStyle w:val="Paragrafoelenco"/>
        <w:widowControl w:val="0"/>
        <w:numPr>
          <w:ilvl w:val="0"/>
          <w:numId w:val="25"/>
        </w:numPr>
        <w:overflowPunct w:val="0"/>
        <w:autoSpaceDE w:val="0"/>
        <w:autoSpaceDN w:val="0"/>
        <w:adjustRightInd w:val="0"/>
        <w:spacing w:after="120"/>
        <w:jc w:val="both"/>
        <w:textAlignment w:val="baseline"/>
        <w:rPr>
          <w:rFonts w:ascii="Arial" w:hAnsi="Arial" w:cs="Arial"/>
          <w:sz w:val="22"/>
        </w:rPr>
      </w:pPr>
      <w:r w:rsidRPr="00D80990">
        <w:rPr>
          <w:rFonts w:ascii="Arial" w:hAnsi="Arial" w:cs="Arial"/>
          <w:sz w:val="22"/>
        </w:rPr>
        <w:t>alla struttura competente per l’indirizzo, il controllo e il monitoraggio previst</w:t>
      </w:r>
      <w:r>
        <w:rPr>
          <w:rFonts w:ascii="Arial" w:hAnsi="Arial" w:cs="Arial"/>
          <w:sz w:val="22"/>
        </w:rPr>
        <w:t>a</w:t>
      </w:r>
      <w:r w:rsidRPr="00D80990">
        <w:rPr>
          <w:rFonts w:ascii="Arial" w:hAnsi="Arial" w:cs="Arial"/>
          <w:sz w:val="22"/>
        </w:rPr>
        <w:t xml:space="preserve"> dall’art.15 del D.Lgs. </w:t>
      </w:r>
      <w:r w:rsidR="001C1946">
        <w:rPr>
          <w:rFonts w:ascii="Arial" w:hAnsi="Arial" w:cs="Arial"/>
          <w:sz w:val="22"/>
        </w:rPr>
        <w:t>n.</w:t>
      </w:r>
      <w:r w:rsidRPr="00D80990">
        <w:rPr>
          <w:rFonts w:ascii="Arial" w:hAnsi="Arial" w:cs="Arial"/>
          <w:sz w:val="22"/>
        </w:rPr>
        <w:t>175/2016 in data …………</w:t>
      </w:r>
    </w:p>
    <w:p w14:paraId="34E14586" w14:textId="77777777" w:rsidR="00C10C7F" w:rsidRPr="00D80990" w:rsidRDefault="00C10C7F" w:rsidP="00C10C7F">
      <w:pPr>
        <w:jc w:val="both"/>
        <w:rPr>
          <w:rFonts w:ascii="Arial" w:hAnsi="Arial" w:cs="Arial"/>
          <w:b/>
          <w:sz w:val="20"/>
          <w:szCs w:val="20"/>
        </w:rPr>
      </w:pPr>
    </w:p>
    <w:p w14:paraId="4134F4F4" w14:textId="77777777" w:rsidR="00C10C7F" w:rsidRPr="00D80990" w:rsidRDefault="00C10C7F" w:rsidP="00C10C7F">
      <w:pPr>
        <w:rPr>
          <w:rStyle w:val="provvrubrica"/>
          <w:rFonts w:ascii="Arial" w:hAnsi="Arial" w:cs="Arial"/>
          <w:b/>
          <w:i/>
          <w:iCs/>
          <w:color w:val="000000"/>
          <w:sz w:val="22"/>
          <w:szCs w:val="22"/>
        </w:rPr>
      </w:pPr>
      <w:r w:rsidRPr="00D80990">
        <w:rPr>
          <w:rStyle w:val="provvrubrica"/>
          <w:rFonts w:ascii="Arial" w:hAnsi="Arial" w:cs="Arial"/>
          <w:b/>
          <w:i/>
          <w:iCs/>
          <w:color w:val="000000"/>
          <w:sz w:val="22"/>
          <w:szCs w:val="22"/>
        </w:rPr>
        <w:t>Garanzie rilasciate</w:t>
      </w:r>
    </w:p>
    <w:p w14:paraId="27A6153A" w14:textId="77777777" w:rsidR="00C10C7F" w:rsidRPr="00D80990" w:rsidRDefault="00C10C7F" w:rsidP="00C10C7F">
      <w:pPr>
        <w:rPr>
          <w:rStyle w:val="provvrubrica"/>
          <w:rFonts w:ascii="Arial" w:hAnsi="Arial" w:cs="Arial"/>
          <w:i/>
          <w:iCs/>
          <w:color w:val="000000"/>
          <w:sz w:val="22"/>
          <w:szCs w:val="22"/>
        </w:rPr>
      </w:pPr>
    </w:p>
    <w:p w14:paraId="29890AB8" w14:textId="77777777" w:rsidR="00C10C7F" w:rsidRDefault="00C10C7F" w:rsidP="00C10C7F">
      <w:pPr>
        <w:rPr>
          <w:rFonts w:ascii="Arial" w:hAnsi="Arial" w:cs="Arial"/>
          <w:sz w:val="22"/>
        </w:rPr>
      </w:pPr>
      <w:r w:rsidRPr="00D80990">
        <w:rPr>
          <w:rFonts w:ascii="Arial" w:hAnsi="Arial" w:cs="Arial"/>
          <w:sz w:val="22"/>
        </w:rPr>
        <w:t>Le garanzie rilasciate a favore degli organismi partecipati dall’Ente sono così dettagliate:</w:t>
      </w:r>
    </w:p>
    <w:p w14:paraId="096CF49D" w14:textId="77777777" w:rsidR="00C10C7F" w:rsidRPr="00D80990" w:rsidRDefault="00C10C7F" w:rsidP="00C10C7F">
      <w:pPr>
        <w:rPr>
          <w:rFonts w:ascii="Arial" w:hAnsi="Arial" w:cs="Arial"/>
          <w:sz w:val="20"/>
        </w:rPr>
      </w:pPr>
    </w:p>
    <w:p w14:paraId="33F0CE41" w14:textId="77777777" w:rsidR="00C10C7F" w:rsidRDefault="00003942" w:rsidP="000F33EF">
      <w:pPr>
        <w:jc w:val="center"/>
        <w:rPr>
          <w:rFonts w:ascii="Arial" w:hAnsi="Arial" w:cs="Arial"/>
          <w:sz w:val="20"/>
        </w:rPr>
      </w:pPr>
      <w:r>
        <w:object w:dxaOrig="8176" w:dyaOrig="1517" w14:anchorId="431549F1">
          <v:shape id="_x0000_i1058" type="#_x0000_t75" style="width:410.25pt;height:79.5pt" o:ole="">
            <v:imagedata r:id="rId85" o:title=""/>
          </v:shape>
          <o:OLEObject Type="Embed" ProgID="Excel.Sheet.12" ShapeID="_x0000_i1058" DrawAspect="Content" ObjectID="_1780988747" r:id="rId86"/>
        </w:object>
      </w:r>
    </w:p>
    <w:p w14:paraId="38255554" w14:textId="77777777" w:rsidR="00C10C7F" w:rsidRDefault="00C10C7F" w:rsidP="00C10C7F">
      <w:pPr>
        <w:rPr>
          <w:rFonts w:ascii="Arial" w:hAnsi="Arial" w:cs="Arial"/>
          <w:sz w:val="20"/>
        </w:rPr>
      </w:pPr>
    </w:p>
    <w:p w14:paraId="0B473675" w14:textId="77777777" w:rsidR="00C10C7F" w:rsidRPr="00160F09" w:rsidRDefault="00C10C7F" w:rsidP="00C10C7F">
      <w:pPr>
        <w:jc w:val="both"/>
        <w:rPr>
          <w:rFonts w:ascii="Arial" w:hAnsi="Arial" w:cs="Arial"/>
          <w:sz w:val="22"/>
          <w:szCs w:val="22"/>
        </w:rPr>
      </w:pPr>
      <w:r w:rsidRPr="00160F09">
        <w:rPr>
          <w:rStyle w:val="provvrubrica"/>
          <w:rFonts w:ascii="Arial" w:hAnsi="Arial" w:cs="Arial"/>
          <w:b/>
          <w:i/>
          <w:iCs/>
          <w:color w:val="000000"/>
          <w:sz w:val="22"/>
          <w:szCs w:val="22"/>
        </w:rPr>
        <w:t xml:space="preserve">Spese di funzionamento e gestione del personale </w:t>
      </w:r>
      <w:r w:rsidRPr="00160F09">
        <w:rPr>
          <w:rStyle w:val="provvrubrica"/>
          <w:rFonts w:ascii="Arial" w:hAnsi="Arial" w:cs="Arial"/>
          <w:i/>
          <w:iCs/>
          <w:color w:val="000000"/>
          <w:sz w:val="22"/>
          <w:szCs w:val="22"/>
        </w:rPr>
        <w:t>(art. 19 D.Lgs. 175/2016)</w:t>
      </w:r>
    </w:p>
    <w:p w14:paraId="4600F029" w14:textId="77777777" w:rsidR="00C10C7F" w:rsidRPr="00160F09" w:rsidRDefault="00C10C7F" w:rsidP="00C10C7F">
      <w:pPr>
        <w:jc w:val="both"/>
        <w:rPr>
          <w:rFonts w:ascii="Arial" w:hAnsi="Arial" w:cs="Arial"/>
          <w:sz w:val="22"/>
          <w:szCs w:val="22"/>
        </w:rPr>
      </w:pPr>
    </w:p>
    <w:p w14:paraId="2D0A1D94" w14:textId="77777777" w:rsidR="00C10C7F" w:rsidRPr="00160F09" w:rsidRDefault="00C10C7F" w:rsidP="00C10C7F">
      <w:pPr>
        <w:jc w:val="both"/>
        <w:rPr>
          <w:rFonts w:ascii="Arial" w:hAnsi="Arial" w:cs="Arial"/>
          <w:sz w:val="22"/>
          <w:szCs w:val="22"/>
        </w:rPr>
      </w:pPr>
      <w:r w:rsidRPr="00160F09">
        <w:rPr>
          <w:rFonts w:ascii="Arial" w:hAnsi="Arial" w:cs="Arial"/>
          <w:sz w:val="22"/>
          <w:szCs w:val="22"/>
        </w:rPr>
        <w:t>Il Comune ha fissato, con proprio provvedimento motivato, obiettivi specifici sul complesso delle spese di funzionamento, comprese quelle per il personale, delle proprie società controllate; a tal riguardo, il Collegio rileva ……………………………………………………….</w:t>
      </w:r>
    </w:p>
    <w:p w14:paraId="781D7195" w14:textId="77777777" w:rsidR="00C10C7F" w:rsidRPr="00160F09" w:rsidRDefault="00C10C7F" w:rsidP="00C10C7F">
      <w:pPr>
        <w:jc w:val="both"/>
        <w:rPr>
          <w:rFonts w:ascii="Arial" w:hAnsi="Arial" w:cs="Arial"/>
          <w:sz w:val="22"/>
          <w:szCs w:val="22"/>
        </w:rPr>
      </w:pPr>
      <w:r w:rsidRPr="00160F09">
        <w:rPr>
          <w:rFonts w:ascii="Arial" w:hAnsi="Arial" w:cs="Arial"/>
          <w:sz w:val="22"/>
          <w:szCs w:val="22"/>
        </w:rPr>
        <w:t>[</w:t>
      </w:r>
      <w:r w:rsidRPr="00160F09">
        <w:rPr>
          <w:rFonts w:ascii="Arial" w:hAnsi="Arial" w:cs="Arial"/>
          <w:i/>
          <w:sz w:val="22"/>
          <w:szCs w:val="22"/>
        </w:rPr>
        <w:t>OPPURE</w:t>
      </w:r>
      <w:r w:rsidRPr="00160F09">
        <w:rPr>
          <w:rFonts w:ascii="Arial" w:hAnsi="Arial" w:cs="Arial"/>
          <w:sz w:val="22"/>
          <w:szCs w:val="22"/>
        </w:rPr>
        <w:t xml:space="preserve"> a tal riguardo, il Collegio non ha alcuna osservazione da fare].</w:t>
      </w:r>
    </w:p>
    <w:p w14:paraId="1C9B5186" w14:textId="77777777" w:rsidR="00C10C7F" w:rsidRDefault="00C10C7F" w:rsidP="00C10C7F">
      <w:pPr>
        <w:rPr>
          <w:rFonts w:ascii="Arial" w:hAnsi="Arial" w:cs="Arial"/>
        </w:rPr>
      </w:pPr>
    </w:p>
    <w:p w14:paraId="0D9346D8" w14:textId="77777777" w:rsidR="00F624C3" w:rsidRDefault="00F624C3">
      <w:pPr>
        <w:rPr>
          <w:rFonts w:ascii="Arial" w:hAnsi="Arial" w:cs="Arial"/>
        </w:rPr>
      </w:pPr>
    </w:p>
    <w:p w14:paraId="661172AE" w14:textId="77777777" w:rsidR="00F624C3" w:rsidRDefault="00F624C3">
      <w:pPr>
        <w:rPr>
          <w:rFonts w:ascii="Arial" w:hAnsi="Arial" w:cs="Arial"/>
        </w:rPr>
      </w:pPr>
    </w:p>
    <w:p w14:paraId="46696F7A" w14:textId="77777777" w:rsidR="00343EEE" w:rsidRDefault="00343EEE">
      <w:pPr>
        <w:rPr>
          <w:rFonts w:ascii="Arial" w:hAnsi="Arial" w:cs="Arial"/>
        </w:rPr>
      </w:pPr>
    </w:p>
    <w:p w14:paraId="55E6753C" w14:textId="77777777" w:rsidR="00343EEE" w:rsidRDefault="00343EEE">
      <w:pPr>
        <w:rPr>
          <w:rFonts w:ascii="Arial" w:hAnsi="Arial" w:cs="Arial"/>
        </w:rPr>
      </w:pPr>
    </w:p>
    <w:p w14:paraId="052C5771" w14:textId="77777777" w:rsidR="00343EEE" w:rsidRDefault="00343EEE">
      <w:pPr>
        <w:rPr>
          <w:rFonts w:ascii="Arial" w:hAnsi="Arial" w:cs="Arial"/>
        </w:rPr>
      </w:pPr>
    </w:p>
    <w:p w14:paraId="112338F6" w14:textId="77777777" w:rsidR="00343EEE" w:rsidRDefault="00343EEE">
      <w:pPr>
        <w:rPr>
          <w:rFonts w:ascii="Arial" w:hAnsi="Arial" w:cs="Arial"/>
        </w:rPr>
      </w:pPr>
    </w:p>
    <w:p w14:paraId="0F4CDD9B" w14:textId="77777777" w:rsidR="00343EEE" w:rsidRDefault="00343EEE">
      <w:pPr>
        <w:rPr>
          <w:rFonts w:ascii="Arial" w:hAnsi="Arial" w:cs="Arial"/>
        </w:rPr>
      </w:pPr>
    </w:p>
    <w:p w14:paraId="12DE4B8B" w14:textId="77777777" w:rsidR="00343EEE" w:rsidRDefault="00343EEE">
      <w:pPr>
        <w:rPr>
          <w:rFonts w:ascii="Arial" w:hAnsi="Arial" w:cs="Arial"/>
        </w:rPr>
      </w:pPr>
    </w:p>
    <w:p w14:paraId="7504CADD" w14:textId="77777777" w:rsidR="00343EEE" w:rsidRDefault="00343EEE">
      <w:pPr>
        <w:rPr>
          <w:rFonts w:ascii="Arial" w:hAnsi="Arial" w:cs="Arial"/>
        </w:rPr>
      </w:pPr>
    </w:p>
    <w:p w14:paraId="53E78967" w14:textId="77777777" w:rsidR="00343EEE" w:rsidRDefault="00343EEE">
      <w:pPr>
        <w:rPr>
          <w:rFonts w:ascii="Arial" w:hAnsi="Arial" w:cs="Arial"/>
        </w:rPr>
      </w:pPr>
    </w:p>
    <w:p w14:paraId="748F1DD7" w14:textId="77777777" w:rsidR="00343EEE" w:rsidRDefault="00343EEE">
      <w:pPr>
        <w:rPr>
          <w:rFonts w:ascii="Arial" w:hAnsi="Arial" w:cs="Arial"/>
        </w:rPr>
      </w:pPr>
    </w:p>
    <w:p w14:paraId="3178B0C0" w14:textId="77777777" w:rsidR="000F33EF" w:rsidRDefault="000F33EF">
      <w:pPr>
        <w:rPr>
          <w:rFonts w:ascii="Arial" w:hAnsi="Arial" w:cs="Arial"/>
        </w:rPr>
        <w:sectPr w:rsidR="000F33EF" w:rsidSect="00087EC6">
          <w:headerReference w:type="even" r:id="rId87"/>
          <w:headerReference w:type="default" r:id="rId88"/>
          <w:footerReference w:type="even" r:id="rId89"/>
          <w:footerReference w:type="default" r:id="rId90"/>
          <w:headerReference w:type="first" r:id="rId91"/>
          <w:footerReference w:type="first" r:id="rId92"/>
          <w:pgSz w:w="11906" w:h="16838" w:code="9"/>
          <w:pgMar w:top="1417" w:right="1134" w:bottom="1134" w:left="1134" w:header="709" w:footer="709" w:gutter="0"/>
          <w:cols w:space="708"/>
          <w:titlePg/>
          <w:rtlGutter/>
          <w:docGrid w:linePitch="360"/>
        </w:sectPr>
      </w:pPr>
    </w:p>
    <w:p w14:paraId="7E218219" w14:textId="77777777" w:rsidR="009F6E3E" w:rsidRPr="00D80990" w:rsidRDefault="007F766F">
      <w:pPr>
        <w:pStyle w:val="Titolo1"/>
        <w:shd w:val="clear" w:color="auto" w:fill="B6DDE8" w:themeFill="accent5" w:themeFillTint="66"/>
      </w:pPr>
      <w:bookmarkStart w:id="75" w:name="_SPESE_IN_CONTO"/>
      <w:bookmarkStart w:id="76" w:name="_Toc346838834"/>
      <w:bookmarkStart w:id="77" w:name="_Toc535487627"/>
      <w:bookmarkEnd w:id="66"/>
      <w:bookmarkEnd w:id="75"/>
      <w:r w:rsidRPr="00D80990">
        <w:lastRenderedPageBreak/>
        <w:t>SPESE IN CONTO CAPITALE</w:t>
      </w:r>
      <w:bookmarkEnd w:id="76"/>
      <w:bookmarkEnd w:id="77"/>
    </w:p>
    <w:p w14:paraId="6688FCCE" w14:textId="77777777" w:rsidR="00276B33" w:rsidRDefault="00276B33" w:rsidP="00276B33">
      <w:pPr>
        <w:rPr>
          <w:rFonts w:ascii="Arial" w:hAnsi="Arial" w:cs="Arial"/>
          <w:b/>
          <w:sz w:val="22"/>
          <w:szCs w:val="22"/>
          <w:u w:val="single"/>
        </w:rPr>
      </w:pPr>
      <w:r w:rsidRPr="00D80990">
        <w:rPr>
          <w:rFonts w:ascii="Arial" w:hAnsi="Arial" w:cs="Arial"/>
          <w:b/>
          <w:sz w:val="22"/>
          <w:szCs w:val="22"/>
          <w:u w:val="single"/>
        </w:rPr>
        <w:t>Finanziamento spese in conto capitale</w:t>
      </w:r>
    </w:p>
    <w:p w14:paraId="30575144" w14:textId="77777777" w:rsidR="008B1A79" w:rsidRPr="00D80990" w:rsidRDefault="008B1A79" w:rsidP="00276B33">
      <w:pPr>
        <w:rPr>
          <w:rFonts w:ascii="Arial" w:hAnsi="Arial" w:cs="Arial"/>
          <w:b/>
          <w:sz w:val="22"/>
          <w:szCs w:val="22"/>
          <w:u w:val="single"/>
        </w:rPr>
      </w:pPr>
    </w:p>
    <w:p w14:paraId="20D55CCC" w14:textId="77777777" w:rsidR="00276B33" w:rsidRDefault="00276B33" w:rsidP="00276B33">
      <w:pPr>
        <w:jc w:val="both"/>
        <w:rPr>
          <w:rFonts w:ascii="Arial" w:hAnsi="Arial" w:cs="Arial"/>
          <w:sz w:val="22"/>
          <w:szCs w:val="22"/>
        </w:rPr>
      </w:pPr>
      <w:r w:rsidRPr="00D80990">
        <w:rPr>
          <w:rFonts w:ascii="Arial" w:hAnsi="Arial" w:cs="Arial"/>
          <w:sz w:val="22"/>
          <w:szCs w:val="22"/>
        </w:rPr>
        <w:t>Le spese in conto c</w:t>
      </w:r>
      <w:r>
        <w:rPr>
          <w:rFonts w:ascii="Arial" w:hAnsi="Arial" w:cs="Arial"/>
          <w:sz w:val="22"/>
          <w:szCs w:val="22"/>
        </w:rPr>
        <w:t xml:space="preserve">apitale previste negli anni 2019, 2020 e 2021 </w:t>
      </w:r>
      <w:r w:rsidRPr="00D80990">
        <w:rPr>
          <w:rFonts w:ascii="Arial" w:hAnsi="Arial" w:cs="Arial"/>
          <w:sz w:val="22"/>
          <w:szCs w:val="22"/>
        </w:rPr>
        <w:t>sono finanziate come segue:</w:t>
      </w:r>
    </w:p>
    <w:p w14:paraId="3455AF57" w14:textId="77777777" w:rsidR="00806EFE" w:rsidRDefault="00806EFE" w:rsidP="00276B33">
      <w:pPr>
        <w:jc w:val="both"/>
        <w:rPr>
          <w:rFonts w:ascii="Arial" w:hAnsi="Arial" w:cs="Arial"/>
          <w:sz w:val="22"/>
          <w:szCs w:val="22"/>
        </w:rPr>
      </w:pPr>
    </w:p>
    <w:p w14:paraId="56345D0B" w14:textId="77777777" w:rsidR="00147E4E" w:rsidRDefault="00147E4E" w:rsidP="00276B33">
      <w:pPr>
        <w:jc w:val="both"/>
        <w:rPr>
          <w:rFonts w:ascii="Arial" w:hAnsi="Arial" w:cs="Arial"/>
          <w:sz w:val="22"/>
          <w:szCs w:val="22"/>
        </w:rPr>
      </w:pPr>
    </w:p>
    <w:p w14:paraId="31E250EE" w14:textId="77777777" w:rsidR="0096055D" w:rsidRDefault="005153F8" w:rsidP="00276B33">
      <w:pPr>
        <w:jc w:val="both"/>
        <w:rPr>
          <w:rFonts w:ascii="Arial" w:hAnsi="Arial" w:cs="Arial"/>
          <w:sz w:val="22"/>
          <w:szCs w:val="22"/>
        </w:rPr>
      </w:pPr>
      <w:r w:rsidRPr="00032EA7">
        <w:rPr>
          <w:rFonts w:ascii="Arial" w:hAnsi="Arial" w:cs="Arial"/>
          <w:sz w:val="22"/>
          <w:szCs w:val="22"/>
        </w:rPr>
        <w:object w:dxaOrig="15166" w:dyaOrig="1993" w14:anchorId="22C27DAA">
          <v:shape id="_x0000_i1059" type="#_x0000_t75" style="width:489.75pt;height:64.5pt" o:ole="">
            <v:imagedata r:id="rId93" o:title=""/>
          </v:shape>
          <o:OLEObject Type="Embed" ProgID="Excel.Sheet.12" ShapeID="_x0000_i1059" DrawAspect="Content" ObjectID="_1780988748" r:id="rId94"/>
        </w:object>
      </w:r>
    </w:p>
    <w:p w14:paraId="52477D72" w14:textId="77777777" w:rsidR="0096055D" w:rsidRDefault="00792A6A" w:rsidP="00276B33">
      <w:pPr>
        <w:jc w:val="both"/>
        <w:rPr>
          <w:rFonts w:ascii="Arial" w:hAnsi="Arial" w:cs="Arial"/>
          <w:sz w:val="22"/>
          <w:szCs w:val="22"/>
        </w:rPr>
      </w:pPr>
      <w:r w:rsidRPr="006B2B37">
        <w:rPr>
          <w:rFonts w:ascii="Arial" w:hAnsi="Arial" w:cs="Arial"/>
          <w:sz w:val="22"/>
          <w:szCs w:val="22"/>
        </w:rPr>
        <w:object w:dxaOrig="15121" w:dyaOrig="9645" w14:anchorId="1A5BB7CE">
          <v:shape id="_x0000_i1060" type="#_x0000_t75" style="width:489.75pt;height:309.75pt" o:ole="">
            <v:imagedata r:id="rId95" o:title=""/>
          </v:shape>
          <o:OLEObject Type="Embed" ProgID="Excel.Sheet.12" ShapeID="_x0000_i1060" DrawAspect="Content" ObjectID="_1780988749" r:id="rId96"/>
        </w:object>
      </w:r>
    </w:p>
    <w:p w14:paraId="1BA46717" w14:textId="77777777" w:rsidR="00276B33" w:rsidRPr="00D80990" w:rsidRDefault="00276B33" w:rsidP="00276B33">
      <w:pPr>
        <w:jc w:val="both"/>
        <w:rPr>
          <w:rFonts w:ascii="Arial" w:hAnsi="Arial" w:cs="Arial"/>
          <w:sz w:val="22"/>
          <w:szCs w:val="22"/>
        </w:rPr>
      </w:pPr>
    </w:p>
    <w:p w14:paraId="0D13ADAF" w14:textId="77777777" w:rsidR="00276B33" w:rsidRPr="00D80990" w:rsidRDefault="00276B33" w:rsidP="00276B33">
      <w:pPr>
        <w:rPr>
          <w:rFonts w:ascii="Arial" w:hAnsi="Arial" w:cs="Arial"/>
          <w:b/>
          <w:sz w:val="22"/>
          <w:szCs w:val="22"/>
          <w:u w:val="single"/>
        </w:rPr>
      </w:pPr>
    </w:p>
    <w:p w14:paraId="46FABB43" w14:textId="77777777" w:rsidR="00276B33" w:rsidRPr="00D80990" w:rsidRDefault="00276B33" w:rsidP="00276B33">
      <w:pPr>
        <w:rPr>
          <w:rFonts w:ascii="Arial" w:hAnsi="Arial" w:cs="Arial"/>
          <w:b/>
          <w:sz w:val="22"/>
          <w:szCs w:val="22"/>
          <w:u w:val="single"/>
        </w:rPr>
      </w:pPr>
    </w:p>
    <w:p w14:paraId="1BEEC505" w14:textId="77777777" w:rsidR="0096055D" w:rsidRDefault="0096055D">
      <w:pPr>
        <w:rPr>
          <w:rFonts w:ascii="Arial" w:hAnsi="Arial" w:cs="Arial"/>
          <w:b/>
          <w:sz w:val="22"/>
          <w:szCs w:val="22"/>
          <w:u w:val="single"/>
        </w:rPr>
      </w:pPr>
      <w:r>
        <w:rPr>
          <w:rFonts w:ascii="Arial" w:hAnsi="Arial" w:cs="Arial"/>
          <w:b/>
          <w:sz w:val="22"/>
          <w:szCs w:val="22"/>
          <w:u w:val="single"/>
        </w:rPr>
        <w:br w:type="page"/>
      </w:r>
    </w:p>
    <w:p w14:paraId="320915D4" w14:textId="77777777" w:rsidR="00276B33" w:rsidRPr="00D80990" w:rsidRDefault="00276B33" w:rsidP="00276B33">
      <w:pPr>
        <w:rPr>
          <w:rFonts w:ascii="Arial" w:hAnsi="Arial" w:cs="Arial"/>
          <w:b/>
          <w:sz w:val="22"/>
          <w:szCs w:val="22"/>
          <w:u w:val="single"/>
        </w:rPr>
      </w:pPr>
      <w:r w:rsidRPr="00D80990">
        <w:rPr>
          <w:rFonts w:ascii="Arial" w:hAnsi="Arial" w:cs="Arial"/>
          <w:b/>
          <w:sz w:val="22"/>
          <w:szCs w:val="22"/>
          <w:u w:val="single"/>
        </w:rPr>
        <w:lastRenderedPageBreak/>
        <w:t>Investimenti senza esborsi finanziari</w:t>
      </w:r>
    </w:p>
    <w:p w14:paraId="219724A8" w14:textId="77777777" w:rsidR="00276B33" w:rsidRPr="00D80990" w:rsidRDefault="00276B33" w:rsidP="00276B33">
      <w:pPr>
        <w:rPr>
          <w:rFonts w:ascii="Arial" w:hAnsi="Arial" w:cs="Arial"/>
          <w:b/>
          <w:sz w:val="22"/>
          <w:szCs w:val="22"/>
          <w:u w:val="single"/>
        </w:rPr>
      </w:pPr>
    </w:p>
    <w:p w14:paraId="3E66152D" w14:textId="77777777" w:rsidR="00276B33" w:rsidRPr="00D80990" w:rsidRDefault="00276B33" w:rsidP="00276B33">
      <w:pPr>
        <w:jc w:val="both"/>
        <w:rPr>
          <w:rFonts w:ascii="Arial" w:hAnsi="Arial" w:cs="Arial"/>
          <w:sz w:val="22"/>
          <w:szCs w:val="22"/>
        </w:rPr>
      </w:pPr>
      <w:r w:rsidRPr="00D80990">
        <w:rPr>
          <w:rFonts w:ascii="Arial" w:hAnsi="Arial" w:cs="Arial"/>
          <w:sz w:val="22"/>
          <w:szCs w:val="22"/>
        </w:rPr>
        <w:t>Sono programmati per gli anni 201</w:t>
      </w:r>
      <w:r>
        <w:rPr>
          <w:rFonts w:ascii="Arial" w:hAnsi="Arial" w:cs="Arial"/>
          <w:sz w:val="22"/>
          <w:szCs w:val="22"/>
        </w:rPr>
        <w:t>9-2021</w:t>
      </w:r>
      <w:r w:rsidRPr="00D80990">
        <w:rPr>
          <w:rFonts w:ascii="Arial" w:hAnsi="Arial" w:cs="Arial"/>
          <w:sz w:val="22"/>
          <w:szCs w:val="22"/>
        </w:rPr>
        <w:t xml:space="preserve"> altri investimenti senza esborso finanziario (transazioni non monetarie) rilevati in bilancio nell’entrata e nella spesa come segue:</w:t>
      </w:r>
    </w:p>
    <w:p w14:paraId="6D473883" w14:textId="77777777" w:rsidR="00276B33" w:rsidRDefault="00276B33" w:rsidP="00276B33">
      <w:pPr>
        <w:jc w:val="both"/>
        <w:rPr>
          <w:rFonts w:ascii="Arial" w:hAnsi="Arial" w:cs="Arial"/>
          <w:sz w:val="22"/>
          <w:szCs w:val="22"/>
        </w:rPr>
      </w:pPr>
    </w:p>
    <w:bookmarkStart w:id="78" w:name="_MON_1609228031"/>
    <w:bookmarkEnd w:id="78"/>
    <w:p w14:paraId="604FD946" w14:textId="77777777" w:rsidR="00C52543" w:rsidRPr="00D80990" w:rsidRDefault="00792A6A" w:rsidP="00F4160F">
      <w:pPr>
        <w:jc w:val="center"/>
        <w:rPr>
          <w:rFonts w:ascii="Arial" w:hAnsi="Arial" w:cs="Arial"/>
          <w:sz w:val="22"/>
          <w:szCs w:val="22"/>
        </w:rPr>
      </w:pPr>
      <w:r w:rsidRPr="006B2B37">
        <w:rPr>
          <w:rFonts w:cs="Arial"/>
          <w:sz w:val="22"/>
          <w:szCs w:val="22"/>
        </w:rPr>
        <w:object w:dxaOrig="11032" w:dyaOrig="1934" w14:anchorId="4BA71388">
          <v:shape id="_x0000_i1061" type="#_x0000_t75" style="width:489.75pt;height:86.25pt" o:ole="">
            <v:imagedata r:id="rId97" o:title=""/>
          </v:shape>
          <o:OLEObject Type="Embed" ProgID="Excel.Sheet.12" ShapeID="_x0000_i1061" DrawAspect="Content" ObjectID="_1780988750" r:id="rId98"/>
        </w:object>
      </w:r>
    </w:p>
    <w:p w14:paraId="724F2A9E" w14:textId="77777777" w:rsidR="00276B33" w:rsidRPr="00D80990" w:rsidRDefault="00276B33" w:rsidP="00276B33">
      <w:pPr>
        <w:jc w:val="both"/>
        <w:rPr>
          <w:rFonts w:ascii="Arial" w:hAnsi="Arial" w:cs="Arial"/>
          <w:sz w:val="22"/>
          <w:szCs w:val="22"/>
        </w:rPr>
      </w:pPr>
    </w:p>
    <w:p w14:paraId="6222E795" w14:textId="77777777" w:rsidR="00276B33" w:rsidRDefault="00276B33" w:rsidP="00276B33">
      <w:pPr>
        <w:numPr>
          <w:ilvl w:val="12"/>
          <w:numId w:val="0"/>
        </w:numPr>
        <w:rPr>
          <w:rFonts w:ascii="Arial" w:hAnsi="Arial" w:cs="Arial"/>
          <w:sz w:val="22"/>
          <w:szCs w:val="22"/>
        </w:rPr>
      </w:pPr>
      <w:r w:rsidRPr="00D80990">
        <w:rPr>
          <w:rFonts w:ascii="Arial" w:hAnsi="Arial" w:cs="Arial"/>
          <w:sz w:val="22"/>
          <w:szCs w:val="22"/>
        </w:rPr>
        <w:t>L’ente intende acquisire i seguenti beni con contratto di locazione finanziaria:</w:t>
      </w:r>
    </w:p>
    <w:p w14:paraId="701B2674" w14:textId="77777777" w:rsidR="00F4160F" w:rsidRDefault="00F4160F" w:rsidP="00276B33">
      <w:pPr>
        <w:numPr>
          <w:ilvl w:val="12"/>
          <w:numId w:val="0"/>
        </w:numPr>
        <w:rPr>
          <w:rFonts w:ascii="Arial" w:hAnsi="Arial" w:cs="Arial"/>
          <w:sz w:val="22"/>
          <w:szCs w:val="22"/>
        </w:rPr>
      </w:pPr>
    </w:p>
    <w:p w14:paraId="5C9F1C7C" w14:textId="77777777" w:rsidR="00F4160F" w:rsidRPr="00D80990" w:rsidRDefault="00003942" w:rsidP="00F4160F">
      <w:pPr>
        <w:numPr>
          <w:ilvl w:val="12"/>
          <w:numId w:val="0"/>
        </w:numPr>
        <w:jc w:val="center"/>
        <w:rPr>
          <w:rFonts w:ascii="Arial" w:hAnsi="Arial" w:cs="Arial"/>
          <w:sz w:val="22"/>
          <w:szCs w:val="22"/>
        </w:rPr>
      </w:pPr>
      <w:r w:rsidRPr="006B2B37">
        <w:rPr>
          <w:rFonts w:cs="Arial"/>
          <w:sz w:val="22"/>
          <w:szCs w:val="22"/>
        </w:rPr>
        <w:object w:dxaOrig="8646" w:dyaOrig="1517" w14:anchorId="63A51D00">
          <v:shape id="_x0000_i1062" type="#_x0000_t75" style="width:6in;height:79.5pt" o:ole="">
            <v:imagedata r:id="rId99" o:title=""/>
          </v:shape>
          <o:OLEObject Type="Embed" ProgID="Excel.Sheet.12" ShapeID="_x0000_i1062" DrawAspect="Content" ObjectID="_1780988751" r:id="rId100"/>
        </w:object>
      </w:r>
    </w:p>
    <w:p w14:paraId="5F14B40F" w14:textId="77777777" w:rsidR="00276B33" w:rsidRDefault="00276B33" w:rsidP="008E4E51">
      <w:pPr>
        <w:numPr>
          <w:ilvl w:val="12"/>
          <w:numId w:val="0"/>
        </w:numPr>
        <w:jc w:val="center"/>
        <w:rPr>
          <w:rFonts w:ascii="Arial" w:hAnsi="Arial" w:cs="Arial"/>
          <w:sz w:val="22"/>
          <w:szCs w:val="22"/>
        </w:rPr>
      </w:pPr>
    </w:p>
    <w:p w14:paraId="384C9CAF" w14:textId="77777777" w:rsidR="00276B33" w:rsidRPr="00D80990" w:rsidRDefault="00276B33" w:rsidP="00276B33">
      <w:pPr>
        <w:jc w:val="both"/>
        <w:rPr>
          <w:rFonts w:ascii="Arial" w:hAnsi="Arial" w:cs="Arial"/>
          <w:sz w:val="22"/>
          <w:szCs w:val="22"/>
        </w:rPr>
      </w:pPr>
      <w:r w:rsidRPr="00D80990">
        <w:rPr>
          <w:rFonts w:ascii="Arial" w:hAnsi="Arial" w:cs="Arial"/>
          <w:sz w:val="22"/>
          <w:szCs w:val="22"/>
        </w:rPr>
        <w:t xml:space="preserve">L’organo di revisione ha rilevato che l’ente ha posto in essere dal …………… contratti di leasing finanziario e/o contratti assimilati e che tali operazioni sono considerate ai fini del calcolo dell’indebitamento dell’Ente.  </w:t>
      </w:r>
    </w:p>
    <w:p w14:paraId="6E23BB5D" w14:textId="77777777" w:rsidR="00276B33" w:rsidRPr="00D80990" w:rsidRDefault="00276B33" w:rsidP="00276B33">
      <w:pPr>
        <w:numPr>
          <w:ilvl w:val="12"/>
          <w:numId w:val="0"/>
        </w:numPr>
        <w:jc w:val="both"/>
        <w:rPr>
          <w:rFonts w:ascii="Arial" w:hAnsi="Arial" w:cs="Arial"/>
          <w:sz w:val="22"/>
          <w:szCs w:val="22"/>
        </w:rPr>
      </w:pPr>
    </w:p>
    <w:p w14:paraId="6BD7DE29" w14:textId="77777777" w:rsidR="00276B33" w:rsidRPr="00D80990" w:rsidRDefault="00276B33" w:rsidP="00276B33">
      <w:pPr>
        <w:rPr>
          <w:rFonts w:ascii="Arial" w:hAnsi="Arial" w:cs="Arial"/>
          <w:b/>
          <w:sz w:val="22"/>
          <w:szCs w:val="22"/>
          <w:u w:val="single"/>
        </w:rPr>
      </w:pPr>
      <w:r w:rsidRPr="00D80990">
        <w:rPr>
          <w:rFonts w:ascii="Arial" w:hAnsi="Arial" w:cs="Arial"/>
          <w:b/>
          <w:sz w:val="22"/>
          <w:szCs w:val="22"/>
          <w:u w:val="single"/>
        </w:rPr>
        <w:t>Limitazione acquisto immobili</w:t>
      </w:r>
      <w:r w:rsidR="000D5C03">
        <w:rPr>
          <w:rFonts w:ascii="Arial" w:hAnsi="Arial" w:cs="Arial"/>
          <w:b/>
          <w:sz w:val="22"/>
          <w:szCs w:val="22"/>
          <w:u w:val="single"/>
        </w:rPr>
        <w:t xml:space="preserve"> *</w:t>
      </w:r>
    </w:p>
    <w:p w14:paraId="5372C301" w14:textId="77777777" w:rsidR="00276B33" w:rsidRPr="00D80990" w:rsidRDefault="00276B33" w:rsidP="00276B33">
      <w:pPr>
        <w:jc w:val="both"/>
        <w:rPr>
          <w:rStyle w:val="Enfasigrassetto"/>
          <w:rFonts w:ascii="Arial" w:hAnsi="Arial" w:cs="Arial"/>
          <w:bCs/>
          <w:sz w:val="22"/>
          <w:szCs w:val="22"/>
        </w:rPr>
      </w:pPr>
    </w:p>
    <w:p w14:paraId="74AFDDCB" w14:textId="77777777" w:rsidR="00276B33" w:rsidRPr="00D80990" w:rsidRDefault="00276B33" w:rsidP="00276B33">
      <w:pPr>
        <w:jc w:val="both"/>
        <w:rPr>
          <w:rFonts w:ascii="Arial" w:hAnsi="Arial" w:cs="Arial"/>
          <w:sz w:val="22"/>
          <w:szCs w:val="22"/>
        </w:rPr>
      </w:pPr>
      <w:r w:rsidRPr="00D80990">
        <w:rPr>
          <w:rFonts w:ascii="Arial" w:hAnsi="Arial" w:cs="Arial"/>
          <w:sz w:val="22"/>
          <w:szCs w:val="22"/>
        </w:rPr>
        <w:t xml:space="preserve">La spesa prevista per acquisto immobili rispetta le condizioni di cui all’art.1, comma 138 L. n.228/2012, </w:t>
      </w:r>
      <w:r w:rsidR="00FA74C8" w:rsidRPr="008B1A79">
        <w:rPr>
          <w:rStyle w:val="Collegamentoipertestuale"/>
          <w:rFonts w:ascii="Arial" w:hAnsi="Arial" w:cs="Arial"/>
          <w:color w:val="auto"/>
          <w:sz w:val="22"/>
          <w:szCs w:val="22"/>
          <w:u w:val="none"/>
        </w:rPr>
        <w:t>fermo restando quanto previsto dall’art.14 bis D.L. 50/2017</w:t>
      </w:r>
      <w:r w:rsidRPr="008B1A79">
        <w:rPr>
          <w:rFonts w:ascii="Arial" w:hAnsi="Arial" w:cs="Arial"/>
          <w:sz w:val="22"/>
          <w:szCs w:val="22"/>
        </w:rPr>
        <w:t>.</w:t>
      </w:r>
    </w:p>
    <w:p w14:paraId="19DCAC2F" w14:textId="77777777" w:rsidR="00276B33" w:rsidRPr="00D80990" w:rsidRDefault="00276B33" w:rsidP="00276B33">
      <w:pPr>
        <w:jc w:val="both"/>
        <w:rPr>
          <w:rFonts w:ascii="Arial" w:hAnsi="Arial" w:cs="Arial"/>
          <w:sz w:val="22"/>
          <w:szCs w:val="22"/>
        </w:rPr>
      </w:pPr>
    </w:p>
    <w:p w14:paraId="41C64F3B" w14:textId="77777777" w:rsidR="00276B33" w:rsidRPr="00D80990" w:rsidRDefault="00276B33" w:rsidP="00276B33">
      <w:pPr>
        <w:jc w:val="both"/>
        <w:rPr>
          <w:rFonts w:ascii="Arial" w:hAnsi="Arial" w:cs="Arial"/>
          <w:i/>
          <w:color w:val="00B0F0"/>
          <w:sz w:val="20"/>
          <w:szCs w:val="20"/>
        </w:rPr>
      </w:pPr>
      <w:r w:rsidRPr="00D80990">
        <w:rPr>
          <w:rFonts w:ascii="Arial" w:hAnsi="Arial" w:cs="Arial"/>
          <w:i/>
          <w:color w:val="00B0F0"/>
          <w:sz w:val="20"/>
          <w:szCs w:val="20"/>
        </w:rPr>
        <w:t>(</w:t>
      </w:r>
      <w:r w:rsidR="00FA74C8" w:rsidRPr="001C1946">
        <w:rPr>
          <w:rFonts w:ascii="Arial" w:hAnsi="Arial" w:cs="Arial"/>
          <w:i/>
          <w:color w:val="00B0F0"/>
          <w:sz w:val="20"/>
          <w:szCs w:val="20"/>
        </w:rPr>
        <w:t>Poiché la regola generale è il divieto di procedere ad acquisti immobiliari, a</w:t>
      </w:r>
      <w:r w:rsidR="00FA74C8" w:rsidRPr="00FA74C8">
        <w:rPr>
          <w:rFonts w:ascii="Arial" w:hAnsi="Arial" w:cs="Arial"/>
          <w:i/>
          <w:color w:val="00B0F0"/>
          <w:sz w:val="20"/>
          <w:szCs w:val="20"/>
        </w:rPr>
        <w:t>i</w:t>
      </w:r>
      <w:r w:rsidRPr="00D80990">
        <w:rPr>
          <w:rFonts w:ascii="Arial" w:hAnsi="Arial" w:cs="Arial"/>
          <w:i/>
          <w:color w:val="00B0F0"/>
          <w:sz w:val="20"/>
          <w:szCs w:val="20"/>
        </w:rPr>
        <w:t xml:space="preserve"> sensi del comma 1 ter dell'articolo 12 del D.L. 6 luglio 2011, n. 98, convertito, con modificazioni, dalla Legge 15 luglio 2011, n. 111, a decorrere dal 1º gennaio 2014 al fine di pervenire a risparmi di spesa, gli enti territoriali effettuano operazioni di acquisto di immobili solo</w:t>
      </w:r>
      <w:r w:rsidR="00FA74C8">
        <w:rPr>
          <w:rFonts w:ascii="Arial" w:hAnsi="Arial" w:cs="Arial"/>
          <w:i/>
          <w:color w:val="00B0F0"/>
          <w:sz w:val="20"/>
          <w:szCs w:val="20"/>
        </w:rPr>
        <w:t xml:space="preserve"> se</w:t>
      </w:r>
      <w:r w:rsidRPr="00D80990">
        <w:rPr>
          <w:rFonts w:ascii="Arial" w:hAnsi="Arial" w:cs="Arial"/>
          <w:i/>
          <w:color w:val="00B0F0"/>
          <w:sz w:val="20"/>
          <w:szCs w:val="20"/>
        </w:rPr>
        <w:t>:</w:t>
      </w:r>
    </w:p>
    <w:p w14:paraId="6FDA6133" w14:textId="77777777" w:rsidR="00276B33" w:rsidRPr="00D80990" w:rsidRDefault="00276B33" w:rsidP="00276B33">
      <w:pPr>
        <w:jc w:val="both"/>
        <w:rPr>
          <w:rFonts w:ascii="Arial" w:hAnsi="Arial" w:cs="Arial"/>
          <w:i/>
          <w:color w:val="00B0F0"/>
          <w:sz w:val="20"/>
          <w:szCs w:val="20"/>
        </w:rPr>
      </w:pPr>
      <w:r w:rsidRPr="00D80990">
        <w:rPr>
          <w:rFonts w:ascii="Arial" w:hAnsi="Arial" w:cs="Arial"/>
          <w:i/>
          <w:color w:val="00B0F0"/>
          <w:sz w:val="20"/>
          <w:szCs w:val="20"/>
        </w:rPr>
        <w:t xml:space="preserve">a) siano comprovate documentalmente l'indispensabilità </w:t>
      </w:r>
      <w:r w:rsidR="00FA74C8">
        <w:rPr>
          <w:rFonts w:ascii="Arial" w:hAnsi="Arial" w:cs="Arial"/>
          <w:i/>
          <w:color w:val="00B0F0"/>
          <w:sz w:val="20"/>
          <w:szCs w:val="20"/>
        </w:rPr>
        <w:t>(</w:t>
      </w:r>
      <w:r w:rsidR="00FA74C8" w:rsidRPr="008B1A79">
        <w:rPr>
          <w:rFonts w:ascii="Arial" w:hAnsi="Arial" w:cs="Arial"/>
          <w:i/>
          <w:color w:val="00B0F0"/>
          <w:sz w:val="20"/>
          <w:szCs w:val="20"/>
        </w:rPr>
        <w:t>assoluta necessità per obbligo giuridico)</w:t>
      </w:r>
      <w:r w:rsidRPr="00D80990">
        <w:rPr>
          <w:rFonts w:ascii="Arial" w:hAnsi="Arial" w:cs="Arial"/>
          <w:i/>
          <w:color w:val="00B0F0"/>
          <w:sz w:val="20"/>
          <w:szCs w:val="20"/>
        </w:rPr>
        <w:t xml:space="preserve">e l'indilazionabilità </w:t>
      </w:r>
      <w:r w:rsidR="00FA74C8">
        <w:rPr>
          <w:rFonts w:ascii="Arial" w:hAnsi="Arial" w:cs="Arial"/>
          <w:i/>
          <w:color w:val="00B0F0"/>
          <w:sz w:val="20"/>
          <w:szCs w:val="20"/>
        </w:rPr>
        <w:t>(</w:t>
      </w:r>
      <w:r w:rsidR="00FA74C8" w:rsidRPr="008B1A79">
        <w:rPr>
          <w:rFonts w:ascii="Arial" w:hAnsi="Arial" w:cs="Arial"/>
          <w:i/>
          <w:color w:val="00B0F0"/>
          <w:sz w:val="20"/>
          <w:szCs w:val="20"/>
        </w:rPr>
        <w:t>impossibilità oggettiva</w:t>
      </w:r>
      <w:r w:rsidR="00FA74C8">
        <w:rPr>
          <w:rFonts w:ascii="Arial" w:hAnsi="Arial" w:cs="Arial"/>
          <w:i/>
          <w:color w:val="00B0F0"/>
          <w:sz w:val="20"/>
          <w:szCs w:val="20"/>
        </w:rPr>
        <w:t xml:space="preserve">) </w:t>
      </w:r>
      <w:r w:rsidRPr="00D80990">
        <w:rPr>
          <w:rFonts w:ascii="Arial" w:hAnsi="Arial" w:cs="Arial"/>
          <w:i/>
          <w:color w:val="00B0F0"/>
          <w:sz w:val="20"/>
          <w:szCs w:val="20"/>
        </w:rPr>
        <w:t>attestate dal responsabile del procedimento;</w:t>
      </w:r>
    </w:p>
    <w:p w14:paraId="27CFC868" w14:textId="77777777" w:rsidR="00FA74C8" w:rsidRPr="008B1A79" w:rsidRDefault="00276B33" w:rsidP="00FA74C8">
      <w:pPr>
        <w:jc w:val="both"/>
        <w:rPr>
          <w:rFonts w:ascii="Arial" w:hAnsi="Arial" w:cs="Arial"/>
          <w:i/>
          <w:color w:val="00B0F0"/>
          <w:sz w:val="20"/>
          <w:szCs w:val="20"/>
        </w:rPr>
      </w:pPr>
      <w:r w:rsidRPr="00D80990">
        <w:rPr>
          <w:rFonts w:ascii="Arial" w:hAnsi="Arial" w:cs="Arial"/>
          <w:i/>
          <w:color w:val="00B0F0"/>
          <w:sz w:val="20"/>
          <w:szCs w:val="20"/>
        </w:rPr>
        <w:t>b) la congruità del prezzo sia attestata dall'Agenzia del demanio, previo rimborso delle spese.</w:t>
      </w:r>
      <w:r w:rsidR="00FA74C8" w:rsidRPr="008B1A79">
        <w:rPr>
          <w:rFonts w:ascii="Arial" w:hAnsi="Arial" w:cs="Arial"/>
          <w:i/>
          <w:color w:val="00B0F0"/>
          <w:sz w:val="20"/>
          <w:szCs w:val="20"/>
        </w:rPr>
        <w:t xml:space="preserve"> Deve essere acquisita prima della definizione delle operazioni di acquisto;</w:t>
      </w:r>
    </w:p>
    <w:p w14:paraId="69480064" w14:textId="77777777" w:rsidR="00276B33" w:rsidRDefault="00276B33" w:rsidP="00276B33">
      <w:pPr>
        <w:jc w:val="both"/>
        <w:rPr>
          <w:rFonts w:ascii="Arial" w:hAnsi="Arial" w:cs="Arial"/>
          <w:color w:val="00B0F0"/>
          <w:sz w:val="20"/>
          <w:szCs w:val="20"/>
        </w:rPr>
      </w:pPr>
      <w:r w:rsidRPr="00D80990">
        <w:rPr>
          <w:rFonts w:ascii="Arial" w:hAnsi="Arial" w:cs="Arial"/>
          <w:i/>
          <w:color w:val="00B0F0"/>
          <w:sz w:val="20"/>
          <w:szCs w:val="20"/>
        </w:rPr>
        <w:t>c) delle predette operazioni sia data preventiva notizia, con l'indicazione del soggetto alienante e del prezzo pattuito, nel sito internet istituzionale dell'ente</w:t>
      </w:r>
      <w:r w:rsidRPr="00D80990">
        <w:rPr>
          <w:rFonts w:ascii="Arial" w:hAnsi="Arial" w:cs="Arial"/>
          <w:color w:val="00B0F0"/>
          <w:sz w:val="20"/>
          <w:szCs w:val="20"/>
        </w:rPr>
        <w:t>.)</w:t>
      </w:r>
    </w:p>
    <w:p w14:paraId="0A43E887" w14:textId="77777777" w:rsidR="001004AB" w:rsidRPr="000D5C03" w:rsidRDefault="001004AB" w:rsidP="00276B33">
      <w:pPr>
        <w:jc w:val="both"/>
        <w:rPr>
          <w:rFonts w:ascii="Arial" w:hAnsi="Arial" w:cs="Arial"/>
          <w:color w:val="00B0F0"/>
          <w:sz w:val="20"/>
          <w:szCs w:val="20"/>
        </w:rPr>
      </w:pPr>
    </w:p>
    <w:p w14:paraId="6A3C419B" w14:textId="77777777" w:rsidR="001004AB" w:rsidRPr="000D5C03" w:rsidRDefault="000D5C03" w:rsidP="00276B33">
      <w:pPr>
        <w:jc w:val="both"/>
        <w:rPr>
          <w:rFonts w:ascii="Arial" w:hAnsi="Arial" w:cs="Arial"/>
          <w:b/>
          <w:i/>
          <w:color w:val="00B0F0"/>
          <w:sz w:val="20"/>
          <w:szCs w:val="20"/>
        </w:rPr>
      </w:pPr>
      <w:r w:rsidRPr="000D5C03">
        <w:rPr>
          <w:rFonts w:ascii="Arial" w:hAnsi="Arial" w:cs="Arial"/>
          <w:b/>
          <w:color w:val="00B0F0"/>
          <w:sz w:val="20"/>
          <w:szCs w:val="20"/>
        </w:rPr>
        <w:t xml:space="preserve">* </w:t>
      </w:r>
      <w:r w:rsidRPr="000D5C03">
        <w:rPr>
          <w:rFonts w:ascii="Arial" w:hAnsi="Arial" w:cs="Arial"/>
          <w:b/>
          <w:i/>
          <w:color w:val="00B0F0"/>
          <w:sz w:val="20"/>
          <w:szCs w:val="20"/>
        </w:rPr>
        <w:t>n.b. Questa</w:t>
      </w:r>
      <w:r w:rsidR="001004AB" w:rsidRPr="000D5C03">
        <w:rPr>
          <w:rFonts w:ascii="Arial" w:hAnsi="Arial" w:cs="Arial"/>
          <w:b/>
          <w:i/>
          <w:color w:val="00B0F0"/>
          <w:sz w:val="20"/>
          <w:szCs w:val="20"/>
        </w:rPr>
        <w:t xml:space="preserve"> limitazione </w:t>
      </w:r>
      <w:r w:rsidRPr="000D5C03">
        <w:rPr>
          <w:rFonts w:ascii="Arial" w:hAnsi="Arial" w:cs="Arial"/>
          <w:b/>
          <w:i/>
          <w:color w:val="00B0F0"/>
          <w:sz w:val="20"/>
          <w:szCs w:val="20"/>
        </w:rPr>
        <w:t xml:space="preserve">è </w:t>
      </w:r>
      <w:r w:rsidR="001004AB" w:rsidRPr="000D5C03">
        <w:rPr>
          <w:rFonts w:ascii="Arial" w:hAnsi="Arial" w:cs="Arial"/>
          <w:b/>
          <w:i/>
          <w:color w:val="00B0F0"/>
          <w:sz w:val="20"/>
          <w:szCs w:val="20"/>
        </w:rPr>
        <w:t>disapplicata dal comma 905 della Legge di bilancio 2019 (</w:t>
      </w:r>
      <w:r w:rsidRPr="000D5C03">
        <w:rPr>
          <w:rFonts w:ascii="Arial" w:hAnsi="Arial" w:cs="Arial"/>
          <w:b/>
          <w:i/>
          <w:color w:val="00B0F0"/>
          <w:sz w:val="20"/>
          <w:szCs w:val="20"/>
        </w:rPr>
        <w:t xml:space="preserve">n. </w:t>
      </w:r>
      <w:r w:rsidR="001004AB" w:rsidRPr="000D5C03">
        <w:rPr>
          <w:rFonts w:ascii="Arial" w:hAnsi="Arial" w:cs="Arial"/>
          <w:b/>
          <w:i/>
          <w:color w:val="00B0F0"/>
          <w:sz w:val="20"/>
          <w:szCs w:val="20"/>
        </w:rPr>
        <w:t xml:space="preserve">145/2018) che </w:t>
      </w:r>
      <w:r w:rsidR="001004AB" w:rsidRPr="000D5C03">
        <w:rPr>
          <w:rFonts w:ascii="Arial" w:hAnsi="Arial" w:cs="Arial"/>
          <w:b/>
          <w:bCs/>
          <w:i/>
          <w:iCs/>
          <w:color w:val="00B0F0"/>
          <w:sz w:val="20"/>
          <w:szCs w:val="20"/>
        </w:rPr>
        <w:t>introduce alcune semplificazioni per i comuni (e le loro forme associative) condizionate all’approvazione dei bilanci entro i termini ordinari previsti dal TUEL</w:t>
      </w:r>
      <w:r w:rsidR="001004AB" w:rsidRPr="000D5C03">
        <w:rPr>
          <w:rFonts w:ascii="Arial" w:hAnsi="Arial" w:cs="Arial"/>
          <w:b/>
          <w:i/>
          <w:iCs/>
          <w:color w:val="00B0F0"/>
          <w:sz w:val="20"/>
          <w:szCs w:val="20"/>
        </w:rPr>
        <w:t xml:space="preserve">, ossia il bilancio consuntivo entro il 30 aprile dell’anno successivo e il bilancio preventivo entro il 31 dicembre dell'anno precedente all’esercizio di riferimento. </w:t>
      </w:r>
    </w:p>
    <w:p w14:paraId="24ADCADA" w14:textId="77777777" w:rsidR="00276B33" w:rsidRPr="000D5C03" w:rsidRDefault="00276B33" w:rsidP="00276B33">
      <w:pPr>
        <w:jc w:val="both"/>
        <w:rPr>
          <w:rFonts w:ascii="Arial" w:hAnsi="Arial" w:cs="Arial"/>
          <w:b/>
          <w:i/>
          <w:color w:val="00B0F0"/>
          <w:sz w:val="18"/>
          <w:szCs w:val="18"/>
        </w:rPr>
      </w:pPr>
    </w:p>
    <w:p w14:paraId="3A4BC41E" w14:textId="77777777" w:rsidR="00003942" w:rsidRPr="000D5C03" w:rsidRDefault="00003942" w:rsidP="00276B33">
      <w:pPr>
        <w:jc w:val="both"/>
        <w:rPr>
          <w:rFonts w:ascii="Arial" w:hAnsi="Arial" w:cs="Arial"/>
          <w:b/>
          <w:i/>
          <w:color w:val="00B0F0"/>
          <w:sz w:val="18"/>
          <w:szCs w:val="18"/>
        </w:rPr>
      </w:pPr>
    </w:p>
    <w:p w14:paraId="07AF9236" w14:textId="77777777" w:rsidR="00003942" w:rsidRDefault="00003942" w:rsidP="00276B33">
      <w:pPr>
        <w:jc w:val="both"/>
        <w:rPr>
          <w:rFonts w:ascii="Arial" w:hAnsi="Arial" w:cs="Arial"/>
          <w:b/>
          <w:i/>
          <w:color w:val="00B0F0"/>
          <w:sz w:val="18"/>
          <w:szCs w:val="18"/>
        </w:rPr>
      </w:pPr>
    </w:p>
    <w:p w14:paraId="7588D6E3" w14:textId="77777777" w:rsidR="00003942" w:rsidRDefault="00003942" w:rsidP="00276B33">
      <w:pPr>
        <w:jc w:val="both"/>
        <w:rPr>
          <w:rFonts w:ascii="Arial" w:hAnsi="Arial" w:cs="Arial"/>
          <w:b/>
          <w:i/>
          <w:color w:val="00B0F0"/>
          <w:sz w:val="18"/>
          <w:szCs w:val="18"/>
        </w:rPr>
      </w:pPr>
    </w:p>
    <w:p w14:paraId="1DA8C84A" w14:textId="77777777" w:rsidR="00003942" w:rsidRDefault="00003942" w:rsidP="00276B33">
      <w:pPr>
        <w:jc w:val="both"/>
        <w:rPr>
          <w:rFonts w:ascii="Arial" w:hAnsi="Arial" w:cs="Arial"/>
          <w:b/>
          <w:i/>
          <w:color w:val="00B0F0"/>
          <w:sz w:val="18"/>
          <w:szCs w:val="18"/>
        </w:rPr>
      </w:pPr>
    </w:p>
    <w:p w14:paraId="6F18823E" w14:textId="77777777" w:rsidR="000D5C03" w:rsidRDefault="000D5C03" w:rsidP="00276B33">
      <w:pPr>
        <w:jc w:val="both"/>
        <w:rPr>
          <w:rFonts w:ascii="Arial" w:hAnsi="Arial" w:cs="Arial"/>
          <w:b/>
          <w:i/>
          <w:color w:val="00B0F0"/>
          <w:sz w:val="18"/>
          <w:szCs w:val="18"/>
        </w:rPr>
      </w:pPr>
    </w:p>
    <w:p w14:paraId="1A4969AE" w14:textId="77777777" w:rsidR="00003942" w:rsidRDefault="00003942" w:rsidP="00276B33">
      <w:pPr>
        <w:jc w:val="both"/>
        <w:rPr>
          <w:rFonts w:ascii="Arial" w:hAnsi="Arial" w:cs="Arial"/>
          <w:b/>
          <w:i/>
          <w:color w:val="00B0F0"/>
          <w:sz w:val="18"/>
          <w:szCs w:val="18"/>
        </w:rPr>
      </w:pPr>
    </w:p>
    <w:p w14:paraId="0D67F415" w14:textId="77777777" w:rsidR="00003942" w:rsidRDefault="00003942" w:rsidP="00276B33">
      <w:pPr>
        <w:jc w:val="both"/>
        <w:rPr>
          <w:rFonts w:ascii="Arial" w:hAnsi="Arial" w:cs="Arial"/>
          <w:b/>
          <w:i/>
          <w:color w:val="00B0F0"/>
          <w:sz w:val="18"/>
          <w:szCs w:val="18"/>
        </w:rPr>
      </w:pPr>
    </w:p>
    <w:p w14:paraId="680B821F" w14:textId="77777777" w:rsidR="00003942" w:rsidRDefault="00003942" w:rsidP="00276B33">
      <w:pPr>
        <w:jc w:val="both"/>
        <w:rPr>
          <w:rFonts w:ascii="Arial" w:hAnsi="Arial" w:cs="Arial"/>
          <w:b/>
          <w:i/>
          <w:color w:val="00B0F0"/>
          <w:sz w:val="18"/>
          <w:szCs w:val="18"/>
        </w:rPr>
      </w:pPr>
    </w:p>
    <w:p w14:paraId="1C8BDDD1" w14:textId="77777777" w:rsidR="000D5C03" w:rsidRDefault="000D5C03">
      <w:pPr>
        <w:rPr>
          <w:rFonts w:ascii="Arial" w:hAnsi="Arial" w:cs="Arial"/>
          <w:b/>
          <w:i/>
          <w:color w:val="00B0F0"/>
          <w:sz w:val="18"/>
          <w:szCs w:val="18"/>
        </w:rPr>
      </w:pPr>
      <w:r>
        <w:rPr>
          <w:rFonts w:ascii="Arial" w:hAnsi="Arial" w:cs="Arial"/>
          <w:b/>
          <w:i/>
          <w:color w:val="00B0F0"/>
          <w:sz w:val="18"/>
          <w:szCs w:val="18"/>
        </w:rPr>
        <w:br w:type="page"/>
      </w:r>
    </w:p>
    <w:p w14:paraId="3CC96CBF" w14:textId="77777777" w:rsidR="00276B33" w:rsidRPr="00D80990" w:rsidRDefault="00276B33" w:rsidP="00276B33">
      <w:pPr>
        <w:pStyle w:val="Titolo1"/>
        <w:shd w:val="clear" w:color="auto" w:fill="B6DDE8"/>
      </w:pPr>
      <w:bookmarkStart w:id="79" w:name="_INDEBITAMENTO"/>
      <w:bookmarkStart w:id="80" w:name="_Toc535487628"/>
      <w:bookmarkEnd w:id="79"/>
      <w:r w:rsidRPr="00D80990">
        <w:lastRenderedPageBreak/>
        <w:t>INDEBITAMENTO</w:t>
      </w:r>
      <w:bookmarkEnd w:id="80"/>
    </w:p>
    <w:p w14:paraId="165DC2B7" w14:textId="77777777" w:rsidR="00151995" w:rsidRPr="008B1A79" w:rsidRDefault="00151995" w:rsidP="00151995">
      <w:pPr>
        <w:spacing w:after="120"/>
        <w:jc w:val="both"/>
        <w:rPr>
          <w:rFonts w:ascii="Arial" w:hAnsi="Arial" w:cs="Arial"/>
          <w:sz w:val="22"/>
          <w:szCs w:val="22"/>
        </w:rPr>
      </w:pPr>
      <w:r w:rsidRPr="008B1A79">
        <w:rPr>
          <w:rFonts w:ascii="Arial" w:hAnsi="Arial" w:cs="Arial"/>
          <w:sz w:val="22"/>
          <w:szCs w:val="22"/>
        </w:rPr>
        <w:t>Il revisore ha verificato che la Missione 50 riporta al programma 1 tutti gli interessi passivi su operazioni di indebitamento e al programma 2 tutte le quote capitale della rata di ammortamento.</w:t>
      </w:r>
    </w:p>
    <w:p w14:paraId="2603AC77" w14:textId="77777777" w:rsidR="00151995" w:rsidRPr="008B1A79" w:rsidRDefault="00151995" w:rsidP="00151995">
      <w:pPr>
        <w:widowControl w:val="0"/>
        <w:autoSpaceDE w:val="0"/>
        <w:autoSpaceDN w:val="0"/>
        <w:adjustRightInd w:val="0"/>
        <w:rPr>
          <w:rFonts w:ascii="Arial" w:hAnsi="Arial" w:cs="Arial"/>
          <w:b/>
          <w:sz w:val="22"/>
          <w:szCs w:val="22"/>
          <w:u w:val="single"/>
        </w:rPr>
      </w:pPr>
      <w:r w:rsidRPr="008B1A79">
        <w:rPr>
          <w:rFonts w:ascii="Arial" w:hAnsi="Arial" w:cs="Arial"/>
          <w:b/>
          <w:sz w:val="22"/>
          <w:szCs w:val="22"/>
          <w:u w:val="single"/>
        </w:rPr>
        <w:t>L’indebitamento dell’ente subisce la seguente evoluzione:</w:t>
      </w:r>
    </w:p>
    <w:p w14:paraId="75FC1DBB" w14:textId="77777777" w:rsidR="00151995" w:rsidRPr="00705E88" w:rsidRDefault="00151995" w:rsidP="00151995">
      <w:pPr>
        <w:widowControl w:val="0"/>
        <w:autoSpaceDE w:val="0"/>
        <w:autoSpaceDN w:val="0"/>
        <w:adjustRightInd w:val="0"/>
        <w:rPr>
          <w:rFonts w:ascii="Arial" w:hAnsi="Arial" w:cs="Arial"/>
          <w:color w:val="FF00FF"/>
          <w:sz w:val="22"/>
          <w:szCs w:val="22"/>
          <w:u w:val="single"/>
        </w:rPr>
      </w:pPr>
    </w:p>
    <w:p w14:paraId="640D7A3B" w14:textId="77777777" w:rsidR="00151995" w:rsidRPr="00705E88" w:rsidRDefault="00151995" w:rsidP="00151995">
      <w:pPr>
        <w:widowControl w:val="0"/>
        <w:autoSpaceDE w:val="0"/>
        <w:autoSpaceDN w:val="0"/>
        <w:adjustRightInd w:val="0"/>
        <w:jc w:val="center"/>
        <w:rPr>
          <w:rFonts w:ascii="Arial" w:hAnsi="Arial" w:cs="Arial"/>
          <w:color w:val="FF00FF"/>
          <w:sz w:val="22"/>
          <w:szCs w:val="22"/>
        </w:rPr>
      </w:pPr>
      <w:r w:rsidRPr="00705E88">
        <w:rPr>
          <w:rFonts w:cs="Arial"/>
          <w:color w:val="FF00FF"/>
          <w:sz w:val="22"/>
          <w:szCs w:val="22"/>
        </w:rPr>
        <w:object w:dxaOrig="9808" w:dyaOrig="2525" w14:anchorId="5056659C">
          <v:shape id="_x0000_i1063" type="#_x0000_t75" style="width:489.75pt;height:122.25pt" o:ole="">
            <v:imagedata r:id="rId101" o:title=""/>
          </v:shape>
          <o:OLEObject Type="Embed" ProgID="Excel.Sheet.12" ShapeID="_x0000_i1063" DrawAspect="Content" ObjectID="_1780988752" r:id="rId102"/>
        </w:object>
      </w:r>
    </w:p>
    <w:p w14:paraId="74170777" w14:textId="77777777" w:rsidR="00151995" w:rsidRPr="00D80990" w:rsidRDefault="00151995" w:rsidP="00151995">
      <w:pPr>
        <w:spacing w:after="120"/>
        <w:jc w:val="both"/>
        <w:rPr>
          <w:rFonts w:ascii="Arial" w:hAnsi="Arial" w:cs="Arial"/>
          <w:color w:val="000000"/>
          <w:sz w:val="16"/>
          <w:szCs w:val="16"/>
        </w:rPr>
      </w:pPr>
      <w:r w:rsidRPr="00D80990">
        <w:rPr>
          <w:rFonts w:ascii="Arial" w:hAnsi="Arial" w:cs="Arial"/>
          <w:sz w:val="22"/>
          <w:szCs w:val="22"/>
        </w:rPr>
        <w:t>L’ammontare dei prestiti previsti per il finanziamento di spese in conto capitale risul</w:t>
      </w:r>
      <w:r>
        <w:rPr>
          <w:rFonts w:ascii="Arial" w:hAnsi="Arial" w:cs="Arial"/>
          <w:sz w:val="22"/>
          <w:szCs w:val="22"/>
        </w:rPr>
        <w:t>ta compatibile per gli anni 2019, 2020 e 2021</w:t>
      </w:r>
      <w:r w:rsidRPr="00D80990">
        <w:rPr>
          <w:rFonts w:ascii="Arial" w:hAnsi="Arial" w:cs="Arial"/>
          <w:sz w:val="22"/>
          <w:szCs w:val="22"/>
        </w:rPr>
        <w:t xml:space="preserve"> con il limite della capacità di indebitamento previsto dall’articolo 204 del TUEL e nel rispetto dell’art.203 del TUEL.</w:t>
      </w:r>
    </w:p>
    <w:p w14:paraId="32865EDC" w14:textId="77777777" w:rsidR="00151995" w:rsidRPr="008B1A79" w:rsidRDefault="00151995" w:rsidP="00151995">
      <w:pPr>
        <w:rPr>
          <w:rFonts w:ascii="Arial" w:hAnsi="Arial" w:cs="Arial"/>
          <w:b/>
          <w:sz w:val="22"/>
          <w:szCs w:val="22"/>
          <w:u w:val="single"/>
        </w:rPr>
      </w:pPr>
      <w:r w:rsidRPr="008B1A79">
        <w:rPr>
          <w:rFonts w:ascii="Arial" w:hAnsi="Arial" w:cs="Arial"/>
          <w:b/>
          <w:sz w:val="22"/>
          <w:szCs w:val="22"/>
          <w:u w:val="single"/>
        </w:rPr>
        <w:t>Interessi passivi e oneri finanziari diversi</w:t>
      </w:r>
    </w:p>
    <w:p w14:paraId="67F1F6DC" w14:textId="77777777" w:rsidR="00151995" w:rsidRPr="008B1A79" w:rsidRDefault="00151995" w:rsidP="00151995">
      <w:pPr>
        <w:widowControl w:val="0"/>
        <w:autoSpaceDE w:val="0"/>
        <w:autoSpaceDN w:val="0"/>
        <w:adjustRightInd w:val="0"/>
        <w:jc w:val="both"/>
        <w:rPr>
          <w:rFonts w:ascii="Arial" w:hAnsi="Arial" w:cs="Arial"/>
          <w:sz w:val="22"/>
          <w:szCs w:val="22"/>
        </w:rPr>
      </w:pPr>
    </w:p>
    <w:p w14:paraId="48984710" w14:textId="77777777" w:rsidR="00151995" w:rsidRPr="008B1A79" w:rsidRDefault="00151995" w:rsidP="00151995">
      <w:pPr>
        <w:widowControl w:val="0"/>
        <w:autoSpaceDE w:val="0"/>
        <w:autoSpaceDN w:val="0"/>
        <w:adjustRightInd w:val="0"/>
        <w:jc w:val="both"/>
        <w:rPr>
          <w:rFonts w:ascii="Arial" w:hAnsi="Arial" w:cs="Arial"/>
          <w:sz w:val="22"/>
          <w:szCs w:val="22"/>
        </w:rPr>
      </w:pPr>
      <w:r w:rsidRPr="008B1A79">
        <w:rPr>
          <w:rFonts w:ascii="Arial" w:hAnsi="Arial" w:cs="Arial"/>
          <w:sz w:val="22"/>
          <w:szCs w:val="22"/>
        </w:rPr>
        <w:t>Gli oneri finanziari per ammortamento prestiti ed il rimborso degli stessi in conto capitale registra la seguente evoluzione:</w:t>
      </w:r>
    </w:p>
    <w:p w14:paraId="14EB154B" w14:textId="77777777" w:rsidR="00151995" w:rsidRPr="00C8297B" w:rsidRDefault="00151995" w:rsidP="00151995">
      <w:pPr>
        <w:widowControl w:val="0"/>
        <w:autoSpaceDE w:val="0"/>
        <w:autoSpaceDN w:val="0"/>
        <w:adjustRightInd w:val="0"/>
        <w:jc w:val="both"/>
        <w:rPr>
          <w:rFonts w:ascii="Arial" w:hAnsi="Arial" w:cs="Arial"/>
          <w:color w:val="FF00FF"/>
          <w:sz w:val="22"/>
          <w:szCs w:val="22"/>
        </w:rPr>
      </w:pPr>
    </w:p>
    <w:p w14:paraId="199CA7FA" w14:textId="77777777" w:rsidR="00151995" w:rsidRPr="00C8297B" w:rsidRDefault="00151995" w:rsidP="00151995">
      <w:pPr>
        <w:widowControl w:val="0"/>
        <w:autoSpaceDE w:val="0"/>
        <w:autoSpaceDN w:val="0"/>
        <w:adjustRightInd w:val="0"/>
        <w:jc w:val="center"/>
        <w:rPr>
          <w:rFonts w:ascii="Arial" w:hAnsi="Arial" w:cs="Arial"/>
          <w:color w:val="FF00FF"/>
          <w:sz w:val="22"/>
          <w:szCs w:val="22"/>
        </w:rPr>
      </w:pPr>
      <w:r w:rsidRPr="00C8297B">
        <w:rPr>
          <w:rFonts w:cs="Arial"/>
          <w:color w:val="FF00FF"/>
          <w:sz w:val="22"/>
          <w:szCs w:val="22"/>
        </w:rPr>
        <w:object w:dxaOrig="9808" w:dyaOrig="1133" w14:anchorId="1D84FEFF">
          <v:shape id="_x0000_i1064" type="#_x0000_t75" style="width:489.75pt;height:57.75pt" o:ole="">
            <v:imagedata r:id="rId103" o:title=""/>
          </v:shape>
          <o:OLEObject Type="Embed" ProgID="Excel.Sheet.12" ShapeID="_x0000_i1064" DrawAspect="Content" ObjectID="_1780988753" r:id="rId104"/>
        </w:object>
      </w:r>
    </w:p>
    <w:p w14:paraId="29E4F179" w14:textId="77777777" w:rsidR="00151995" w:rsidRPr="007C28ED" w:rsidRDefault="00151995" w:rsidP="00151995">
      <w:pPr>
        <w:pStyle w:val="Corpodeltesto21"/>
        <w:spacing w:before="120"/>
        <w:rPr>
          <w:rFonts w:cs="Arial"/>
          <w:b w:val="0"/>
          <w:i w:val="0"/>
          <w:sz w:val="22"/>
          <w:szCs w:val="22"/>
        </w:rPr>
      </w:pPr>
      <w:r w:rsidRPr="007C28ED">
        <w:rPr>
          <w:rFonts w:cs="Arial"/>
          <w:b w:val="0"/>
          <w:i w:val="0"/>
          <w:sz w:val="22"/>
          <w:szCs w:val="22"/>
        </w:rPr>
        <w:t>La previsione di spesa per gli anni 2019, 2020 e 2021 per interessi passivi e oneri finanziari diversi, pari a euro ……….. è congrua sulla base del riepilogo predisposto dal responsabile del servizio finanziario degli altri prestiti contratti a tutt’oggi e rientra nel limite di indebitamento previsto dall’articolo 204 del TUELcome calcolato nel seguente prospetto</w:t>
      </w:r>
      <w:r w:rsidRPr="007C28ED">
        <w:rPr>
          <w:rFonts w:cs="Arial"/>
          <w:i w:val="0"/>
          <w:sz w:val="20"/>
        </w:rPr>
        <w:t>.</w:t>
      </w:r>
    </w:p>
    <w:p w14:paraId="4F1065A7" w14:textId="77777777" w:rsidR="00276B33" w:rsidRPr="00D80990" w:rsidRDefault="00276B33" w:rsidP="00276B33">
      <w:pPr>
        <w:rPr>
          <w:rFonts w:ascii="Arial" w:hAnsi="Arial" w:cs="Arial"/>
          <w:sz w:val="22"/>
          <w:szCs w:val="22"/>
        </w:rPr>
      </w:pPr>
    </w:p>
    <w:p w14:paraId="4318A86F" w14:textId="77777777" w:rsidR="00AA4EDC" w:rsidRDefault="00AA4EDC" w:rsidP="00276B33">
      <w:pPr>
        <w:pStyle w:val="Corpodeltesto21"/>
        <w:rPr>
          <w:rStyle w:val="Collegamentoipertestuale"/>
          <w:rFonts w:cs="Arial"/>
        </w:rPr>
      </w:pPr>
    </w:p>
    <w:bookmarkStart w:id="81" w:name="_MON_1609228051"/>
    <w:bookmarkEnd w:id="81"/>
    <w:p w14:paraId="24029254" w14:textId="77777777" w:rsidR="00276B33" w:rsidRDefault="00792A6A" w:rsidP="00F4160F">
      <w:pPr>
        <w:pStyle w:val="Corpodeltesto21"/>
        <w:jc w:val="center"/>
        <w:rPr>
          <w:rFonts w:cs="Arial"/>
          <w:sz w:val="22"/>
          <w:szCs w:val="22"/>
        </w:rPr>
      </w:pPr>
      <w:r w:rsidRPr="006B2B37">
        <w:rPr>
          <w:rFonts w:cs="Arial"/>
          <w:sz w:val="22"/>
          <w:szCs w:val="22"/>
        </w:rPr>
        <w:object w:dxaOrig="9792" w:dyaOrig="1397" w14:anchorId="123730A4">
          <v:shape id="_x0000_i1065" type="#_x0000_t75" style="width:489.75pt;height:1in" o:ole="">
            <v:imagedata r:id="rId105" o:title=""/>
          </v:shape>
          <o:OLEObject Type="Embed" ProgID="Excel.Sheet.12" ShapeID="_x0000_i1065" DrawAspect="Content" ObjectID="_1780988754" r:id="rId106"/>
        </w:object>
      </w:r>
    </w:p>
    <w:p w14:paraId="11B4587D" w14:textId="77777777" w:rsidR="007C28ED" w:rsidRDefault="007C28ED" w:rsidP="00F4160F">
      <w:pPr>
        <w:pStyle w:val="Corpodeltesto21"/>
        <w:jc w:val="center"/>
        <w:rPr>
          <w:rFonts w:cs="Arial"/>
          <w:sz w:val="22"/>
          <w:szCs w:val="22"/>
        </w:rPr>
      </w:pPr>
    </w:p>
    <w:p w14:paraId="4EB3812F" w14:textId="77777777" w:rsidR="007C28ED" w:rsidRDefault="007C28ED" w:rsidP="00F4160F">
      <w:pPr>
        <w:pStyle w:val="Corpodeltesto21"/>
        <w:jc w:val="center"/>
        <w:rPr>
          <w:rFonts w:cs="Arial"/>
          <w:sz w:val="22"/>
          <w:szCs w:val="22"/>
        </w:rPr>
      </w:pPr>
    </w:p>
    <w:p w14:paraId="576FD6BE" w14:textId="77777777" w:rsidR="007C28ED" w:rsidRDefault="007C28ED" w:rsidP="00F4160F">
      <w:pPr>
        <w:pStyle w:val="Corpodeltesto21"/>
        <w:jc w:val="center"/>
        <w:rPr>
          <w:rFonts w:cs="Arial"/>
          <w:sz w:val="22"/>
          <w:szCs w:val="22"/>
        </w:rPr>
      </w:pPr>
    </w:p>
    <w:p w14:paraId="788E1BB9" w14:textId="77777777" w:rsidR="007C28ED" w:rsidRDefault="007C28ED" w:rsidP="00F4160F">
      <w:pPr>
        <w:pStyle w:val="Corpodeltesto21"/>
        <w:jc w:val="center"/>
        <w:rPr>
          <w:rFonts w:cs="Arial"/>
          <w:sz w:val="22"/>
          <w:szCs w:val="22"/>
        </w:rPr>
      </w:pPr>
    </w:p>
    <w:p w14:paraId="7ECA8D34" w14:textId="77777777" w:rsidR="007C28ED" w:rsidRPr="00D80990" w:rsidRDefault="007C28ED" w:rsidP="00F4160F">
      <w:pPr>
        <w:pStyle w:val="Corpodeltesto21"/>
        <w:jc w:val="center"/>
        <w:rPr>
          <w:rFonts w:cs="Arial"/>
          <w:b w:val="0"/>
          <w:i w:val="0"/>
          <w:sz w:val="22"/>
          <w:szCs w:val="22"/>
        </w:rPr>
      </w:pPr>
    </w:p>
    <w:p w14:paraId="3B97ED9D" w14:textId="77777777" w:rsidR="00F4160F" w:rsidRDefault="00F4160F" w:rsidP="00276B33">
      <w:pPr>
        <w:rPr>
          <w:rFonts w:ascii="Arial" w:hAnsi="Arial" w:cs="Arial"/>
          <w:b/>
          <w:sz w:val="22"/>
          <w:szCs w:val="22"/>
          <w:u w:val="single"/>
        </w:rPr>
      </w:pPr>
    </w:p>
    <w:p w14:paraId="4E838543" w14:textId="77777777" w:rsidR="00276B33" w:rsidRPr="00D80990" w:rsidRDefault="00276B33" w:rsidP="00276B33">
      <w:pPr>
        <w:widowControl w:val="0"/>
        <w:autoSpaceDE w:val="0"/>
        <w:autoSpaceDN w:val="0"/>
        <w:adjustRightInd w:val="0"/>
        <w:jc w:val="both"/>
        <w:rPr>
          <w:rFonts w:ascii="Arial" w:hAnsi="Arial" w:cs="Arial"/>
          <w:sz w:val="22"/>
          <w:szCs w:val="22"/>
        </w:rPr>
      </w:pPr>
    </w:p>
    <w:p w14:paraId="269C4464" w14:textId="77777777" w:rsidR="00276B33" w:rsidRPr="00D80990" w:rsidRDefault="00276B33" w:rsidP="00276B33">
      <w:pPr>
        <w:widowControl w:val="0"/>
        <w:autoSpaceDE w:val="0"/>
        <w:autoSpaceDN w:val="0"/>
        <w:adjustRightInd w:val="0"/>
        <w:jc w:val="both"/>
        <w:rPr>
          <w:rFonts w:ascii="Arial" w:hAnsi="Arial" w:cs="Arial"/>
          <w:sz w:val="22"/>
          <w:szCs w:val="22"/>
        </w:rPr>
      </w:pPr>
      <w:r w:rsidRPr="00D80990">
        <w:rPr>
          <w:rFonts w:ascii="Arial" w:hAnsi="Arial" w:cs="Arial"/>
          <w:sz w:val="22"/>
          <w:szCs w:val="22"/>
        </w:rPr>
        <w:t xml:space="preserve">L’ente </w:t>
      </w:r>
      <w:r w:rsidRPr="008B1A79">
        <w:rPr>
          <w:rFonts w:ascii="Arial" w:hAnsi="Arial" w:cs="Arial"/>
          <w:b/>
          <w:sz w:val="22"/>
          <w:szCs w:val="22"/>
        </w:rPr>
        <w:t>ha</w:t>
      </w:r>
      <w:r w:rsidR="00151995" w:rsidRPr="008B1A79">
        <w:rPr>
          <w:rFonts w:ascii="Arial" w:hAnsi="Arial" w:cs="Arial"/>
          <w:b/>
          <w:sz w:val="22"/>
          <w:szCs w:val="22"/>
        </w:rPr>
        <w:t>/non ha</w:t>
      </w:r>
      <w:r w:rsidRPr="00D80990">
        <w:rPr>
          <w:rFonts w:ascii="Arial" w:hAnsi="Arial" w:cs="Arial"/>
          <w:sz w:val="22"/>
          <w:szCs w:val="22"/>
        </w:rPr>
        <w:t xml:space="preserve"> prestato garanzie principali e sussidiarie per le quali è stato costituito regolare accantonamento come da prospetto seguente:</w:t>
      </w:r>
    </w:p>
    <w:p w14:paraId="53F87D21" w14:textId="77777777" w:rsidR="00276B33" w:rsidRPr="00D80990" w:rsidRDefault="00276B33" w:rsidP="00276B33">
      <w:pPr>
        <w:widowControl w:val="0"/>
        <w:autoSpaceDE w:val="0"/>
        <w:autoSpaceDN w:val="0"/>
        <w:adjustRightInd w:val="0"/>
        <w:jc w:val="both"/>
        <w:rPr>
          <w:rFonts w:ascii="Arial" w:hAnsi="Arial" w:cs="Arial"/>
          <w:sz w:val="22"/>
          <w:szCs w:val="22"/>
        </w:rPr>
      </w:pPr>
    </w:p>
    <w:p w14:paraId="7EE53BCB" w14:textId="77777777" w:rsidR="00276B33" w:rsidRPr="00D80990" w:rsidRDefault="00003942" w:rsidP="00276B33">
      <w:pPr>
        <w:widowControl w:val="0"/>
        <w:autoSpaceDE w:val="0"/>
        <w:autoSpaceDN w:val="0"/>
        <w:adjustRightInd w:val="0"/>
        <w:jc w:val="center"/>
        <w:rPr>
          <w:rFonts w:ascii="Arial" w:hAnsi="Arial" w:cs="Arial"/>
          <w:sz w:val="22"/>
          <w:szCs w:val="22"/>
        </w:rPr>
      </w:pPr>
      <w:r w:rsidRPr="006B2B37">
        <w:rPr>
          <w:rFonts w:cs="Arial"/>
          <w:sz w:val="22"/>
          <w:szCs w:val="22"/>
        </w:rPr>
        <w:object w:dxaOrig="7365" w:dyaOrig="1354" w14:anchorId="6A51B94D">
          <v:shape id="_x0000_i1066" type="#_x0000_t75" style="width:367.5pt;height:64.5pt" o:ole="">
            <v:imagedata r:id="rId107" o:title=""/>
          </v:shape>
          <o:OLEObject Type="Embed" ProgID="Excel.Sheet.12" ShapeID="_x0000_i1066" DrawAspect="Content" ObjectID="_1780988755" r:id="rId108"/>
        </w:object>
      </w:r>
    </w:p>
    <w:p w14:paraId="3B33CEA9" w14:textId="77777777" w:rsidR="00276B33" w:rsidRPr="00D80990" w:rsidRDefault="00276B33" w:rsidP="00276B33">
      <w:p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L’organo di revisione ricorda che ai sensi dell’</w:t>
      </w:r>
      <w:r w:rsidRPr="00D80990">
        <w:rPr>
          <w:rFonts w:ascii="Arial" w:hAnsi="Arial" w:cs="Arial"/>
          <w:sz w:val="22"/>
          <w:szCs w:val="22"/>
        </w:rPr>
        <w:t>art.10 della Legge 243/2012</w:t>
      </w:r>
      <w:r w:rsidRPr="00D80990">
        <w:rPr>
          <w:rFonts w:ascii="Arial" w:hAnsi="Arial" w:cs="Arial"/>
          <w:color w:val="000000"/>
          <w:sz w:val="22"/>
          <w:szCs w:val="22"/>
        </w:rPr>
        <w:t>:</w:t>
      </w:r>
    </w:p>
    <w:p w14:paraId="4D8C033C" w14:textId="77777777" w:rsidR="00276B33" w:rsidRPr="00D80990" w:rsidRDefault="00276B33" w:rsidP="00276B33">
      <w:pPr>
        <w:pStyle w:val="Paragrafoelenco"/>
        <w:numPr>
          <w:ilvl w:val="0"/>
          <w:numId w:val="18"/>
        </w:num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il ricorso all'indebitamento da parte delle regioni, dei comuni, delle province, delle città metropolitane e delle province autonome di Trento e di Bolzano è consentito esclusivamente per finanziare spese di investimento;</w:t>
      </w:r>
    </w:p>
    <w:p w14:paraId="0F64E679" w14:textId="77777777" w:rsidR="00276B33" w:rsidRDefault="00276B33" w:rsidP="00CE36A2">
      <w:pPr>
        <w:pStyle w:val="Paragrafoelenco"/>
        <w:numPr>
          <w:ilvl w:val="0"/>
          <w:numId w:val="18"/>
        </w:num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le operazioni di indebitamento sono effettuate solo contestualmente all'adozione di piani di ammortamento di durata non superiore alla vita utile dell'investimento, nei quali sono evidenziate l'incidenza delle obbligazioni assunte sui singoli esercizi finanziari futuri nonché le modalità di copertura degli oneri corrispondenti</w:t>
      </w:r>
      <w:r w:rsidR="001004AB">
        <w:rPr>
          <w:rFonts w:ascii="Arial" w:hAnsi="Arial" w:cs="Arial"/>
          <w:color w:val="000000"/>
          <w:sz w:val="22"/>
          <w:szCs w:val="22"/>
        </w:rPr>
        <w:t>.</w:t>
      </w:r>
    </w:p>
    <w:p w14:paraId="2CEA62FC" w14:textId="77777777" w:rsidR="001004AB" w:rsidRPr="00792A6A" w:rsidRDefault="001004AB" w:rsidP="001004AB">
      <w:pPr>
        <w:spacing w:before="100" w:beforeAutospacing="1" w:after="100" w:afterAutospacing="1"/>
        <w:jc w:val="both"/>
        <w:rPr>
          <w:rFonts w:ascii="Arial" w:hAnsi="Arial" w:cs="Arial"/>
          <w:i/>
          <w:color w:val="00B0F0"/>
          <w:sz w:val="22"/>
          <w:szCs w:val="22"/>
        </w:rPr>
      </w:pPr>
      <w:r w:rsidRPr="00792A6A">
        <w:rPr>
          <w:rFonts w:ascii="Arial" w:hAnsi="Arial" w:cs="Arial"/>
          <w:i/>
          <w:color w:val="00B0F0"/>
          <w:sz w:val="22"/>
          <w:szCs w:val="22"/>
        </w:rPr>
        <w:t>N.B. I commi da 961 a 964 della legge di Bilancio 2019 (</w:t>
      </w:r>
      <w:r w:rsidR="00792A6A">
        <w:rPr>
          <w:rFonts w:ascii="Arial" w:hAnsi="Arial" w:cs="Arial"/>
          <w:i/>
          <w:color w:val="00B0F0"/>
          <w:sz w:val="22"/>
          <w:szCs w:val="22"/>
        </w:rPr>
        <w:t xml:space="preserve">n. </w:t>
      </w:r>
      <w:r w:rsidRPr="00792A6A">
        <w:rPr>
          <w:rFonts w:ascii="Arial" w:hAnsi="Arial" w:cs="Arial"/>
          <w:i/>
          <w:color w:val="00B0F0"/>
          <w:sz w:val="22"/>
          <w:szCs w:val="22"/>
        </w:rPr>
        <w:t>145/2018) consentono l’apertura di una tornata di rinegoziazione dei mutui rimasti nella titolarità del Ministero dell’economia e delle finanz</w:t>
      </w:r>
      <w:r w:rsidR="00792A6A">
        <w:rPr>
          <w:rFonts w:ascii="Arial" w:hAnsi="Arial" w:cs="Arial"/>
          <w:i/>
          <w:color w:val="00B0F0"/>
          <w:sz w:val="22"/>
          <w:szCs w:val="22"/>
        </w:rPr>
        <w:t>e</w:t>
      </w:r>
      <w:r w:rsidRPr="00792A6A">
        <w:rPr>
          <w:rFonts w:ascii="Arial" w:hAnsi="Arial" w:cs="Arial"/>
          <w:i/>
          <w:color w:val="00B0F0"/>
          <w:sz w:val="22"/>
          <w:szCs w:val="22"/>
        </w:rPr>
        <w:t xml:space="preserve"> dopo la riforma della Cassa depositi e prestiti del 2003, sui q</w:t>
      </w:r>
      <w:r w:rsidR="00792A6A">
        <w:rPr>
          <w:rFonts w:ascii="Arial" w:hAnsi="Arial" w:cs="Arial"/>
          <w:i/>
          <w:color w:val="00B0F0"/>
          <w:sz w:val="22"/>
          <w:szCs w:val="22"/>
        </w:rPr>
        <w:t>uali Cdp mantiene esclusi</w:t>
      </w:r>
      <w:r w:rsidRPr="00792A6A">
        <w:rPr>
          <w:rFonts w:ascii="Arial" w:hAnsi="Arial" w:cs="Arial"/>
          <w:i/>
          <w:color w:val="00B0F0"/>
          <w:sz w:val="22"/>
          <w:szCs w:val="22"/>
        </w:rPr>
        <w:t xml:space="preserve">vamente la gestione operativa. I destinatari sono i Comuni, le Province e le Città metropolitane. Lo stock complessivo di tali posizioni debitorie è stimato in circa 2,2 </w:t>
      </w:r>
      <w:r w:rsidR="001C1946">
        <w:rPr>
          <w:rFonts w:ascii="Arial" w:hAnsi="Arial" w:cs="Arial"/>
          <w:i/>
          <w:color w:val="00B0F0"/>
          <w:sz w:val="22"/>
          <w:szCs w:val="22"/>
        </w:rPr>
        <w:t>miliardi</w:t>
      </w:r>
      <w:r w:rsidRPr="00792A6A">
        <w:rPr>
          <w:rFonts w:ascii="Arial" w:hAnsi="Arial" w:cs="Arial"/>
          <w:i/>
          <w:color w:val="00B0F0"/>
          <w:sz w:val="22"/>
          <w:szCs w:val="22"/>
        </w:rPr>
        <w:t xml:space="preserve"> di euro. Dalle operazioni di rinegoziazione dovrà derivare una riduzione del valore finanziario delle passività totali; in altri termini l’operazione ora attivata, diversamente da precedenti operazioni di rinegoziazione riguardanti i mutui Cassa depositi e prestiti, ristruttura il debito locale tenendo conto della discesa dei tassi di interesse intervenuta negli ultimi anni, diminuendo l’onere per gli enti per alcune decine di milioni di euro complessivi. </w:t>
      </w:r>
    </w:p>
    <w:p w14:paraId="36E42BC6" w14:textId="77777777" w:rsidR="001004AB" w:rsidRPr="00792A6A" w:rsidRDefault="001004AB" w:rsidP="001004AB">
      <w:pPr>
        <w:pStyle w:val="Default"/>
        <w:jc w:val="both"/>
        <w:rPr>
          <w:rFonts w:ascii="Bookman Old Style" w:hAnsi="Bookman Old Style" w:cs="Bookman Old Style"/>
          <w:i/>
          <w:color w:val="00B0F0"/>
          <w:kern w:val="0"/>
          <w:lang w:eastAsia="it-IT"/>
        </w:rPr>
      </w:pPr>
      <w:r w:rsidRPr="00792A6A">
        <w:rPr>
          <w:rFonts w:ascii="Arial" w:hAnsi="Arial" w:cs="Arial"/>
          <w:i/>
          <w:color w:val="00B0F0"/>
        </w:rPr>
        <w:t>Il comma 963 rimanda ad un decreto di natura non regolamentare del Ministro dell'economia e delle finanze da emanarsi entro il 28 febbraio 2019 l’individuazione dei mutui che saranno oggetto di rinegoziazione, nonché i criteri e le modalità di perfezionamento delle operazioni. La norma precisa altresì che le rinegoziazioni saranno determinate sulla base della curva dei rendimenti di mercato dei titoli di Stato, secondo un piano di ammortamento a tasso fisso e a rate costanti, comprensive di quota capitale e quota interessi.</w:t>
      </w:r>
    </w:p>
    <w:p w14:paraId="6A7016AE" w14:textId="77777777" w:rsidR="001004AB" w:rsidRDefault="001004AB" w:rsidP="001004AB">
      <w:pPr>
        <w:spacing w:before="100" w:beforeAutospacing="1" w:after="100" w:afterAutospacing="1"/>
        <w:jc w:val="both"/>
        <w:rPr>
          <w:rFonts w:ascii="Arial" w:hAnsi="Arial" w:cs="Arial"/>
          <w:color w:val="FF0000"/>
          <w:sz w:val="22"/>
          <w:szCs w:val="22"/>
        </w:rPr>
      </w:pPr>
    </w:p>
    <w:p w14:paraId="6923038D" w14:textId="77777777" w:rsidR="000D5C03" w:rsidRDefault="000D5C03" w:rsidP="001004AB">
      <w:pPr>
        <w:spacing w:before="100" w:beforeAutospacing="1" w:after="100" w:afterAutospacing="1"/>
        <w:jc w:val="both"/>
        <w:rPr>
          <w:rFonts w:ascii="Arial" w:hAnsi="Arial" w:cs="Arial"/>
          <w:color w:val="FF0000"/>
          <w:sz w:val="22"/>
          <w:szCs w:val="22"/>
        </w:rPr>
      </w:pPr>
    </w:p>
    <w:p w14:paraId="7F4C191A" w14:textId="77777777" w:rsidR="000D5C03" w:rsidRDefault="000D5C03" w:rsidP="001004AB">
      <w:pPr>
        <w:spacing w:before="100" w:beforeAutospacing="1" w:after="100" w:afterAutospacing="1"/>
        <w:jc w:val="both"/>
        <w:rPr>
          <w:rFonts w:ascii="Arial" w:hAnsi="Arial" w:cs="Arial"/>
          <w:color w:val="FF0000"/>
          <w:sz w:val="22"/>
          <w:szCs w:val="22"/>
        </w:rPr>
      </w:pPr>
    </w:p>
    <w:p w14:paraId="256BF554" w14:textId="77777777" w:rsidR="000D5C03" w:rsidRDefault="000D5C03" w:rsidP="001004AB">
      <w:pPr>
        <w:spacing w:before="100" w:beforeAutospacing="1" w:after="100" w:afterAutospacing="1"/>
        <w:jc w:val="both"/>
        <w:rPr>
          <w:rFonts w:ascii="Arial" w:hAnsi="Arial" w:cs="Arial"/>
          <w:color w:val="FF0000"/>
          <w:sz w:val="22"/>
          <w:szCs w:val="22"/>
        </w:rPr>
      </w:pPr>
    </w:p>
    <w:p w14:paraId="39AF6D29" w14:textId="77777777" w:rsidR="000D5C03" w:rsidRDefault="000D5C03" w:rsidP="001004AB">
      <w:pPr>
        <w:spacing w:before="100" w:beforeAutospacing="1" w:after="100" w:afterAutospacing="1"/>
        <w:jc w:val="both"/>
        <w:rPr>
          <w:rFonts w:ascii="Arial" w:hAnsi="Arial" w:cs="Arial"/>
          <w:color w:val="FF0000"/>
          <w:sz w:val="22"/>
          <w:szCs w:val="22"/>
        </w:rPr>
      </w:pPr>
    </w:p>
    <w:p w14:paraId="19FB88FA" w14:textId="77777777" w:rsidR="000D5C03" w:rsidRDefault="000D5C03" w:rsidP="001004AB">
      <w:pPr>
        <w:spacing w:before="100" w:beforeAutospacing="1" w:after="100" w:afterAutospacing="1"/>
        <w:jc w:val="both"/>
        <w:rPr>
          <w:rFonts w:ascii="Arial" w:hAnsi="Arial" w:cs="Arial"/>
          <w:color w:val="FF0000"/>
          <w:sz w:val="22"/>
          <w:szCs w:val="22"/>
        </w:rPr>
      </w:pPr>
    </w:p>
    <w:p w14:paraId="61C29272" w14:textId="77777777" w:rsidR="007C28ED" w:rsidRDefault="007C28ED">
      <w:pPr>
        <w:rPr>
          <w:rFonts w:ascii="Arial" w:hAnsi="Arial" w:cs="Arial"/>
          <w:color w:val="FF0000"/>
          <w:sz w:val="22"/>
          <w:szCs w:val="22"/>
        </w:rPr>
      </w:pPr>
      <w:r>
        <w:rPr>
          <w:rFonts w:ascii="Arial" w:hAnsi="Arial" w:cs="Arial"/>
          <w:color w:val="FF0000"/>
          <w:sz w:val="22"/>
          <w:szCs w:val="22"/>
        </w:rPr>
        <w:br w:type="page"/>
      </w:r>
    </w:p>
    <w:p w14:paraId="0078FF07" w14:textId="77777777" w:rsidR="009F6E3E" w:rsidRPr="00D80990" w:rsidRDefault="007F766F">
      <w:pPr>
        <w:pStyle w:val="Titolo1"/>
        <w:shd w:val="clear" w:color="auto" w:fill="B6DDE8" w:themeFill="accent5" w:themeFillTint="66"/>
        <w:rPr>
          <w:sz w:val="32"/>
          <w:szCs w:val="32"/>
        </w:rPr>
      </w:pPr>
      <w:bookmarkStart w:id="82" w:name="_Toc408988076"/>
      <w:bookmarkStart w:id="83" w:name="_Toc535487629"/>
      <w:r w:rsidRPr="00D80990">
        <w:rPr>
          <w:sz w:val="32"/>
          <w:szCs w:val="32"/>
        </w:rPr>
        <w:lastRenderedPageBreak/>
        <w:t>OSSERVAZIONI E SUGGERIMENTI</w:t>
      </w:r>
      <w:bookmarkEnd w:id="82"/>
      <w:bookmarkEnd w:id="83"/>
    </w:p>
    <w:p w14:paraId="3CDC5A54" w14:textId="77777777" w:rsidR="00264EAF" w:rsidRPr="00D80990" w:rsidRDefault="00264EAF" w:rsidP="00264EAF">
      <w:pPr>
        <w:tabs>
          <w:tab w:val="left" w:pos="4820"/>
        </w:tabs>
        <w:jc w:val="both"/>
        <w:rPr>
          <w:rFonts w:ascii="Arial" w:hAnsi="Arial" w:cs="Arial"/>
          <w:sz w:val="22"/>
          <w:szCs w:val="22"/>
        </w:rPr>
      </w:pPr>
      <w:r w:rsidRPr="00D80990">
        <w:rPr>
          <w:rFonts w:ascii="Arial" w:hAnsi="Arial" w:cs="Arial"/>
          <w:sz w:val="22"/>
          <w:szCs w:val="22"/>
        </w:rPr>
        <w:t>L’organo di revisione a conclusione delle verifiche esposte nei punti precedenti considera:</w:t>
      </w:r>
    </w:p>
    <w:p w14:paraId="6C82177D" w14:textId="77777777" w:rsidR="00264EAF" w:rsidRPr="00D80990" w:rsidRDefault="00264EAF" w:rsidP="00264EAF">
      <w:pPr>
        <w:tabs>
          <w:tab w:val="left" w:pos="4820"/>
        </w:tabs>
        <w:jc w:val="both"/>
        <w:rPr>
          <w:rFonts w:ascii="Arial" w:hAnsi="Arial" w:cs="Arial"/>
          <w:sz w:val="20"/>
        </w:rPr>
      </w:pPr>
    </w:p>
    <w:p w14:paraId="55CC0CF2" w14:textId="77777777" w:rsidR="00264EAF" w:rsidRPr="00D80990" w:rsidRDefault="00264EAF" w:rsidP="00264EAF">
      <w:pPr>
        <w:tabs>
          <w:tab w:val="left" w:pos="4820"/>
        </w:tabs>
        <w:jc w:val="both"/>
        <w:rPr>
          <w:rFonts w:ascii="Arial" w:hAnsi="Arial" w:cs="Arial"/>
          <w:b/>
          <w:sz w:val="22"/>
          <w:szCs w:val="22"/>
        </w:rPr>
      </w:pPr>
      <w:r w:rsidRPr="00D80990">
        <w:rPr>
          <w:rFonts w:ascii="Arial" w:hAnsi="Arial" w:cs="Arial"/>
          <w:b/>
          <w:sz w:val="22"/>
          <w:szCs w:val="22"/>
        </w:rPr>
        <w:t xml:space="preserve">a)Riguardo alle previsioni di parte corrente </w:t>
      </w:r>
    </w:p>
    <w:p w14:paraId="1019878B" w14:textId="77777777" w:rsidR="00264EAF" w:rsidRPr="00D80990" w:rsidRDefault="00264EAF" w:rsidP="00264EAF">
      <w:pPr>
        <w:tabs>
          <w:tab w:val="left" w:pos="4820"/>
        </w:tabs>
        <w:spacing w:line="80" w:lineRule="exact"/>
        <w:jc w:val="both"/>
        <w:rPr>
          <w:rFonts w:ascii="Arial" w:hAnsi="Arial" w:cs="Arial"/>
          <w:sz w:val="22"/>
          <w:szCs w:val="22"/>
        </w:rPr>
      </w:pPr>
    </w:p>
    <w:p w14:paraId="3E719AFD" w14:textId="77777777" w:rsidR="00264EAF" w:rsidRPr="00D80990" w:rsidRDefault="00264EAF" w:rsidP="00264EAF">
      <w:pPr>
        <w:tabs>
          <w:tab w:val="left" w:pos="4820"/>
        </w:tabs>
        <w:jc w:val="both"/>
        <w:rPr>
          <w:rFonts w:ascii="Arial" w:hAnsi="Arial" w:cs="Arial"/>
          <w:sz w:val="22"/>
          <w:szCs w:val="22"/>
        </w:rPr>
      </w:pPr>
      <w:r w:rsidRPr="00D80990">
        <w:rPr>
          <w:rFonts w:ascii="Arial" w:hAnsi="Arial" w:cs="Arial"/>
          <w:sz w:val="22"/>
          <w:szCs w:val="22"/>
        </w:rPr>
        <w:t xml:space="preserve">1) Congrue le previsioni di spesa ed attendibili le entrate previste sulla base:  </w:t>
      </w:r>
    </w:p>
    <w:p w14:paraId="2753BE4B" w14:textId="77777777" w:rsidR="00264EAF" w:rsidRPr="007C28ED" w:rsidRDefault="005D6DE8" w:rsidP="00264EAF">
      <w:pPr>
        <w:pStyle w:val="Paragrafoelenco"/>
        <w:numPr>
          <w:ilvl w:val="0"/>
          <w:numId w:val="19"/>
        </w:numPr>
        <w:jc w:val="both"/>
        <w:rPr>
          <w:rFonts w:ascii="Arial" w:hAnsi="Arial" w:cs="Arial"/>
          <w:sz w:val="22"/>
          <w:szCs w:val="22"/>
        </w:rPr>
      </w:pPr>
      <w:r w:rsidRPr="007C28ED">
        <w:rPr>
          <w:rFonts w:ascii="Arial" w:hAnsi="Arial" w:cs="Arial"/>
          <w:sz w:val="22"/>
          <w:szCs w:val="22"/>
        </w:rPr>
        <w:t xml:space="preserve">delle previsioni definitive 2018-2020; </w:t>
      </w:r>
    </w:p>
    <w:p w14:paraId="52B809AE"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salvaguardia degli equilibri effettuata ai sensi dell'art. 193 del TUEL;</w:t>
      </w:r>
    </w:p>
    <w:p w14:paraId="79582828"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modalità di quantificazione e aggiornamento del fondo pluriennale vincolato;</w:t>
      </w:r>
    </w:p>
    <w:p w14:paraId="46097F77"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di eventuali reimputazioni di entrata;</w:t>
      </w:r>
    </w:p>
    <w:p w14:paraId="756BD8A9"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 xml:space="preserve">del bilancio delle aziende speciali, consorzi, istituzioni e società partecipate; </w:t>
      </w:r>
    </w:p>
    <w:p w14:paraId="4563C2D5"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 xml:space="preserve">della valutazione del gettito effettivamente accertabile per i diversi cespiti d’entrata; </w:t>
      </w:r>
    </w:p>
    <w:p w14:paraId="1F362D8A"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dei riflessi delle decisioni già prese e di quelle da effettuare descritte nel DUP;</w:t>
      </w:r>
    </w:p>
    <w:p w14:paraId="7C7DB788"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oneri indotti delle spese in conto capitale;</w:t>
      </w:r>
    </w:p>
    <w:p w14:paraId="7DF6E9A5"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oneri derivanti dalle assunzioni di prestiti.</w:t>
      </w:r>
    </w:p>
    <w:p w14:paraId="046E47EB"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effetti derivanti da spese disposte da leggi, contratti ed atti che obbligano giuridicamente l’ente;</w:t>
      </w:r>
    </w:p>
    <w:p w14:paraId="15C9C848"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effetti derivanti dalla manovra finanziaria che l’ente ha attuato sulle entrate e sulle spese;</w:t>
      </w:r>
    </w:p>
    <w:p w14:paraId="791537B0"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dei vincoli sulle spese e riduzioni dei trasferimenti erariali;</w:t>
      </w:r>
    </w:p>
    <w:p w14:paraId="3E064A5B" w14:textId="77777777" w:rsidR="00264EAF" w:rsidRPr="00792A6A" w:rsidRDefault="000D5C03" w:rsidP="00264EAF">
      <w:pPr>
        <w:pStyle w:val="Paragrafoelenco"/>
        <w:numPr>
          <w:ilvl w:val="0"/>
          <w:numId w:val="19"/>
        </w:numPr>
        <w:jc w:val="both"/>
        <w:rPr>
          <w:rFonts w:ascii="Arial" w:hAnsi="Arial" w:cs="Arial"/>
          <w:color w:val="000000" w:themeColor="text1"/>
          <w:sz w:val="22"/>
          <w:szCs w:val="22"/>
        </w:rPr>
      </w:pPr>
      <w:r>
        <w:rPr>
          <w:rFonts w:ascii="Arial" w:hAnsi="Arial" w:cs="Arial"/>
          <w:sz w:val="22"/>
          <w:szCs w:val="22"/>
        </w:rPr>
        <w:t>del</w:t>
      </w:r>
      <w:r w:rsidR="00264EAF" w:rsidRPr="00D80990">
        <w:rPr>
          <w:rFonts w:ascii="Arial" w:hAnsi="Arial" w:cs="Arial"/>
          <w:sz w:val="22"/>
          <w:szCs w:val="22"/>
        </w:rPr>
        <w:t xml:space="preserve"> rispetto delle norme relative al concorso degli enti locali alla realizzazione degli obiettivi di finanza pubblica</w:t>
      </w:r>
      <w:r w:rsidR="001004AB">
        <w:rPr>
          <w:rFonts w:ascii="Arial" w:hAnsi="Arial" w:cs="Arial"/>
          <w:sz w:val="22"/>
          <w:szCs w:val="22"/>
        </w:rPr>
        <w:t xml:space="preserve"> tenuto </w:t>
      </w:r>
      <w:r w:rsidR="001004AB" w:rsidRPr="00792A6A">
        <w:rPr>
          <w:rFonts w:ascii="Arial" w:hAnsi="Arial" w:cs="Arial"/>
          <w:color w:val="000000" w:themeColor="text1"/>
          <w:sz w:val="22"/>
          <w:szCs w:val="22"/>
        </w:rPr>
        <w:t>conto della Legge 145/2018</w:t>
      </w:r>
      <w:r w:rsidR="00264EAF" w:rsidRPr="00792A6A">
        <w:rPr>
          <w:rFonts w:ascii="Arial" w:hAnsi="Arial" w:cs="Arial"/>
          <w:color w:val="000000" w:themeColor="text1"/>
          <w:sz w:val="22"/>
          <w:szCs w:val="22"/>
        </w:rPr>
        <w:t>;</w:t>
      </w:r>
    </w:p>
    <w:p w14:paraId="125F62CC"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quantificazione del fondo crediti di dubbia esigibilità;</w:t>
      </w:r>
    </w:p>
    <w:p w14:paraId="705DE880" w14:textId="77777777"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quantificazione degli accantonamenti per passività potenziali;</w:t>
      </w:r>
    </w:p>
    <w:p w14:paraId="5DAD5FC6" w14:textId="77777777" w:rsidR="00264EAF" w:rsidRPr="00D80990" w:rsidRDefault="00264EAF" w:rsidP="00264EAF">
      <w:pPr>
        <w:pStyle w:val="Paragrafoelenco"/>
        <w:numPr>
          <w:ilvl w:val="0"/>
          <w:numId w:val="19"/>
        </w:numPr>
        <w:jc w:val="both"/>
        <w:rPr>
          <w:rFonts w:ascii="Arial" w:hAnsi="Arial" w:cs="Arial"/>
          <w:color w:val="0000FF"/>
          <w:sz w:val="22"/>
          <w:szCs w:val="22"/>
        </w:rPr>
      </w:pPr>
      <w:r w:rsidRPr="00D80990">
        <w:rPr>
          <w:rFonts w:ascii="Arial" w:hAnsi="Arial" w:cs="Arial"/>
          <w:sz w:val="22"/>
          <w:szCs w:val="22"/>
        </w:rPr>
        <w:t>dei seguenti elementi</w:t>
      </w:r>
      <w:r w:rsidRPr="00D80990">
        <w:rPr>
          <w:rFonts w:ascii="Arial" w:hAnsi="Arial" w:cs="Arial"/>
          <w:color w:val="00B0F0"/>
          <w:sz w:val="22"/>
          <w:szCs w:val="22"/>
        </w:rPr>
        <w:t>(</w:t>
      </w:r>
      <w:r w:rsidRPr="00D80990">
        <w:rPr>
          <w:rFonts w:ascii="Arial" w:hAnsi="Arial" w:cs="Arial"/>
          <w:i/>
          <w:color w:val="00B0F0"/>
          <w:sz w:val="22"/>
          <w:szCs w:val="22"/>
        </w:rPr>
        <w:t>indicati nella nota integrativa o rilevati dall’organo di revisione nel suo operato</w:t>
      </w:r>
      <w:r w:rsidRPr="00D80990">
        <w:rPr>
          <w:rFonts w:ascii="Arial" w:hAnsi="Arial" w:cs="Arial"/>
          <w:color w:val="00B0F0"/>
          <w:sz w:val="22"/>
          <w:szCs w:val="22"/>
        </w:rPr>
        <w:t>)</w:t>
      </w:r>
      <w:r w:rsidRPr="00D80990">
        <w:rPr>
          <w:rFonts w:ascii="Arial" w:hAnsi="Arial" w:cs="Arial"/>
          <w:color w:val="0000FF"/>
          <w:sz w:val="22"/>
          <w:szCs w:val="22"/>
        </w:rPr>
        <w:t>:</w:t>
      </w:r>
    </w:p>
    <w:p w14:paraId="5F4010B6" w14:textId="77777777" w:rsidR="00264EAF" w:rsidRPr="00D80990" w:rsidRDefault="00264EAF" w:rsidP="00264EAF">
      <w:pPr>
        <w:jc w:val="both"/>
        <w:rPr>
          <w:rFonts w:ascii="Arial" w:hAnsi="Arial" w:cs="Arial"/>
          <w:color w:val="0000FF"/>
          <w:sz w:val="20"/>
        </w:rPr>
      </w:pPr>
    </w:p>
    <w:p w14:paraId="37CDF188" w14:textId="77777777" w:rsidR="00264EAF" w:rsidRPr="00D80990" w:rsidRDefault="00264EAF" w:rsidP="00264EAF">
      <w:pPr>
        <w:tabs>
          <w:tab w:val="left" w:pos="4820"/>
        </w:tabs>
        <w:spacing w:line="80" w:lineRule="exact"/>
        <w:rPr>
          <w:rFonts w:ascii="Arial" w:hAnsi="Arial" w:cs="Arial"/>
          <w:sz w:val="20"/>
        </w:rPr>
      </w:pPr>
    </w:p>
    <w:p w14:paraId="72B7B8F5"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14:paraId="0D3F84F2"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p>
    <w:p w14:paraId="58DBE7CB" w14:textId="77777777"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0"/>
          <w:szCs w:val="18"/>
        </w:rPr>
        <w:t xml:space="preserve">1.bis) </w:t>
      </w:r>
      <w:r w:rsidRPr="00D80990">
        <w:rPr>
          <w:rFonts w:ascii="Arial" w:hAnsi="Arial" w:cs="Arial"/>
          <w:sz w:val="22"/>
          <w:szCs w:val="22"/>
        </w:rPr>
        <w:t xml:space="preserve">Che le previsioni di entrata e spesa corrente, pur complessivamente attendibili e congrue, devono essere verificate relativamente alle seguenti voci, tenendo conto delle proposte e suggerimenti dell’organo di revisione, adottando immediato provvedimento di riequilibrio nel caso si rivelassero eccedenti o insufficienti per mantenere l'equilibrio economico-finanziario complessivo: </w:t>
      </w:r>
    </w:p>
    <w:p w14:paraId="07583336" w14:textId="77777777"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2"/>
          <w:szCs w:val="22"/>
        </w:rPr>
      </w:pPr>
    </w:p>
    <w:p w14:paraId="5DB157A3"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entrate </w:t>
      </w:r>
      <w:r w:rsidRPr="00D80990">
        <w:rPr>
          <w:rFonts w:ascii="Arial" w:hAnsi="Arial" w:cs="Arial"/>
          <w:sz w:val="22"/>
          <w:szCs w:val="22"/>
        </w:rPr>
        <w:tab/>
      </w:r>
      <w:r w:rsidRPr="00D80990">
        <w:rPr>
          <w:rFonts w:ascii="Arial" w:hAnsi="Arial" w:cs="Arial"/>
          <w:sz w:val="22"/>
          <w:szCs w:val="22"/>
        </w:rPr>
        <w:tab/>
        <w:t xml:space="preserve">             spese </w:t>
      </w:r>
    </w:p>
    <w:p w14:paraId="777BEAD1"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w:t>
      </w:r>
      <w:r w:rsidRPr="00D80990">
        <w:rPr>
          <w:rFonts w:ascii="Arial" w:hAnsi="Arial" w:cs="Arial"/>
          <w:sz w:val="22"/>
          <w:szCs w:val="22"/>
        </w:rPr>
        <w:tab/>
      </w:r>
      <w:r w:rsidRPr="00D80990">
        <w:rPr>
          <w:rFonts w:ascii="Arial" w:hAnsi="Arial" w:cs="Arial"/>
          <w:sz w:val="22"/>
          <w:szCs w:val="22"/>
        </w:rPr>
        <w:tab/>
        <w:t>.................</w:t>
      </w:r>
    </w:p>
    <w:p w14:paraId="67EC55A0" w14:textId="77777777" w:rsidR="00264EAF" w:rsidRPr="00D80990" w:rsidRDefault="00264EAF" w:rsidP="00264EAF">
      <w:pPr>
        <w:tabs>
          <w:tab w:val="left" w:pos="4820"/>
        </w:tabs>
        <w:jc w:val="both"/>
        <w:rPr>
          <w:rFonts w:ascii="Arial" w:hAnsi="Arial" w:cs="Arial"/>
          <w:i/>
          <w:sz w:val="16"/>
        </w:rPr>
      </w:pPr>
    </w:p>
    <w:p w14:paraId="709DC525" w14:textId="77777777" w:rsidR="00264EAF" w:rsidRPr="00D80990" w:rsidRDefault="00264EAF" w:rsidP="00264EAF">
      <w:pPr>
        <w:tabs>
          <w:tab w:val="left" w:pos="4820"/>
        </w:tabs>
        <w:jc w:val="both"/>
        <w:rPr>
          <w:rFonts w:ascii="Arial" w:hAnsi="Arial" w:cs="Arial"/>
          <w:i/>
          <w:color w:val="00B0F0"/>
          <w:sz w:val="20"/>
          <w:szCs w:val="20"/>
          <w:u w:val="single"/>
        </w:rPr>
      </w:pPr>
      <w:r w:rsidRPr="00D80990">
        <w:rPr>
          <w:rFonts w:ascii="Arial" w:hAnsi="Arial" w:cs="Arial"/>
          <w:i/>
          <w:color w:val="00B0F0"/>
          <w:sz w:val="20"/>
          <w:szCs w:val="20"/>
        </w:rPr>
        <w:t>(N.B. Proporre il termine del 30/6/201</w:t>
      </w:r>
      <w:r>
        <w:rPr>
          <w:rFonts w:ascii="Arial" w:hAnsi="Arial" w:cs="Arial"/>
          <w:i/>
          <w:color w:val="00B0F0"/>
          <w:sz w:val="20"/>
          <w:szCs w:val="20"/>
        </w:rPr>
        <w:t>9</w:t>
      </w:r>
      <w:r w:rsidRPr="00D80990">
        <w:rPr>
          <w:rFonts w:ascii="Arial" w:hAnsi="Arial" w:cs="Arial"/>
          <w:i/>
          <w:color w:val="00B0F0"/>
          <w:sz w:val="20"/>
          <w:szCs w:val="20"/>
        </w:rPr>
        <w:t>, per la verifica delle entrate eventuali e indicare quali spese sono autorizzate a condizione. Esempi di entrate eventuali potrebbero essere: gettito arretrato di tributi aboliti, entrate per recupero evasione tributaria, IMU, TASI e TARI, fondo di solidarietà, trasferimenti di enti o privati, contributo per rilascio permesso di costruire, sanzioni per contravvenzione al codice della strada, dividendi da società partecipate</w:t>
      </w:r>
      <w:r w:rsidRPr="00D80990">
        <w:rPr>
          <w:rFonts w:ascii="Arial" w:hAnsi="Arial" w:cs="Arial"/>
          <w:i/>
          <w:color w:val="00B0F0"/>
          <w:sz w:val="20"/>
          <w:szCs w:val="20"/>
          <w:u w:val="single"/>
        </w:rPr>
        <w:t>)</w:t>
      </w:r>
    </w:p>
    <w:p w14:paraId="6FA11D77" w14:textId="77777777" w:rsidR="00264EAF" w:rsidRPr="00D80990" w:rsidRDefault="00264EAF" w:rsidP="00264EAF">
      <w:pPr>
        <w:tabs>
          <w:tab w:val="left" w:pos="4820"/>
        </w:tabs>
        <w:jc w:val="both"/>
        <w:rPr>
          <w:rFonts w:ascii="Arial" w:hAnsi="Arial" w:cs="Arial"/>
          <w:color w:val="0000FF"/>
        </w:rPr>
      </w:pPr>
    </w:p>
    <w:p w14:paraId="12F45658" w14:textId="77777777" w:rsidR="00264EAF" w:rsidRPr="00D80990" w:rsidRDefault="00264EAF" w:rsidP="00264EAF">
      <w:pPr>
        <w:tabs>
          <w:tab w:val="left" w:pos="4820"/>
        </w:tabs>
        <w:spacing w:line="80" w:lineRule="exact"/>
        <w:rPr>
          <w:rFonts w:ascii="Arial" w:hAnsi="Arial" w:cs="Arial"/>
          <w:color w:val="0000FF"/>
          <w:sz w:val="20"/>
        </w:rPr>
      </w:pPr>
    </w:p>
    <w:p w14:paraId="42A1280A"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14:paraId="3B89D8B5"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p>
    <w:p w14:paraId="324B5FC3" w14:textId="77777777"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0"/>
          <w:szCs w:val="18"/>
        </w:rPr>
        <w:t xml:space="preserve">1.ter) </w:t>
      </w:r>
      <w:r w:rsidRPr="00D80990">
        <w:rPr>
          <w:rFonts w:ascii="Arial" w:hAnsi="Arial" w:cs="Arial"/>
          <w:sz w:val="22"/>
          <w:szCs w:val="22"/>
        </w:rPr>
        <w:t>Che la congruità e l'attendibilità delle seguenti previsioni non è fondata su provvedimenti che consentono di ritenere attendibile l’entrata, mentre la spesa prevista non appare congrua tenendo conto:</w:t>
      </w:r>
    </w:p>
    <w:p w14:paraId="10A584AC" w14:textId="77777777"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delle obbligazioni assunte e da assumere in relazione agli obiettivi stabiliti negli atti di programmazione dell’ente;</w:t>
      </w:r>
    </w:p>
    <w:p w14:paraId="38DF833E" w14:textId="77777777"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ai vincoli di finanza pubblica;</w:t>
      </w:r>
    </w:p>
    <w:p w14:paraId="71BAA34F" w14:textId="77777777"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alla necessità di finanziare o ricapitalizzare i seguenti organismi partecipati …….;</w:t>
      </w:r>
    </w:p>
    <w:p w14:paraId="2017F9F9" w14:textId="77777777"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alla necessità di aumentare il fondo crediti di dubbia esigibilità  in relazione all’andamento storico degli accertamenti inesigibili;</w:t>
      </w:r>
    </w:p>
    <w:p w14:paraId="52DD8B11" w14:textId="77777777"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lastRenderedPageBreak/>
        <w:t>alla necessità di finanziare debiti fuori bilancio o passività potenziali probabili.</w:t>
      </w:r>
    </w:p>
    <w:p w14:paraId="182CDB34" w14:textId="77777777" w:rsidR="00264EAF" w:rsidRPr="00D80990" w:rsidRDefault="00264EAF" w:rsidP="00264EAF">
      <w:pPr>
        <w:pBdr>
          <w:top w:val="outset" w:sz="6" w:space="1" w:color="auto"/>
          <w:left w:val="outset" w:sz="6" w:space="4" w:color="auto"/>
          <w:bottom w:val="inset" w:sz="6" w:space="1" w:color="auto"/>
          <w:right w:val="inset" w:sz="6" w:space="4" w:color="auto"/>
        </w:pBdr>
        <w:spacing w:before="120"/>
        <w:jc w:val="both"/>
        <w:rPr>
          <w:rFonts w:ascii="Arial" w:hAnsi="Arial" w:cs="Arial"/>
          <w:sz w:val="22"/>
          <w:szCs w:val="22"/>
        </w:rPr>
      </w:pPr>
      <w:r w:rsidRPr="00D80990">
        <w:rPr>
          <w:rFonts w:ascii="Arial" w:hAnsi="Arial" w:cs="Arial"/>
          <w:sz w:val="22"/>
          <w:szCs w:val="22"/>
        </w:rPr>
        <w:t xml:space="preserve">per cui si invita il Consiglio a adottare le misure correttive o i provvedimenti di seguito indicati:  </w:t>
      </w:r>
    </w:p>
    <w:p w14:paraId="0BE20D12" w14:textId="77777777"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2"/>
          <w:szCs w:val="22"/>
        </w:rPr>
      </w:pPr>
    </w:p>
    <w:p w14:paraId="7A1C2156"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entrate inattendibili</w:t>
      </w:r>
      <w:r w:rsidRPr="00D80990">
        <w:rPr>
          <w:rFonts w:ascii="Arial" w:hAnsi="Arial" w:cs="Arial"/>
          <w:sz w:val="22"/>
          <w:szCs w:val="22"/>
        </w:rPr>
        <w:tab/>
      </w:r>
      <w:r w:rsidRPr="00D80990">
        <w:rPr>
          <w:rFonts w:ascii="Arial" w:hAnsi="Arial" w:cs="Arial"/>
          <w:sz w:val="22"/>
          <w:szCs w:val="22"/>
        </w:rPr>
        <w:tab/>
        <w:t>spese non congrue</w:t>
      </w:r>
    </w:p>
    <w:p w14:paraId="2437CA1E"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w:t>
      </w:r>
      <w:r w:rsidRPr="00D80990">
        <w:rPr>
          <w:rFonts w:ascii="Arial" w:hAnsi="Arial" w:cs="Arial"/>
          <w:sz w:val="22"/>
          <w:szCs w:val="22"/>
        </w:rPr>
        <w:tab/>
      </w:r>
      <w:r w:rsidRPr="00D80990">
        <w:rPr>
          <w:rFonts w:ascii="Arial" w:hAnsi="Arial" w:cs="Arial"/>
          <w:sz w:val="22"/>
          <w:szCs w:val="22"/>
        </w:rPr>
        <w:tab/>
        <w:t>..........................</w:t>
      </w:r>
    </w:p>
    <w:p w14:paraId="0B51ADB4" w14:textId="77777777"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0"/>
          <w:szCs w:val="18"/>
        </w:rPr>
      </w:pPr>
    </w:p>
    <w:p w14:paraId="57818CD5" w14:textId="77777777" w:rsidR="00264EAF" w:rsidRPr="00D80990" w:rsidRDefault="00264EAF" w:rsidP="00264EAF">
      <w:pPr>
        <w:tabs>
          <w:tab w:val="left" w:pos="4820"/>
        </w:tabs>
        <w:spacing w:line="80" w:lineRule="exact"/>
        <w:rPr>
          <w:rFonts w:ascii="Arial" w:hAnsi="Arial" w:cs="Arial"/>
          <w:sz w:val="20"/>
        </w:rPr>
      </w:pPr>
    </w:p>
    <w:p w14:paraId="2004BB4C" w14:textId="77777777" w:rsidR="00264EAF" w:rsidRPr="00D80990" w:rsidRDefault="00264EAF" w:rsidP="00264EAF">
      <w:pPr>
        <w:tabs>
          <w:tab w:val="left" w:pos="4820"/>
        </w:tabs>
        <w:jc w:val="both"/>
        <w:rPr>
          <w:rFonts w:ascii="Arial" w:hAnsi="Arial" w:cs="Arial"/>
          <w:color w:val="0000FF"/>
          <w:sz w:val="20"/>
        </w:rPr>
      </w:pPr>
    </w:p>
    <w:p w14:paraId="70920602" w14:textId="77777777" w:rsidR="00264EAF" w:rsidRPr="00D80990" w:rsidRDefault="00264EAF" w:rsidP="00264EAF">
      <w:pPr>
        <w:tabs>
          <w:tab w:val="left" w:pos="4820"/>
        </w:tabs>
        <w:jc w:val="both"/>
        <w:rPr>
          <w:rFonts w:ascii="Arial" w:hAnsi="Arial" w:cs="Arial"/>
          <w:i/>
          <w:color w:val="00B0F0"/>
          <w:sz w:val="20"/>
        </w:rPr>
      </w:pPr>
      <w:r w:rsidRPr="00D80990">
        <w:rPr>
          <w:rFonts w:ascii="Arial" w:hAnsi="Arial" w:cs="Arial"/>
          <w:i/>
          <w:color w:val="00B0F0"/>
          <w:sz w:val="20"/>
        </w:rPr>
        <w:t>(N.B. Suggerire le modalità tecniche e le misure da adottarsi con urgenza, per assicurare gli equilibri prevision</w:t>
      </w:r>
      <w:r>
        <w:rPr>
          <w:rFonts w:ascii="Arial" w:hAnsi="Arial" w:cs="Arial"/>
          <w:i/>
          <w:color w:val="00B0F0"/>
          <w:sz w:val="20"/>
        </w:rPr>
        <w:t>al</w:t>
      </w:r>
      <w:r w:rsidRPr="00D80990">
        <w:rPr>
          <w:rFonts w:ascii="Arial" w:hAnsi="Arial" w:cs="Arial"/>
          <w:i/>
          <w:color w:val="00B0F0"/>
          <w:sz w:val="20"/>
        </w:rPr>
        <w:t>i o gestionali, quali ad esempio:</w:t>
      </w:r>
    </w:p>
    <w:p w14:paraId="2CFD6BCB" w14:textId="77777777" w:rsidR="00264EAF" w:rsidRPr="00D80990" w:rsidRDefault="00264EAF" w:rsidP="00264EAF">
      <w:pPr>
        <w:numPr>
          <w:ilvl w:val="0"/>
          <w:numId w:val="5"/>
        </w:numPr>
        <w:tabs>
          <w:tab w:val="left" w:pos="4820"/>
        </w:tabs>
        <w:spacing w:before="120"/>
        <w:ind w:left="357" w:hanging="357"/>
        <w:jc w:val="both"/>
        <w:rPr>
          <w:rFonts w:ascii="Arial" w:hAnsi="Arial" w:cs="Arial"/>
          <w:i/>
          <w:color w:val="00B0F0"/>
          <w:sz w:val="20"/>
        </w:rPr>
      </w:pPr>
      <w:r w:rsidRPr="00D80990">
        <w:rPr>
          <w:rFonts w:ascii="Arial" w:hAnsi="Arial" w:cs="Arial"/>
          <w:i/>
          <w:color w:val="00B0F0"/>
          <w:sz w:val="20"/>
        </w:rPr>
        <w:t>per le entrate, atti deliberativi di determinazione aliquote, tariffe, canoni ecc., atti d’indirizzo per azioni di recupero di gettito e comunque da riportare a ragionevole certezza la previsione;</w:t>
      </w:r>
    </w:p>
    <w:p w14:paraId="111D2856" w14:textId="77777777" w:rsidR="00264EAF" w:rsidRPr="00D80990" w:rsidRDefault="00264EAF" w:rsidP="00264EAF">
      <w:pPr>
        <w:numPr>
          <w:ilvl w:val="0"/>
          <w:numId w:val="7"/>
        </w:numPr>
        <w:tabs>
          <w:tab w:val="left" w:pos="4820"/>
        </w:tabs>
        <w:spacing w:before="120"/>
        <w:ind w:left="357" w:hanging="357"/>
        <w:jc w:val="both"/>
        <w:rPr>
          <w:rFonts w:ascii="Arial" w:hAnsi="Arial" w:cs="Arial"/>
          <w:i/>
          <w:color w:val="00B0F0"/>
          <w:sz w:val="20"/>
        </w:rPr>
      </w:pPr>
      <w:r w:rsidRPr="00D80990">
        <w:rPr>
          <w:rFonts w:ascii="Arial" w:hAnsi="Arial" w:cs="Arial"/>
          <w:i/>
          <w:color w:val="00B0F0"/>
          <w:sz w:val="20"/>
        </w:rPr>
        <w:t xml:space="preserve"> per le spese: a) adeguamento delle previsioni dei fattori produttivi consolidati ed assolutamente necessari per assicurare il funzionamento dei servizi gestiti, quali oneri per il personale derivanti da modifiche normative e contrattuali, spese derivanti da disposizioni di legge, oneri finanziari, ammortamenti, accantonamenti, manutenzioni e riparazioni non rinviabili, per finanziamento o ricapitalizzazione di organismi partecipati; b) riduzione delle previsioni di spesa per fattori produttivi non strettamente necessari oppure rinviabili ad esercizi successivi; c) esternalizzazione di funzioni o servizi pubblici.)</w:t>
      </w:r>
    </w:p>
    <w:p w14:paraId="26A119B3" w14:textId="77777777" w:rsidR="00264EAF" w:rsidRPr="00D80990" w:rsidRDefault="00264EAF" w:rsidP="00264EAF">
      <w:pPr>
        <w:tabs>
          <w:tab w:val="left" w:pos="4820"/>
        </w:tabs>
        <w:rPr>
          <w:rFonts w:ascii="Arial" w:hAnsi="Arial" w:cs="Arial"/>
          <w:color w:val="0000FF"/>
          <w:sz w:val="20"/>
        </w:rPr>
      </w:pPr>
    </w:p>
    <w:p w14:paraId="0D63B32F" w14:textId="77777777" w:rsidR="00264EAF" w:rsidRPr="00D80990" w:rsidRDefault="00264EAF" w:rsidP="00264EAF">
      <w:pPr>
        <w:rPr>
          <w:rFonts w:ascii="Arial" w:hAnsi="Arial" w:cs="Arial"/>
          <w:b/>
          <w:sz w:val="22"/>
          <w:szCs w:val="22"/>
        </w:rPr>
      </w:pPr>
      <w:r w:rsidRPr="00D80990">
        <w:rPr>
          <w:rFonts w:ascii="Arial" w:hAnsi="Arial" w:cs="Arial"/>
          <w:b/>
          <w:sz w:val="22"/>
          <w:szCs w:val="22"/>
        </w:rPr>
        <w:t>b) Riguardo alle previsioni per investimenti</w:t>
      </w:r>
    </w:p>
    <w:p w14:paraId="44DDCCAB" w14:textId="77777777" w:rsidR="00264EAF" w:rsidRPr="00D80990" w:rsidRDefault="00264EAF" w:rsidP="00264EAF">
      <w:pPr>
        <w:tabs>
          <w:tab w:val="left" w:pos="4820"/>
        </w:tabs>
        <w:spacing w:line="80" w:lineRule="exact"/>
        <w:rPr>
          <w:rFonts w:ascii="Arial" w:hAnsi="Arial" w:cs="Arial"/>
          <w:sz w:val="22"/>
          <w:szCs w:val="22"/>
        </w:rPr>
      </w:pPr>
    </w:p>
    <w:p w14:paraId="0C01979D"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Conforme la previsione dei mezzi di copertura finanziaria e delle spese per investimenti, compreso la modalità di quantificazione e aggiornamento del fondo pluriennale vincolato e le reimputazioni di entrata, all’elenco annuale degli interventi ed al programma triennale dei lavori pubblici, allegati al bilancio.</w:t>
      </w:r>
    </w:p>
    <w:p w14:paraId="34220D32"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Coerente la previsione di spesa per investimenti con il programma amministrativo, il DUP, il piano triennale dei lavori pubblici e il crono programma dei pagamenti, ritenendo che la realizzazione degli interventi previsti sarà possibile a condizione che siano concretamente reperiti, in particolare i seguenti finanziamenti:…………………………</w:t>
      </w:r>
    </w:p>
    <w:p w14:paraId="1961029F" w14:textId="77777777" w:rsidR="00264EAF" w:rsidRPr="00D80990" w:rsidRDefault="00264EAF" w:rsidP="00264EAF">
      <w:pPr>
        <w:rPr>
          <w:rFonts w:ascii="Arial" w:hAnsi="Arial" w:cs="Arial"/>
          <w:sz w:val="20"/>
        </w:rPr>
      </w:pPr>
    </w:p>
    <w:p w14:paraId="39AE3DDE" w14:textId="77777777" w:rsidR="00264EAF" w:rsidRPr="007C28ED" w:rsidRDefault="00264EAF" w:rsidP="00264EAF">
      <w:pPr>
        <w:pStyle w:val="Paragrafoelenco"/>
        <w:numPr>
          <w:ilvl w:val="0"/>
          <w:numId w:val="12"/>
        </w:numPr>
        <w:rPr>
          <w:rFonts w:ascii="Arial" w:hAnsi="Arial" w:cs="Arial"/>
          <w:b/>
          <w:sz w:val="22"/>
          <w:szCs w:val="22"/>
        </w:rPr>
      </w:pPr>
      <w:r w:rsidRPr="00D80990">
        <w:rPr>
          <w:rFonts w:ascii="Arial" w:hAnsi="Arial" w:cs="Arial"/>
          <w:b/>
          <w:sz w:val="22"/>
          <w:szCs w:val="22"/>
        </w:rPr>
        <w:t xml:space="preserve">Riguardo agli </w:t>
      </w:r>
      <w:r w:rsidR="00B213B9" w:rsidRPr="007C28ED">
        <w:rPr>
          <w:rFonts w:ascii="Arial" w:hAnsi="Arial" w:cs="Arial"/>
          <w:b/>
          <w:sz w:val="22"/>
          <w:szCs w:val="22"/>
        </w:rPr>
        <w:t xml:space="preserve">equilibri </w:t>
      </w:r>
      <w:r w:rsidRPr="007C28ED">
        <w:rPr>
          <w:rFonts w:ascii="Arial" w:hAnsi="Arial" w:cs="Arial"/>
          <w:b/>
          <w:sz w:val="22"/>
          <w:szCs w:val="22"/>
        </w:rPr>
        <w:t xml:space="preserve">di finanza pubblica </w:t>
      </w:r>
    </w:p>
    <w:p w14:paraId="6C8838A6" w14:textId="77777777" w:rsidR="005D6DE8" w:rsidRPr="007C28ED" w:rsidRDefault="005D6DE8" w:rsidP="007C28ED">
      <w:pPr>
        <w:spacing w:after="120"/>
        <w:rPr>
          <w:rFonts w:ascii="Arial" w:hAnsi="Arial" w:cs="Arial"/>
          <w:strike/>
          <w:sz w:val="22"/>
          <w:szCs w:val="22"/>
        </w:rPr>
      </w:pPr>
      <w:r w:rsidRPr="007C28ED">
        <w:rPr>
          <w:rFonts w:ascii="Arial" w:hAnsi="Arial" w:cs="Arial"/>
          <w:sz w:val="22"/>
          <w:szCs w:val="22"/>
        </w:rPr>
        <w:t xml:space="preserve">Con le previsioni contenute nello schema di bilancio, l’ente può conseguire gli equilibri di finanza pubblica nel triennio 2019-2021, così come definiti dalla Legge di Bilancio </w:t>
      </w:r>
      <w:r w:rsidR="00B213B9" w:rsidRPr="007C28ED">
        <w:rPr>
          <w:rFonts w:ascii="Arial" w:hAnsi="Arial" w:cs="Arial"/>
          <w:sz w:val="22"/>
          <w:szCs w:val="22"/>
        </w:rPr>
        <w:t>n.</w:t>
      </w:r>
      <w:r w:rsidRPr="007C28ED">
        <w:rPr>
          <w:rFonts w:ascii="Arial" w:hAnsi="Arial" w:cs="Arial"/>
          <w:sz w:val="22"/>
          <w:szCs w:val="22"/>
        </w:rPr>
        <w:t xml:space="preserve">145/2018. </w:t>
      </w:r>
    </w:p>
    <w:p w14:paraId="40F231B0" w14:textId="77777777" w:rsidR="00264EAF" w:rsidRPr="00D80990" w:rsidRDefault="00264EAF" w:rsidP="00264EAF">
      <w:pPr>
        <w:rPr>
          <w:rFonts w:ascii="Arial" w:hAnsi="Arial" w:cs="Arial"/>
          <w:sz w:val="22"/>
          <w:szCs w:val="22"/>
        </w:rPr>
      </w:pPr>
    </w:p>
    <w:p w14:paraId="266910AB"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14:paraId="27B140E5" w14:textId="77777777" w:rsidR="00264EAF" w:rsidRPr="00D80990" w:rsidRDefault="00264EAF" w:rsidP="00264EAF">
      <w:pPr>
        <w:pBdr>
          <w:top w:val="outset" w:sz="6" w:space="1" w:color="auto"/>
          <w:left w:val="outset" w:sz="6" w:space="4" w:color="auto"/>
          <w:bottom w:val="inset" w:sz="6" w:space="1" w:color="auto"/>
          <w:right w:val="inset" w:sz="6" w:space="4" w:color="auto"/>
        </w:pBdr>
        <w:tabs>
          <w:tab w:val="center" w:pos="4819"/>
          <w:tab w:val="left" w:pos="6255"/>
        </w:tabs>
        <w:rPr>
          <w:rFonts w:ascii="Arial" w:hAnsi="Arial" w:cs="Arial"/>
          <w:b/>
          <w:i/>
          <w:color w:val="0000FF"/>
          <w:sz w:val="20"/>
          <w:szCs w:val="18"/>
        </w:rPr>
      </w:pPr>
      <w:r w:rsidRPr="00D80990">
        <w:rPr>
          <w:rFonts w:ascii="Arial" w:hAnsi="Arial" w:cs="Arial"/>
          <w:b/>
          <w:i/>
          <w:color w:val="0000FF"/>
          <w:sz w:val="20"/>
          <w:szCs w:val="18"/>
        </w:rPr>
        <w:tab/>
      </w:r>
    </w:p>
    <w:p w14:paraId="561363B0" w14:textId="77777777" w:rsidR="00264EAF" w:rsidRPr="00792A6A" w:rsidRDefault="00264EAF" w:rsidP="001004AB">
      <w:pPr>
        <w:pBdr>
          <w:top w:val="outset" w:sz="6" w:space="1" w:color="auto"/>
          <w:left w:val="outset" w:sz="6" w:space="4" w:color="auto"/>
          <w:bottom w:val="inset" w:sz="6" w:space="1" w:color="auto"/>
          <w:right w:val="inset" w:sz="6" w:space="4" w:color="auto"/>
        </w:pBdr>
        <w:jc w:val="both"/>
        <w:rPr>
          <w:rFonts w:ascii="Arial" w:hAnsi="Arial" w:cs="Arial"/>
          <w:color w:val="000000" w:themeColor="text1"/>
          <w:sz w:val="22"/>
          <w:szCs w:val="22"/>
        </w:rPr>
      </w:pPr>
      <w:r w:rsidRPr="00792A6A">
        <w:rPr>
          <w:rFonts w:ascii="Arial" w:hAnsi="Arial" w:cs="Arial"/>
          <w:color w:val="000000" w:themeColor="text1"/>
          <w:sz w:val="22"/>
          <w:szCs w:val="22"/>
        </w:rPr>
        <w:t xml:space="preserve">L’Organo di revisione </w:t>
      </w:r>
      <w:r w:rsidR="001004AB" w:rsidRPr="00792A6A">
        <w:rPr>
          <w:rFonts w:ascii="Arial" w:hAnsi="Arial" w:cs="Arial"/>
          <w:color w:val="000000" w:themeColor="text1"/>
          <w:sz w:val="22"/>
          <w:szCs w:val="22"/>
        </w:rPr>
        <w:t>ritiene che le previsioni non consentano di rispettare gli equilibri di finanza pubblica come definiti dalla Legge di Bilancio n. 145/2018.</w:t>
      </w:r>
    </w:p>
    <w:p w14:paraId="40E43041" w14:textId="77777777" w:rsidR="00264EAF" w:rsidRPr="00792A6A" w:rsidRDefault="00264EAF" w:rsidP="00264EAF">
      <w:pPr>
        <w:pBdr>
          <w:top w:val="outset" w:sz="6" w:space="1" w:color="auto"/>
          <w:left w:val="outset" w:sz="6" w:space="4" w:color="auto"/>
          <w:bottom w:val="inset" w:sz="6" w:space="1" w:color="auto"/>
          <w:right w:val="inset" w:sz="6" w:space="4" w:color="auto"/>
        </w:pBdr>
        <w:jc w:val="both"/>
        <w:rPr>
          <w:rFonts w:ascii="Arial" w:hAnsi="Arial" w:cs="Arial"/>
          <w:i/>
          <w:color w:val="000000" w:themeColor="text1"/>
          <w:sz w:val="20"/>
          <w:szCs w:val="18"/>
        </w:rPr>
      </w:pPr>
    </w:p>
    <w:p w14:paraId="0D1BF4E0" w14:textId="77777777" w:rsidR="00264EAF" w:rsidRPr="00D80990" w:rsidRDefault="00264EAF" w:rsidP="00264EAF">
      <w:pPr>
        <w:jc w:val="both"/>
        <w:rPr>
          <w:rFonts w:ascii="Arial" w:hAnsi="Arial" w:cs="Arial"/>
          <w:sz w:val="22"/>
          <w:szCs w:val="22"/>
        </w:rPr>
      </w:pPr>
    </w:p>
    <w:p w14:paraId="048DDEE4" w14:textId="77777777" w:rsidR="00264EAF" w:rsidRPr="00D80990" w:rsidRDefault="00264EAF" w:rsidP="00264EAF">
      <w:pPr>
        <w:pStyle w:val="Paragrafoelenco"/>
        <w:numPr>
          <w:ilvl w:val="0"/>
          <w:numId w:val="12"/>
        </w:numPr>
        <w:jc w:val="both"/>
        <w:rPr>
          <w:rFonts w:ascii="Arial" w:hAnsi="Arial" w:cs="Arial"/>
          <w:b/>
          <w:sz w:val="22"/>
          <w:szCs w:val="22"/>
        </w:rPr>
      </w:pPr>
      <w:r w:rsidRPr="00D80990">
        <w:rPr>
          <w:rFonts w:ascii="Arial" w:hAnsi="Arial" w:cs="Arial"/>
          <w:b/>
          <w:sz w:val="22"/>
          <w:szCs w:val="22"/>
        </w:rPr>
        <w:t>Riguardo alle previsioni di cassa</w:t>
      </w:r>
    </w:p>
    <w:p w14:paraId="51AC7611"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Le previsioni di cassa sono attendibili in relazione all’esigibilità dei residui attivi e delle entrate di competenza, tenuto conto della media degli incassi degli ultimi 5 anni, e congrue in relazione al rispetto dei termini di pagamento con riferimento ai cronoprogrammi e alle scadenze di legge e agli accantonamenti al FCDE.</w:t>
      </w:r>
    </w:p>
    <w:p w14:paraId="603A4E94" w14:textId="77777777" w:rsidR="00264EAF" w:rsidRPr="00D80990" w:rsidRDefault="00264EAF" w:rsidP="00264EAF">
      <w:pPr>
        <w:jc w:val="both"/>
        <w:rPr>
          <w:rFonts w:ascii="Arial" w:hAnsi="Arial" w:cs="Arial"/>
          <w:sz w:val="22"/>
          <w:szCs w:val="22"/>
        </w:rPr>
      </w:pPr>
    </w:p>
    <w:p w14:paraId="37E56CE4" w14:textId="77777777" w:rsidR="00264EAF" w:rsidRPr="00D80990" w:rsidRDefault="00264EAF" w:rsidP="00264EAF">
      <w:pPr>
        <w:pBdr>
          <w:top w:val="single" w:sz="4" w:space="1" w:color="auto"/>
          <w:left w:val="single" w:sz="4" w:space="4" w:color="auto"/>
          <w:bottom w:val="single" w:sz="4" w:space="1" w:color="auto"/>
          <w:right w:val="single" w:sz="4" w:space="4" w:color="auto"/>
        </w:pBdr>
        <w:jc w:val="both"/>
        <w:rPr>
          <w:rFonts w:ascii="Arial" w:hAnsi="Arial" w:cs="Arial"/>
          <w:i/>
          <w:sz w:val="20"/>
          <w:szCs w:val="20"/>
        </w:rPr>
      </w:pPr>
      <w:r w:rsidRPr="00D80990">
        <w:rPr>
          <w:rFonts w:ascii="Arial" w:hAnsi="Arial" w:cs="Arial"/>
          <w:i/>
          <w:sz w:val="20"/>
          <w:szCs w:val="20"/>
        </w:rPr>
        <w:t xml:space="preserve">Oppure: </w:t>
      </w:r>
    </w:p>
    <w:p w14:paraId="778F3A98" w14:textId="77777777" w:rsidR="00264EAF" w:rsidRPr="00D80990" w:rsidRDefault="00264EAF" w:rsidP="00264EAF">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D80990">
        <w:rPr>
          <w:rFonts w:ascii="Arial" w:hAnsi="Arial" w:cs="Arial"/>
          <w:sz w:val="22"/>
          <w:szCs w:val="22"/>
        </w:rPr>
        <w:t>Le previsioni di cassa dovranno essere verificate in sede di salvaguardia degli equilibri in particolare per i seguenti incassi e pagamenti………………………….</w:t>
      </w:r>
    </w:p>
    <w:p w14:paraId="4CC7DC45" w14:textId="77777777" w:rsidR="00264EAF" w:rsidRPr="00D80990" w:rsidRDefault="00264EAF" w:rsidP="00264EAF">
      <w:pPr>
        <w:pStyle w:val="Paragrafoelenco"/>
        <w:ind w:left="360"/>
        <w:jc w:val="both"/>
        <w:rPr>
          <w:rFonts w:ascii="Arial" w:hAnsi="Arial" w:cs="Arial"/>
          <w:b/>
          <w:sz w:val="22"/>
          <w:szCs w:val="22"/>
        </w:rPr>
      </w:pPr>
    </w:p>
    <w:p w14:paraId="2A5A1112" w14:textId="77777777" w:rsidR="00264EAF" w:rsidRPr="00D80990" w:rsidRDefault="00264EAF" w:rsidP="00264EAF">
      <w:pPr>
        <w:pStyle w:val="Paragrafoelenco"/>
        <w:numPr>
          <w:ilvl w:val="0"/>
          <w:numId w:val="12"/>
        </w:numPr>
        <w:jc w:val="both"/>
        <w:rPr>
          <w:rFonts w:ascii="Arial" w:hAnsi="Arial" w:cs="Arial"/>
          <w:b/>
          <w:sz w:val="22"/>
          <w:szCs w:val="22"/>
        </w:rPr>
      </w:pPr>
      <w:r w:rsidRPr="00D80990">
        <w:rPr>
          <w:rFonts w:ascii="Arial" w:hAnsi="Arial" w:cs="Arial"/>
          <w:b/>
          <w:sz w:val="22"/>
          <w:szCs w:val="22"/>
        </w:rPr>
        <w:t>Invio dati alla banca dati delle amministrazioni pubbliche</w:t>
      </w:r>
    </w:p>
    <w:p w14:paraId="5C4D9663" w14:textId="77777777" w:rsidR="00264EAF" w:rsidRPr="00D80990" w:rsidRDefault="00264EAF" w:rsidP="00264EAF">
      <w:pPr>
        <w:pStyle w:val="Paragrafoelenco"/>
        <w:ind w:left="360"/>
        <w:jc w:val="both"/>
        <w:rPr>
          <w:rFonts w:ascii="Arial" w:hAnsi="Arial" w:cs="Arial"/>
          <w:b/>
          <w:sz w:val="22"/>
          <w:szCs w:val="22"/>
        </w:rPr>
      </w:pPr>
    </w:p>
    <w:p w14:paraId="278F2C4F" w14:textId="77777777" w:rsidR="00264EAF" w:rsidRPr="00D80990" w:rsidRDefault="00264EAF" w:rsidP="00264EAF">
      <w:pPr>
        <w:jc w:val="both"/>
        <w:rPr>
          <w:rFonts w:ascii="Arial" w:hAnsi="Arial" w:cs="Arial"/>
          <w:color w:val="000000"/>
          <w:sz w:val="22"/>
          <w:szCs w:val="22"/>
        </w:rPr>
      </w:pPr>
      <w:r w:rsidRPr="00D80990">
        <w:rPr>
          <w:rFonts w:ascii="Arial" w:hAnsi="Arial" w:cs="Arial"/>
          <w:sz w:val="22"/>
          <w:szCs w:val="22"/>
        </w:rPr>
        <w:t xml:space="preserve">L’organo di revisione richiede il rispetto dei termini per l’invio </w:t>
      </w:r>
      <w:r w:rsidRPr="00D80990">
        <w:rPr>
          <w:rFonts w:ascii="Arial" w:hAnsi="Arial" w:cs="Arial"/>
          <w:color w:val="000000"/>
          <w:sz w:val="22"/>
          <w:szCs w:val="22"/>
        </w:rPr>
        <w:t>dei dati relativi al bilancio di previsione entro trenta giorni dalla sua approvazione alla banca dati delle amministrazioni pubbliche di cui all'</w:t>
      </w:r>
      <w:r w:rsidRPr="00D80990">
        <w:rPr>
          <w:rFonts w:ascii="Arial" w:hAnsi="Arial" w:cs="Arial"/>
          <w:sz w:val="22"/>
          <w:szCs w:val="22"/>
        </w:rPr>
        <w:t>articolo 13 della Legge 31 dicembre 2009, n. 196</w:t>
      </w:r>
      <w:r w:rsidRPr="00D80990">
        <w:rPr>
          <w:rFonts w:ascii="Arial" w:hAnsi="Arial" w:cs="Arial"/>
          <w:color w:val="000000"/>
          <w:sz w:val="22"/>
          <w:szCs w:val="22"/>
        </w:rPr>
        <w:t xml:space="preserve">, compresi i dati aggregati per voce del piano dei conti integrato, avvertendo che nel caso di mancato rispetto di tale termine, </w:t>
      </w:r>
      <w:r w:rsidRPr="00D80990">
        <w:rPr>
          <w:rFonts w:ascii="Arial" w:hAnsi="Arial" w:cs="Arial"/>
          <w:color w:val="000000"/>
          <w:sz w:val="22"/>
          <w:szCs w:val="22"/>
        </w:rPr>
        <w:lastRenderedPageBreak/>
        <w:t>come disposto dal comma 1-</w:t>
      </w:r>
      <w:r w:rsidRPr="00D80990">
        <w:rPr>
          <w:rFonts w:ascii="Arial" w:hAnsi="Arial" w:cs="Arial"/>
          <w:i/>
          <w:color w:val="000000"/>
          <w:sz w:val="22"/>
          <w:szCs w:val="22"/>
        </w:rPr>
        <w:t xml:space="preserve">quinquies </w:t>
      </w:r>
      <w:r w:rsidRPr="00D80990">
        <w:rPr>
          <w:rFonts w:ascii="Arial" w:hAnsi="Arial" w:cs="Arial"/>
          <w:color w:val="000000"/>
          <w:sz w:val="22"/>
          <w:szCs w:val="22"/>
        </w:rPr>
        <w:t>dell’art. 9 del D.L. n. 113/2016,  non sarà possibile procedere ad assunzioni di personale a qualsiasi titolo, con qualsivoglia tipologia contrattuale, ivi compresi i rapporti di collaborazione coordinata e continuativa e di somministrazione, anche con riferimento ai processi di stabilizzazione in atto, fino a quando non si provvederà all’adempimento. E' fatto altresì divieto di stipulare contratti di servizio con soggetti privati che si configurino come elusivi della disposizione del precedente periodo. </w:t>
      </w:r>
    </w:p>
    <w:p w14:paraId="3AA38C18" w14:textId="77777777" w:rsidR="00264EAF" w:rsidRPr="00D80990" w:rsidRDefault="00264EAF" w:rsidP="00264EAF">
      <w:pPr>
        <w:jc w:val="both"/>
        <w:rPr>
          <w:rFonts w:ascii="Arial" w:hAnsi="Arial" w:cs="Arial"/>
          <w:color w:val="000000"/>
          <w:sz w:val="22"/>
          <w:szCs w:val="22"/>
        </w:rPr>
      </w:pPr>
    </w:p>
    <w:p w14:paraId="2F4253CE" w14:textId="77777777" w:rsidR="00264EAF" w:rsidRPr="00D80990" w:rsidRDefault="00264EAF" w:rsidP="00264EAF">
      <w:pPr>
        <w:jc w:val="both"/>
        <w:rPr>
          <w:rFonts w:ascii="Arial" w:hAnsi="Arial" w:cs="Arial"/>
          <w:color w:val="000000"/>
          <w:sz w:val="22"/>
          <w:szCs w:val="22"/>
        </w:rPr>
      </w:pPr>
    </w:p>
    <w:p w14:paraId="1E95CC92" w14:textId="77777777" w:rsidR="00264EAF" w:rsidRPr="00D80990" w:rsidRDefault="00264EAF" w:rsidP="00264EAF">
      <w:pPr>
        <w:pStyle w:val="Titolo1"/>
        <w:shd w:val="clear" w:color="auto" w:fill="B6DDE8" w:themeFill="accent5" w:themeFillTint="66"/>
      </w:pPr>
      <w:bookmarkStart w:id="84" w:name="_Toc408988077"/>
      <w:bookmarkStart w:id="85" w:name="_Toc535487630"/>
      <w:r w:rsidRPr="00D80990">
        <w:t>CONCLUSIONI</w:t>
      </w:r>
      <w:bookmarkEnd w:id="84"/>
      <w:bookmarkEnd w:id="85"/>
    </w:p>
    <w:p w14:paraId="73D5C27F" w14:textId="77777777" w:rsidR="00264EAF" w:rsidRPr="00D80990" w:rsidRDefault="00264EAF" w:rsidP="00264EAF">
      <w:pPr>
        <w:jc w:val="both"/>
        <w:rPr>
          <w:rFonts w:ascii="Arial" w:hAnsi="Arial" w:cs="Arial"/>
          <w:sz w:val="22"/>
          <w:szCs w:val="22"/>
        </w:rPr>
      </w:pPr>
      <w:r w:rsidRPr="00D80990">
        <w:rPr>
          <w:rFonts w:ascii="Arial" w:hAnsi="Arial" w:cs="Arial"/>
          <w:sz w:val="22"/>
          <w:szCs w:val="22"/>
        </w:rPr>
        <w:t>In relazione alle motivazioni specificate nel presente parere, richiamato l’articolo 239 del TUEL e tenuto conto:</w:t>
      </w:r>
    </w:p>
    <w:p w14:paraId="6A936A96" w14:textId="77777777"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 parere espresso sul DUP e sulla Nota di aggiornamento;</w:t>
      </w:r>
    </w:p>
    <w:p w14:paraId="346CDE6D" w14:textId="77777777"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 parere espresso dal responsabile del servizio finanziario;</w:t>
      </w:r>
    </w:p>
    <w:p w14:paraId="4F9DBE95" w14:textId="77777777"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delle variazioni rispetto all’anno precedente;</w:t>
      </w:r>
    </w:p>
    <w:p w14:paraId="71A542CD" w14:textId="77777777"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della verifica effettuata sugli equilibri di competenza e di cassa.</w:t>
      </w:r>
    </w:p>
    <w:p w14:paraId="6C00A928" w14:textId="77777777" w:rsidR="00264EAF" w:rsidRPr="00D80990" w:rsidRDefault="00264EAF" w:rsidP="00264EAF">
      <w:pPr>
        <w:pStyle w:val="BodyText21"/>
        <w:spacing w:before="240"/>
        <w:rPr>
          <w:rFonts w:cs="Arial"/>
          <w:b w:val="0"/>
          <w:i w:val="0"/>
          <w:sz w:val="22"/>
          <w:szCs w:val="22"/>
        </w:rPr>
      </w:pPr>
      <w:r w:rsidRPr="00D80990">
        <w:rPr>
          <w:rFonts w:cs="Arial"/>
          <w:b w:val="0"/>
          <w:i w:val="0"/>
          <w:sz w:val="22"/>
          <w:szCs w:val="22"/>
        </w:rPr>
        <w:t>L’organo di revisione:</w:t>
      </w:r>
    </w:p>
    <w:p w14:paraId="706658F1" w14:textId="77777777" w:rsidR="00264EAF" w:rsidRPr="00D80990" w:rsidRDefault="00264EAF" w:rsidP="00264EAF">
      <w:pPr>
        <w:numPr>
          <w:ilvl w:val="0"/>
          <w:numId w:val="6"/>
        </w:numPr>
        <w:jc w:val="both"/>
        <w:rPr>
          <w:rFonts w:ascii="Arial" w:hAnsi="Arial" w:cs="Arial"/>
          <w:i/>
          <w:sz w:val="22"/>
          <w:szCs w:val="22"/>
        </w:rPr>
      </w:pPr>
      <w:r w:rsidRPr="00D80990">
        <w:rPr>
          <w:rFonts w:ascii="Arial" w:hAnsi="Arial" w:cs="Arial"/>
          <w:sz w:val="22"/>
          <w:szCs w:val="22"/>
        </w:rPr>
        <w:t>ha verificato che il bilancio è stato redatto nell’osservanza delle norme di Legge, dello statuto dell’ente, del regolamento di contabilità, dei principi previsti dall’articolo 162 del TUEL e dalle norme del D.Lgs. n.118/2011 e dai principi contabili applicati n.4/1 e n. 4/2 allegati al predetto decreto legislativo;</w:t>
      </w:r>
    </w:p>
    <w:p w14:paraId="216F07AB" w14:textId="77777777" w:rsidR="00264EAF" w:rsidRPr="00D80990" w:rsidRDefault="00264EAF" w:rsidP="00264EAF">
      <w:pPr>
        <w:pStyle w:val="BodyText21"/>
        <w:numPr>
          <w:ilvl w:val="0"/>
          <w:numId w:val="6"/>
        </w:numPr>
        <w:spacing w:before="120"/>
        <w:rPr>
          <w:rFonts w:cs="Arial"/>
          <w:b w:val="0"/>
          <w:i w:val="0"/>
          <w:sz w:val="22"/>
          <w:szCs w:val="22"/>
        </w:rPr>
      </w:pPr>
      <w:r w:rsidRPr="00D80990">
        <w:rPr>
          <w:rFonts w:cs="Arial"/>
          <w:b w:val="0"/>
          <w:i w:val="0"/>
          <w:sz w:val="22"/>
          <w:szCs w:val="22"/>
        </w:rPr>
        <w:t>ha rilevato la coerenza interna, la congruità e l’attendibilità contabile delle previsioni di bilancio;</w:t>
      </w:r>
    </w:p>
    <w:p w14:paraId="3B85F72D" w14:textId="77777777" w:rsidR="00264EAF" w:rsidRPr="007C28ED" w:rsidRDefault="006A589E" w:rsidP="00275CE8">
      <w:pPr>
        <w:pStyle w:val="BodyText21"/>
        <w:numPr>
          <w:ilvl w:val="0"/>
          <w:numId w:val="6"/>
        </w:numPr>
        <w:spacing w:before="120"/>
        <w:rPr>
          <w:rFonts w:cs="Arial"/>
          <w:b w:val="0"/>
          <w:i w:val="0"/>
          <w:sz w:val="22"/>
          <w:szCs w:val="22"/>
        </w:rPr>
      </w:pPr>
      <w:r w:rsidRPr="007C28ED">
        <w:rPr>
          <w:rFonts w:cs="Arial"/>
          <w:b w:val="0"/>
          <w:i w:val="0"/>
          <w:sz w:val="22"/>
          <w:szCs w:val="22"/>
        </w:rPr>
        <w:t xml:space="preserve">ha rilevato la coerenza esterna ed in particolare la possibilità, con le previsioni proposte, di rispettare gli equilibri di finanza pubblica, così come disposti dalla Legge di Bilancio n. 145/2018. </w:t>
      </w:r>
      <w:r w:rsidR="00264EAF" w:rsidRPr="007C28ED">
        <w:rPr>
          <w:rFonts w:cs="Arial"/>
          <w:b w:val="0"/>
          <w:i w:val="0"/>
          <w:sz w:val="22"/>
          <w:szCs w:val="22"/>
        </w:rPr>
        <w:t>Ed esprime, pertanto, parere favorevole sulla proposta di bilancio di previsione 2019-2021 e sui documenti allegati.</w:t>
      </w:r>
    </w:p>
    <w:p w14:paraId="1D683AD6" w14:textId="77777777" w:rsidR="00264EAF" w:rsidRPr="007C28ED" w:rsidRDefault="00264EAF" w:rsidP="00264EAF">
      <w:pPr>
        <w:pStyle w:val="BodyText21"/>
        <w:rPr>
          <w:rFonts w:cs="Arial"/>
          <w:b w:val="0"/>
          <w:i w:val="0"/>
          <w:color w:val="00B0F0"/>
          <w:sz w:val="20"/>
        </w:rPr>
      </w:pPr>
      <w:r w:rsidRPr="007C28ED">
        <w:rPr>
          <w:rFonts w:cs="Arial"/>
          <w:b w:val="0"/>
          <w:i w:val="0"/>
          <w:color w:val="00B0F0"/>
          <w:sz w:val="20"/>
        </w:rPr>
        <w:t>(</w:t>
      </w:r>
      <w:r w:rsidRPr="007C28ED">
        <w:rPr>
          <w:rFonts w:cs="Arial"/>
          <w:b w:val="0"/>
          <w:color w:val="00B0F0"/>
          <w:sz w:val="20"/>
        </w:rPr>
        <w:t xml:space="preserve">Nel caso in cui sussistano le motivazioni esposte nel precedente paragrafo l’organo di revisione esprimerà un parere non favorevole, oppure un parere favorevole con riserva su specifiche problematiche emerse nel corso dell’analisi, sulla proposta di bilancio presentata dalla giunta e sui documenti allegati, in particolare nel caso in cui le previsioni portino a non rispettare </w:t>
      </w:r>
      <w:r w:rsidR="004A1F64" w:rsidRPr="007C28ED">
        <w:rPr>
          <w:rFonts w:cs="Arial"/>
          <w:b w:val="0"/>
          <w:color w:val="00B0F0"/>
          <w:sz w:val="20"/>
        </w:rPr>
        <w:t>gli equilibri di finanza pubblica</w:t>
      </w:r>
      <w:r w:rsidRPr="007C28ED">
        <w:rPr>
          <w:rFonts w:cs="Arial"/>
          <w:b w:val="0"/>
          <w:color w:val="00B0F0"/>
          <w:sz w:val="20"/>
        </w:rPr>
        <w:t xml:space="preserve"> il parere può essere così articolato</w:t>
      </w:r>
      <w:r w:rsidRPr="007C28ED">
        <w:rPr>
          <w:rFonts w:cs="Arial"/>
          <w:b w:val="0"/>
          <w:i w:val="0"/>
          <w:color w:val="00B0F0"/>
          <w:sz w:val="20"/>
        </w:rPr>
        <w:t>)</w:t>
      </w:r>
    </w:p>
    <w:p w14:paraId="42A5F424"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20"/>
        </w:rPr>
      </w:pPr>
      <w:r w:rsidRPr="00D80990">
        <w:rPr>
          <w:rFonts w:ascii="Arial" w:hAnsi="Arial" w:cs="Arial"/>
          <w:i/>
          <w:sz w:val="20"/>
          <w:szCs w:val="20"/>
        </w:rPr>
        <w:t>Ipotesi 1</w:t>
      </w:r>
    </w:p>
    <w:p w14:paraId="7393DF18" w14:textId="77777777"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 xml:space="preserve">L’organo di revisione esprime parere favorevole sulla proposta di bilancio </w:t>
      </w:r>
      <w:r w:rsidRPr="00CD4510">
        <w:rPr>
          <w:rFonts w:ascii="Arial" w:hAnsi="Arial" w:cs="Arial"/>
          <w:sz w:val="22"/>
          <w:szCs w:val="22"/>
        </w:rPr>
        <w:t>2019-2021</w:t>
      </w:r>
      <w:r w:rsidRPr="00D80990">
        <w:rPr>
          <w:rFonts w:ascii="Arial" w:hAnsi="Arial" w:cs="Arial"/>
          <w:sz w:val="22"/>
          <w:szCs w:val="22"/>
        </w:rPr>
        <w:t>e relativi allegati relativamente a:</w:t>
      </w:r>
    </w:p>
    <w:p w14:paraId="0AE289A4" w14:textId="77777777" w:rsidR="00264EAF" w:rsidRPr="00D80990" w:rsidRDefault="00264EAF" w:rsidP="00264EAF">
      <w:pPr>
        <w:pStyle w:val="Paragrafoelenco"/>
        <w:numPr>
          <w:ilvl w:val="0"/>
          <w:numId w:val="6"/>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osservanza delle norme di Legge, dello statuto dell’ente, del regolamento di contabilità, dei principi previsti dall’articolo 162 del TUEL e dalle norme del D.Lgs.n.118/2001 e dai principi contabili applicati n.4/1 e 4/2 allegati al predetto decreto legislativo;</w:t>
      </w:r>
    </w:p>
    <w:p w14:paraId="2FC71E0A" w14:textId="77777777" w:rsidR="00264EAF" w:rsidRPr="007C28ED" w:rsidRDefault="00264EAF" w:rsidP="00264EAF">
      <w:pPr>
        <w:pStyle w:val="Paragrafoelenco"/>
        <w:numPr>
          <w:ilvl w:val="0"/>
          <w:numId w:val="6"/>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coerenza interna, congruità e attendibilità contabile delle previsioni di bilancio e dei programmi e progetti</w:t>
      </w:r>
    </w:p>
    <w:p w14:paraId="04D827B9" w14:textId="77777777" w:rsidR="00264EAF"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7C28ED">
        <w:rPr>
          <w:rFonts w:ascii="Arial" w:hAnsi="Arial" w:cs="Arial"/>
          <w:sz w:val="22"/>
          <w:szCs w:val="22"/>
        </w:rPr>
        <w:t xml:space="preserve">e </w:t>
      </w:r>
      <w:r w:rsidR="006A589E" w:rsidRPr="007C28ED">
        <w:rPr>
          <w:rFonts w:ascii="Arial" w:hAnsi="Arial" w:cs="Arial"/>
          <w:sz w:val="22"/>
          <w:szCs w:val="22"/>
        </w:rPr>
        <w:t>parere non favorevole relativamente ai seguenti aspetti: ________________________</w:t>
      </w:r>
    </w:p>
    <w:p w14:paraId="73789F9F" w14:textId="77777777" w:rsidR="007C28ED" w:rsidRPr="007C28ED" w:rsidRDefault="007C28ED"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p>
    <w:p w14:paraId="75909889" w14:textId="77777777" w:rsidR="000D5C03" w:rsidRPr="00D80990" w:rsidRDefault="000D5C03" w:rsidP="00264EAF">
      <w:pPr>
        <w:tabs>
          <w:tab w:val="left" w:pos="5954"/>
        </w:tabs>
        <w:rPr>
          <w:rFonts w:ascii="Arial" w:hAnsi="Arial" w:cs="Arial"/>
          <w:i/>
          <w:sz w:val="20"/>
          <w:szCs w:val="20"/>
        </w:rPr>
      </w:pPr>
    </w:p>
    <w:p w14:paraId="4738B0B0" w14:textId="77777777"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20"/>
        </w:rPr>
      </w:pPr>
      <w:r w:rsidRPr="00D80990">
        <w:rPr>
          <w:rFonts w:ascii="Arial" w:hAnsi="Arial" w:cs="Arial"/>
          <w:i/>
          <w:sz w:val="20"/>
          <w:szCs w:val="20"/>
        </w:rPr>
        <w:t>Ipotesi 2</w:t>
      </w:r>
    </w:p>
    <w:p w14:paraId="64DF1F96" w14:textId="77777777" w:rsidR="00264EAF" w:rsidRPr="00D80990" w:rsidRDefault="00264EAF" w:rsidP="007C28ED">
      <w:pPr>
        <w:pBdr>
          <w:top w:val="outset" w:sz="6" w:space="1" w:color="auto"/>
          <w:left w:val="outset" w:sz="6" w:space="4" w:color="auto"/>
          <w:bottom w:val="inset" w:sz="6" w:space="1" w:color="auto"/>
          <w:right w:val="inset" w:sz="6" w:space="4" w:color="auto"/>
        </w:pBdr>
        <w:jc w:val="both"/>
        <w:rPr>
          <w:rFonts w:ascii="Arial" w:hAnsi="Arial" w:cs="Arial"/>
          <w:b/>
          <w:sz w:val="20"/>
        </w:rPr>
      </w:pPr>
      <w:r w:rsidRPr="00D80990">
        <w:rPr>
          <w:rFonts w:ascii="Arial" w:hAnsi="Arial" w:cs="Arial"/>
          <w:sz w:val="22"/>
          <w:szCs w:val="22"/>
        </w:rPr>
        <w:t xml:space="preserve">L’organo di revisione esprime parere non favorevole sulla proposta di bilancio </w:t>
      </w:r>
      <w:r w:rsidRPr="00CD4510">
        <w:rPr>
          <w:rFonts w:ascii="Arial" w:hAnsi="Arial" w:cs="Arial"/>
          <w:sz w:val="22"/>
          <w:szCs w:val="22"/>
        </w:rPr>
        <w:t>2019-2021</w:t>
      </w:r>
      <w:r w:rsidRPr="00D80990">
        <w:rPr>
          <w:rFonts w:ascii="Arial" w:hAnsi="Arial" w:cs="Arial"/>
          <w:sz w:val="22"/>
          <w:szCs w:val="22"/>
        </w:rPr>
        <w:t xml:space="preserve">e relativi allegati in quanto le previsioni di </w:t>
      </w:r>
      <w:r w:rsidRPr="007C28ED">
        <w:rPr>
          <w:rFonts w:ascii="Arial" w:hAnsi="Arial" w:cs="Arial"/>
          <w:sz w:val="22"/>
          <w:szCs w:val="22"/>
        </w:rPr>
        <w:t>bilancio</w:t>
      </w:r>
      <w:r w:rsidR="006A589E" w:rsidRPr="007C28ED">
        <w:rPr>
          <w:rFonts w:ascii="Arial" w:hAnsi="Arial" w:cs="Arial"/>
          <w:sz w:val="22"/>
          <w:szCs w:val="22"/>
        </w:rPr>
        <w:t xml:space="preserve"> non consentono di rispettare gli equilibri di finanza pubblica come definiti dalla Legge di Bilancio n. 145/2018.</w:t>
      </w:r>
    </w:p>
    <w:p w14:paraId="5ECB9A8D" w14:textId="77777777" w:rsidR="007C28ED" w:rsidRDefault="007C28ED" w:rsidP="00C10C7F">
      <w:pPr>
        <w:tabs>
          <w:tab w:val="left" w:pos="5954"/>
        </w:tabs>
        <w:jc w:val="right"/>
        <w:rPr>
          <w:rFonts w:ascii="Arial" w:hAnsi="Arial" w:cs="Arial"/>
          <w:b/>
        </w:rPr>
      </w:pPr>
    </w:p>
    <w:p w14:paraId="43F503FD" w14:textId="77777777" w:rsidR="00C10C7F" w:rsidRPr="00D80990" w:rsidRDefault="00264EAF" w:rsidP="00C10C7F">
      <w:pPr>
        <w:tabs>
          <w:tab w:val="left" w:pos="5954"/>
        </w:tabs>
        <w:jc w:val="right"/>
        <w:rPr>
          <w:rFonts w:ascii="Arial" w:hAnsi="Arial" w:cs="Arial"/>
          <w:b/>
          <w:color w:val="00B0F0"/>
          <w:sz w:val="28"/>
          <w:szCs w:val="28"/>
        </w:rPr>
      </w:pPr>
      <w:r w:rsidRPr="00D80990">
        <w:rPr>
          <w:rFonts w:ascii="Arial" w:hAnsi="Arial" w:cs="Arial"/>
          <w:b/>
        </w:rPr>
        <w:t>L’ORGANO DI REVISIONE</w:t>
      </w:r>
    </w:p>
    <w:sectPr w:rsidR="00C10C7F" w:rsidRPr="00D80990" w:rsidSect="00087EC6">
      <w:pgSz w:w="11906" w:h="16838" w:code="9"/>
      <w:pgMar w:top="1417" w:right="1134" w:bottom="1134" w:left="1134" w:header="709" w:footer="709" w:gutter="0"/>
      <w:cols w:space="708"/>
      <w:titlePg/>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4EFEB4" w14:textId="77777777" w:rsidR="00960304" w:rsidRDefault="00960304">
      <w:r>
        <w:separator/>
      </w:r>
    </w:p>
  </w:endnote>
  <w:endnote w:type="continuationSeparator" w:id="0">
    <w:p w14:paraId="7DF22F0B" w14:textId="77777777" w:rsidR="00960304" w:rsidRDefault="00960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ItcCenturyLight">
    <w:altName w:val="Calibri"/>
    <w:panose1 w:val="00000000000000000000"/>
    <w:charset w:val="00"/>
    <w:family w:val="auto"/>
    <w:notTrueType/>
    <w:pitch w:val="default"/>
    <w:sig w:usb0="00000003" w:usb1="00000000" w:usb2="00000000" w:usb3="00000000" w:csb0="00000001" w:csb1="00000000"/>
  </w:font>
  <w:font w:name="UniversExBlkExt">
    <w:panose1 w:val="00000000000000000000"/>
    <w:charset w:val="00"/>
    <w:family w:val="auto"/>
    <w:notTrueType/>
    <w:pitch w:val="default"/>
    <w:sig w:usb0="00000003" w:usb1="00000000" w:usb2="00000000" w:usb3="00000000" w:csb0="00000001" w:csb1="00000000"/>
  </w:font>
  <w:font w:name="Futura">
    <w:charset w:val="B1"/>
    <w:family w:val="swiss"/>
    <w:pitch w:val="variable"/>
    <w:sig w:usb0="80000867" w:usb1="00000000" w:usb2="00000000" w:usb3="00000000" w:csb0="000001FB" w:csb1="00000000"/>
  </w:font>
  <w:font w:name="Tahoma">
    <w:panose1 w:val="020B0604030504040204"/>
    <w:charset w:val="00"/>
    <w:family w:val="swiss"/>
    <w:notTrueType/>
    <w:pitch w:val="variable"/>
    <w:sig w:usb0="00000003" w:usb1="00000000" w:usb2="00000000" w:usb3="00000000" w:csb0="00000001" w:csb1="00000000"/>
  </w:font>
  <w:font w:name="Thorndale AMT">
    <w:altName w:val="Times New Roman"/>
    <w:panose1 w:val="00000000000000000000"/>
    <w:charset w:val="00"/>
    <w:family w:val="roman"/>
    <w:notTrueType/>
    <w:pitch w:val="variable"/>
    <w:sig w:usb0="00000003" w:usb1="00000000" w:usb2="00000000" w:usb3="00000000" w:csb0="00000001" w:csb1="00000000"/>
  </w:font>
  <w:font w:name="Albany AMT">
    <w:altName w:val="Arial"/>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8A610D" w14:textId="77777777" w:rsidR="00EA4A99" w:rsidRDefault="00213664">
    <w:pPr>
      <w:pStyle w:val="Pidipagina"/>
      <w:framePr w:wrap="around" w:vAnchor="text" w:hAnchor="margin" w:xAlign="right" w:y="1"/>
      <w:rPr>
        <w:rStyle w:val="Numeropagina"/>
      </w:rPr>
    </w:pPr>
    <w:r>
      <w:rPr>
        <w:rStyle w:val="Numeropagina"/>
      </w:rPr>
      <w:fldChar w:fldCharType="begin"/>
    </w:r>
    <w:r w:rsidR="00EA4A99">
      <w:rPr>
        <w:rStyle w:val="Numeropagina"/>
      </w:rPr>
      <w:instrText xml:space="preserve">PAGE  </w:instrText>
    </w:r>
    <w:r>
      <w:rPr>
        <w:rStyle w:val="Numeropagina"/>
      </w:rPr>
      <w:fldChar w:fldCharType="end"/>
    </w:r>
  </w:p>
  <w:p w14:paraId="3BB9FCE6" w14:textId="77777777" w:rsidR="00EA4A99" w:rsidRDefault="00EA4A99">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9776A" w14:textId="77777777" w:rsidR="00EA4A99" w:rsidRDefault="00EA4A99">
    <w:pPr>
      <w:pBdr>
        <w:top w:val="single" w:sz="4" w:space="1" w:color="auto"/>
      </w:pBdr>
      <w:tabs>
        <w:tab w:val="left" w:pos="0"/>
        <w:tab w:val="right" w:pos="9306"/>
      </w:tabs>
      <w:rPr>
        <w:rFonts w:ascii="Arial" w:hAnsi="Arial" w:cs="Arial"/>
        <w:b/>
        <w:sz w:val="18"/>
        <w:szCs w:val="20"/>
      </w:rPr>
    </w:pPr>
    <w:r>
      <w:rPr>
        <w:rFonts w:ascii="Arial" w:hAnsi="Arial" w:cs="Arial"/>
        <w:b/>
        <w:sz w:val="18"/>
        <w:szCs w:val="20"/>
      </w:rPr>
      <w:t xml:space="preserve">Parere dell’Organo di Revisione sul bilancio di previsione 2019-2021 </w:t>
    </w:r>
    <w:r>
      <w:rPr>
        <w:rFonts w:ascii="Arial" w:hAnsi="Arial" w:cs="Arial"/>
        <w:b/>
        <w:sz w:val="18"/>
        <w:szCs w:val="20"/>
      </w:rPr>
      <w:tab/>
      <w:t xml:space="preserve">Pagina </w:t>
    </w:r>
    <w:r w:rsidR="00213664">
      <w:rPr>
        <w:rFonts w:ascii="Arial" w:hAnsi="Arial" w:cs="Arial"/>
        <w:b/>
        <w:sz w:val="18"/>
        <w:szCs w:val="20"/>
      </w:rPr>
      <w:fldChar w:fldCharType="begin"/>
    </w:r>
    <w:r>
      <w:rPr>
        <w:rFonts w:ascii="Arial" w:hAnsi="Arial" w:cs="Arial"/>
        <w:b/>
        <w:sz w:val="18"/>
        <w:szCs w:val="20"/>
      </w:rPr>
      <w:instrText xml:space="preserve"> PAGE </w:instrText>
    </w:r>
    <w:r w:rsidR="00213664">
      <w:rPr>
        <w:rFonts w:ascii="Arial" w:hAnsi="Arial" w:cs="Arial"/>
        <w:b/>
        <w:sz w:val="18"/>
        <w:szCs w:val="20"/>
      </w:rPr>
      <w:fldChar w:fldCharType="separate"/>
    </w:r>
    <w:r w:rsidR="00F54464">
      <w:rPr>
        <w:rFonts w:ascii="Arial" w:hAnsi="Arial" w:cs="Arial"/>
        <w:b/>
        <w:noProof/>
        <w:sz w:val="18"/>
        <w:szCs w:val="20"/>
      </w:rPr>
      <w:t>16</w:t>
    </w:r>
    <w:r w:rsidR="00213664">
      <w:rPr>
        <w:rFonts w:ascii="Arial" w:hAnsi="Arial" w:cs="Arial"/>
        <w:b/>
        <w:sz w:val="18"/>
        <w:szCs w:val="20"/>
      </w:rPr>
      <w:fldChar w:fldCharType="end"/>
    </w:r>
    <w:r>
      <w:rPr>
        <w:rFonts w:ascii="Arial" w:hAnsi="Arial" w:cs="Arial"/>
        <w:b/>
        <w:sz w:val="18"/>
        <w:szCs w:val="20"/>
      </w:rPr>
      <w:t xml:space="preserve"> di </w:t>
    </w:r>
    <w:r w:rsidR="00213664">
      <w:rPr>
        <w:rFonts w:ascii="Arial" w:hAnsi="Arial" w:cs="Arial"/>
        <w:b/>
        <w:sz w:val="18"/>
        <w:szCs w:val="20"/>
      </w:rPr>
      <w:fldChar w:fldCharType="begin"/>
    </w:r>
    <w:r>
      <w:rPr>
        <w:rFonts w:ascii="Arial" w:hAnsi="Arial" w:cs="Arial"/>
        <w:b/>
        <w:sz w:val="18"/>
        <w:szCs w:val="20"/>
      </w:rPr>
      <w:instrText xml:space="preserve"> NUMPAGES  </w:instrText>
    </w:r>
    <w:r w:rsidR="00213664">
      <w:rPr>
        <w:rFonts w:ascii="Arial" w:hAnsi="Arial" w:cs="Arial"/>
        <w:b/>
        <w:sz w:val="18"/>
        <w:szCs w:val="20"/>
      </w:rPr>
      <w:fldChar w:fldCharType="separate"/>
    </w:r>
    <w:r w:rsidR="00F54464">
      <w:rPr>
        <w:rFonts w:ascii="Arial" w:hAnsi="Arial" w:cs="Arial"/>
        <w:b/>
        <w:noProof/>
        <w:sz w:val="18"/>
        <w:szCs w:val="20"/>
      </w:rPr>
      <w:t>49</w:t>
    </w:r>
    <w:r w:rsidR="00213664">
      <w:rPr>
        <w:rFonts w:ascii="Arial" w:hAnsi="Arial" w:cs="Arial"/>
        <w:b/>
        <w:sz w:val="18"/>
        <w:szCs w:val="20"/>
      </w:rPr>
      <w:fldChar w:fldCharType="end"/>
    </w:r>
  </w:p>
  <w:p w14:paraId="4C96F925" w14:textId="77777777" w:rsidR="00EA4A99" w:rsidRDefault="00EA4A99">
    <w:pPr>
      <w:pStyle w:val="Pidipagina"/>
      <w:pBdr>
        <w:top w:val="none" w:sz="0" w:space="0" w:color="auto"/>
      </w:pBdr>
      <w:tabs>
        <w:tab w:val="left" w:pos="0"/>
        <w:tab w:val="left" w:pos="8190"/>
      </w:tabs>
      <w:ind w:right="-50"/>
      <w:jc w:val="left"/>
      <w:rPr>
        <w:rFonts w:ascii="Garamond" w:hAnsi="Garamond"/>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CD3E36" w14:textId="77777777" w:rsidR="00EA4A99" w:rsidRDefault="00EA4A99">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7E6C2A" w14:textId="77777777" w:rsidR="00960304" w:rsidRDefault="00960304">
      <w:r>
        <w:separator/>
      </w:r>
    </w:p>
  </w:footnote>
  <w:footnote w:type="continuationSeparator" w:id="0">
    <w:p w14:paraId="65AC8049" w14:textId="77777777" w:rsidR="00960304" w:rsidRDefault="009603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3E17C3" w14:textId="77777777" w:rsidR="00EA4A99" w:rsidRDefault="00EA4A99">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AB08CE" w14:textId="77777777" w:rsidR="00EA4A99" w:rsidRDefault="00EA4A99">
    <w:pPr>
      <w:pStyle w:val="Intestazione"/>
      <w:jc w:val="right"/>
      <w:rPr>
        <w:rFonts w:cs="Arial"/>
        <w:b/>
        <w:sz w:val="20"/>
      </w:rPr>
    </w:pPr>
    <w:r>
      <w:rPr>
        <w:rFonts w:cs="Arial"/>
        <w:b/>
        <w:sz w:val="20"/>
      </w:rPr>
      <w:t>Comune di………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FA6422" w14:textId="77777777" w:rsidR="00EA4A99" w:rsidRDefault="00EA4A99">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949EA4D"/>
    <w:multiLevelType w:val="hybridMultilevel"/>
    <w:tmpl w:val="033CF0B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60559E"/>
    <w:multiLevelType w:val="hybridMultilevel"/>
    <w:tmpl w:val="A19C77A2"/>
    <w:lvl w:ilvl="0" w:tplc="3476E574">
      <w:numFmt w:val="bullet"/>
      <w:lvlText w:val=""/>
      <w:lvlJc w:val="left"/>
      <w:pPr>
        <w:ind w:left="720" w:hanging="360"/>
      </w:pPr>
      <w:rPr>
        <w:rFonts w:ascii="Symbol" w:eastAsiaTheme="minorHAnsi" w:hAnsi="Symbol" w:cstheme="minorBid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A783CB9"/>
    <w:multiLevelType w:val="hybridMultilevel"/>
    <w:tmpl w:val="522A6A5C"/>
    <w:lvl w:ilvl="0" w:tplc="FFFFFFFF">
      <w:start w:val="1"/>
      <w:numFmt w:val="bullet"/>
      <w:lvlText w:val="-"/>
      <w:lvlJc w:val="left"/>
      <w:pPr>
        <w:tabs>
          <w:tab w:val="num" w:pos="720"/>
        </w:tabs>
        <w:ind w:left="720" w:hanging="360"/>
      </w:pPr>
      <w:rPr>
        <w:rFonts w:ascii="Times New Roman" w:eastAsia="Times New Roman" w:hAnsi="Times New Roman" w:hint="default"/>
      </w:rPr>
    </w:lvl>
    <w:lvl w:ilvl="1" w:tplc="FFFFFFFF">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 w15:restartNumberingAfterBreak="0">
    <w:nsid w:val="0BDA68A6"/>
    <w:multiLevelType w:val="hybridMultilevel"/>
    <w:tmpl w:val="C03C4E4E"/>
    <w:lvl w:ilvl="0" w:tplc="73748356">
      <w:start w:val="1"/>
      <w:numFmt w:val="bullet"/>
      <w:lvlText w:val="-"/>
      <w:lvlJc w:val="left"/>
      <w:pPr>
        <w:tabs>
          <w:tab w:val="num" w:pos="786"/>
        </w:tabs>
        <w:ind w:left="786" w:hanging="360"/>
      </w:pPr>
      <w:rPr>
        <w:rFonts w:ascii="Times New Roman" w:eastAsia="Times New Roman" w:hAnsi="Times New Roman" w:hint="default"/>
      </w:rPr>
    </w:lvl>
    <w:lvl w:ilvl="1" w:tplc="31D645D6">
      <w:start w:val="1"/>
      <w:numFmt w:val="decimal"/>
      <w:lvlText w:val="%2."/>
      <w:lvlJc w:val="left"/>
      <w:pPr>
        <w:tabs>
          <w:tab w:val="num" w:pos="1440"/>
        </w:tabs>
        <w:ind w:left="1440" w:hanging="360"/>
      </w:pPr>
      <w:rPr>
        <w:rFonts w:cs="Times New Roman"/>
      </w:rPr>
    </w:lvl>
    <w:lvl w:ilvl="2" w:tplc="7EF84F82">
      <w:start w:val="1"/>
      <w:numFmt w:val="decimal"/>
      <w:lvlText w:val="%3."/>
      <w:lvlJc w:val="left"/>
      <w:pPr>
        <w:tabs>
          <w:tab w:val="num" w:pos="2160"/>
        </w:tabs>
        <w:ind w:left="2160" w:hanging="360"/>
      </w:pPr>
      <w:rPr>
        <w:rFonts w:cs="Times New Roman"/>
      </w:rPr>
    </w:lvl>
    <w:lvl w:ilvl="3" w:tplc="AD4E1844">
      <w:start w:val="1"/>
      <w:numFmt w:val="decimal"/>
      <w:lvlText w:val="%4."/>
      <w:lvlJc w:val="left"/>
      <w:pPr>
        <w:tabs>
          <w:tab w:val="num" w:pos="2880"/>
        </w:tabs>
        <w:ind w:left="2880" w:hanging="360"/>
      </w:pPr>
      <w:rPr>
        <w:rFonts w:cs="Times New Roman"/>
      </w:rPr>
    </w:lvl>
    <w:lvl w:ilvl="4" w:tplc="69021174">
      <w:start w:val="1"/>
      <w:numFmt w:val="decimal"/>
      <w:lvlText w:val="%5."/>
      <w:lvlJc w:val="left"/>
      <w:pPr>
        <w:tabs>
          <w:tab w:val="num" w:pos="3600"/>
        </w:tabs>
        <w:ind w:left="3600" w:hanging="360"/>
      </w:pPr>
      <w:rPr>
        <w:rFonts w:cs="Times New Roman"/>
      </w:rPr>
    </w:lvl>
    <w:lvl w:ilvl="5" w:tplc="E0B88BC0">
      <w:start w:val="1"/>
      <w:numFmt w:val="decimal"/>
      <w:lvlText w:val="%6."/>
      <w:lvlJc w:val="left"/>
      <w:pPr>
        <w:tabs>
          <w:tab w:val="num" w:pos="4320"/>
        </w:tabs>
        <w:ind w:left="4320" w:hanging="360"/>
      </w:pPr>
      <w:rPr>
        <w:rFonts w:cs="Times New Roman"/>
      </w:rPr>
    </w:lvl>
    <w:lvl w:ilvl="6" w:tplc="E94A3C18">
      <w:start w:val="1"/>
      <w:numFmt w:val="decimal"/>
      <w:lvlText w:val="%7."/>
      <w:lvlJc w:val="left"/>
      <w:pPr>
        <w:tabs>
          <w:tab w:val="num" w:pos="5040"/>
        </w:tabs>
        <w:ind w:left="5040" w:hanging="360"/>
      </w:pPr>
      <w:rPr>
        <w:rFonts w:cs="Times New Roman"/>
      </w:rPr>
    </w:lvl>
    <w:lvl w:ilvl="7" w:tplc="AFFCD71C">
      <w:start w:val="1"/>
      <w:numFmt w:val="decimal"/>
      <w:lvlText w:val="%8."/>
      <w:lvlJc w:val="left"/>
      <w:pPr>
        <w:tabs>
          <w:tab w:val="num" w:pos="5760"/>
        </w:tabs>
        <w:ind w:left="5760" w:hanging="360"/>
      </w:pPr>
      <w:rPr>
        <w:rFonts w:cs="Times New Roman"/>
      </w:rPr>
    </w:lvl>
    <w:lvl w:ilvl="8" w:tplc="06F40CDA">
      <w:start w:val="1"/>
      <w:numFmt w:val="decimal"/>
      <w:lvlText w:val="%9."/>
      <w:lvlJc w:val="left"/>
      <w:pPr>
        <w:tabs>
          <w:tab w:val="num" w:pos="6480"/>
        </w:tabs>
        <w:ind w:left="6480" w:hanging="360"/>
      </w:pPr>
      <w:rPr>
        <w:rFonts w:cs="Times New Roman"/>
      </w:rPr>
    </w:lvl>
  </w:abstractNum>
  <w:abstractNum w:abstractNumId="4" w15:restartNumberingAfterBreak="0">
    <w:nsid w:val="0C1666AC"/>
    <w:multiLevelType w:val="hybridMultilevel"/>
    <w:tmpl w:val="57DCF676"/>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1D66D2D"/>
    <w:multiLevelType w:val="hybridMultilevel"/>
    <w:tmpl w:val="213661B6"/>
    <w:lvl w:ilvl="0" w:tplc="C116E058">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 w15:restartNumberingAfterBreak="0">
    <w:nsid w:val="13BB2838"/>
    <w:multiLevelType w:val="hybridMultilevel"/>
    <w:tmpl w:val="6AB64B72"/>
    <w:lvl w:ilvl="0" w:tplc="3476E574">
      <w:numFmt w:val="bullet"/>
      <w:lvlText w:val=""/>
      <w:lvlJc w:val="left"/>
      <w:pPr>
        <w:ind w:left="1080" w:hanging="360"/>
      </w:pPr>
      <w:rPr>
        <w:rFonts w:ascii="Symbol" w:eastAsiaTheme="minorHAnsi" w:hAnsi="Symbol" w:cstheme="minorBid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7" w15:restartNumberingAfterBreak="0">
    <w:nsid w:val="159C3F78"/>
    <w:multiLevelType w:val="hybridMultilevel"/>
    <w:tmpl w:val="4C74514A"/>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78C1BBC"/>
    <w:multiLevelType w:val="hybridMultilevel"/>
    <w:tmpl w:val="DC18082A"/>
    <w:lvl w:ilvl="0" w:tplc="F9BC5D8E">
      <w:start w:val="1"/>
      <w:numFmt w:val="bullet"/>
      <w:lvlText w:val="-"/>
      <w:lvlJc w:val="left"/>
      <w:pPr>
        <w:ind w:left="720" w:hanging="360"/>
      </w:pPr>
      <w:rPr>
        <w:rFonts w:ascii="Times New Roman" w:eastAsia="Times New Roman"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9" w15:restartNumberingAfterBreak="0">
    <w:nsid w:val="1CCE441F"/>
    <w:multiLevelType w:val="hybridMultilevel"/>
    <w:tmpl w:val="2974A968"/>
    <w:lvl w:ilvl="0" w:tplc="04100017">
      <w:start w:val="1"/>
      <w:numFmt w:val="low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1DE05AF"/>
    <w:multiLevelType w:val="hybridMultilevel"/>
    <w:tmpl w:val="80D27C3E"/>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7B61E80"/>
    <w:multiLevelType w:val="hybridMultilevel"/>
    <w:tmpl w:val="17A6C0FC"/>
    <w:lvl w:ilvl="0" w:tplc="04100017">
      <w:start w:val="1"/>
      <w:numFmt w:val="lowerLetter"/>
      <w:lvlText w:val="%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CB2614E"/>
    <w:multiLevelType w:val="multilevel"/>
    <w:tmpl w:val="39F60982"/>
    <w:lvl w:ilvl="0">
      <w:start w:val="1"/>
      <w:numFmt w:val="bullet"/>
      <w:lvlText w:val=""/>
      <w:lvlJc w:val="left"/>
      <w:pPr>
        <w:ind w:left="436" w:hanging="360"/>
      </w:pPr>
      <w:rPr>
        <w:rFonts w:ascii="Symbol" w:hAnsi="Symbol" w:hint="default"/>
        <w:sz w:val="16"/>
      </w:rPr>
    </w:lvl>
    <w:lvl w:ilvl="1">
      <w:start w:val="1"/>
      <w:numFmt w:val="none"/>
      <w:lvlText w:val="o"/>
      <w:legacy w:legacy="1" w:legacySpace="120" w:legacyIndent="360"/>
      <w:lvlJc w:val="left"/>
      <w:pPr>
        <w:ind w:left="796" w:hanging="360"/>
      </w:pPr>
      <w:rPr>
        <w:rFonts w:ascii="Courier New" w:hAnsi="Courier New" w:cs="Times New Roman" w:hint="default"/>
      </w:rPr>
    </w:lvl>
    <w:lvl w:ilvl="2">
      <w:start w:val="1"/>
      <w:numFmt w:val="none"/>
      <w:lvlText w:val=""/>
      <w:legacy w:legacy="1" w:legacySpace="120" w:legacyIndent="360"/>
      <w:lvlJc w:val="left"/>
      <w:pPr>
        <w:ind w:left="1156" w:hanging="360"/>
      </w:pPr>
      <w:rPr>
        <w:rFonts w:ascii="Wingdings" w:hAnsi="Wingdings" w:cs="Times New Roman" w:hint="default"/>
      </w:rPr>
    </w:lvl>
    <w:lvl w:ilvl="3">
      <w:start w:val="1"/>
      <w:numFmt w:val="none"/>
      <w:lvlText w:val=""/>
      <w:legacy w:legacy="1" w:legacySpace="120" w:legacyIndent="360"/>
      <w:lvlJc w:val="left"/>
      <w:pPr>
        <w:ind w:left="1516" w:hanging="360"/>
      </w:pPr>
      <w:rPr>
        <w:rFonts w:ascii="Symbol" w:hAnsi="Symbol" w:cs="Times New Roman" w:hint="default"/>
      </w:rPr>
    </w:lvl>
    <w:lvl w:ilvl="4">
      <w:start w:val="1"/>
      <w:numFmt w:val="none"/>
      <w:lvlText w:val="o"/>
      <w:legacy w:legacy="1" w:legacySpace="120" w:legacyIndent="360"/>
      <w:lvlJc w:val="left"/>
      <w:pPr>
        <w:ind w:left="1876" w:hanging="360"/>
      </w:pPr>
      <w:rPr>
        <w:rFonts w:ascii="Courier New" w:hAnsi="Courier New" w:cs="Times New Roman" w:hint="default"/>
      </w:rPr>
    </w:lvl>
    <w:lvl w:ilvl="5">
      <w:start w:val="1"/>
      <w:numFmt w:val="none"/>
      <w:lvlText w:val=""/>
      <w:legacy w:legacy="1" w:legacySpace="120" w:legacyIndent="360"/>
      <w:lvlJc w:val="left"/>
      <w:pPr>
        <w:ind w:left="2236" w:hanging="360"/>
      </w:pPr>
      <w:rPr>
        <w:rFonts w:ascii="Wingdings" w:hAnsi="Wingdings" w:cs="Times New Roman" w:hint="default"/>
      </w:rPr>
    </w:lvl>
    <w:lvl w:ilvl="6">
      <w:start w:val="1"/>
      <w:numFmt w:val="none"/>
      <w:lvlText w:val=""/>
      <w:legacy w:legacy="1" w:legacySpace="120" w:legacyIndent="360"/>
      <w:lvlJc w:val="left"/>
      <w:pPr>
        <w:ind w:left="2596" w:hanging="360"/>
      </w:pPr>
      <w:rPr>
        <w:rFonts w:ascii="Symbol" w:hAnsi="Symbol" w:cs="Times New Roman" w:hint="default"/>
      </w:rPr>
    </w:lvl>
    <w:lvl w:ilvl="7">
      <w:start w:val="1"/>
      <w:numFmt w:val="none"/>
      <w:lvlText w:val="o"/>
      <w:legacy w:legacy="1" w:legacySpace="120" w:legacyIndent="360"/>
      <w:lvlJc w:val="left"/>
      <w:pPr>
        <w:ind w:left="2956" w:hanging="360"/>
      </w:pPr>
      <w:rPr>
        <w:rFonts w:ascii="Courier New" w:hAnsi="Courier New" w:cs="Times New Roman" w:hint="default"/>
      </w:rPr>
    </w:lvl>
    <w:lvl w:ilvl="8">
      <w:start w:val="1"/>
      <w:numFmt w:val="none"/>
      <w:lvlText w:val=""/>
      <w:legacy w:legacy="1" w:legacySpace="120" w:legacyIndent="360"/>
      <w:lvlJc w:val="left"/>
      <w:pPr>
        <w:ind w:left="3316" w:hanging="360"/>
      </w:pPr>
      <w:rPr>
        <w:rFonts w:ascii="Wingdings" w:hAnsi="Wingdings" w:cs="Times New Roman" w:hint="default"/>
      </w:rPr>
    </w:lvl>
  </w:abstractNum>
  <w:abstractNum w:abstractNumId="13" w15:restartNumberingAfterBreak="0">
    <w:nsid w:val="2E506574"/>
    <w:multiLevelType w:val="hybridMultilevel"/>
    <w:tmpl w:val="A262302C"/>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F8B12AC"/>
    <w:multiLevelType w:val="hybridMultilevel"/>
    <w:tmpl w:val="CF487C9E"/>
    <w:lvl w:ilvl="0" w:tplc="FF560A9E">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2616650"/>
    <w:multiLevelType w:val="hybridMultilevel"/>
    <w:tmpl w:val="FF7E1560"/>
    <w:lvl w:ilvl="0" w:tplc="04100017">
      <w:start w:val="8"/>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597140A"/>
    <w:multiLevelType w:val="hybridMultilevel"/>
    <w:tmpl w:val="C3C884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BFB5AE0"/>
    <w:multiLevelType w:val="hybridMultilevel"/>
    <w:tmpl w:val="13002C18"/>
    <w:lvl w:ilvl="0" w:tplc="3C2E3542">
      <w:start w:val="1"/>
      <w:numFmt w:val="lowerLetter"/>
      <w:lvlText w:val="%1)"/>
      <w:lvlJc w:val="left"/>
      <w:pPr>
        <w:tabs>
          <w:tab w:val="num" w:pos="360"/>
        </w:tabs>
        <w:ind w:left="360" w:hanging="360"/>
      </w:pPr>
      <w:rPr>
        <w:rFonts w:cs="Times New Roman"/>
      </w:rPr>
    </w:lvl>
    <w:lvl w:ilvl="1" w:tplc="73748356">
      <w:start w:val="1"/>
      <w:numFmt w:val="bullet"/>
      <w:lvlText w:val="-"/>
      <w:lvlJc w:val="left"/>
      <w:pPr>
        <w:tabs>
          <w:tab w:val="num" w:pos="1080"/>
        </w:tabs>
        <w:ind w:left="1080" w:hanging="360"/>
      </w:pPr>
      <w:rPr>
        <w:rFonts w:ascii="Times New Roman" w:eastAsia="Times New Roman" w:hAnsi="Times New Roman" w:hint="default"/>
      </w:rPr>
    </w:lvl>
    <w:lvl w:ilvl="2" w:tplc="F8DE199E">
      <w:start w:val="1"/>
      <w:numFmt w:val="decimal"/>
      <w:lvlText w:val="%3."/>
      <w:lvlJc w:val="left"/>
      <w:pPr>
        <w:tabs>
          <w:tab w:val="num" w:pos="2160"/>
        </w:tabs>
        <w:ind w:left="2160" w:hanging="360"/>
      </w:pPr>
      <w:rPr>
        <w:rFonts w:cs="Times New Roman"/>
      </w:rPr>
    </w:lvl>
    <w:lvl w:ilvl="3" w:tplc="051E8D78">
      <w:start w:val="1"/>
      <w:numFmt w:val="decimal"/>
      <w:lvlText w:val="%4."/>
      <w:lvlJc w:val="left"/>
      <w:pPr>
        <w:tabs>
          <w:tab w:val="num" w:pos="2880"/>
        </w:tabs>
        <w:ind w:left="2880" w:hanging="360"/>
      </w:pPr>
      <w:rPr>
        <w:rFonts w:cs="Times New Roman"/>
      </w:rPr>
    </w:lvl>
    <w:lvl w:ilvl="4" w:tplc="DAE052AE">
      <w:start w:val="1"/>
      <w:numFmt w:val="decimal"/>
      <w:lvlText w:val="%5."/>
      <w:lvlJc w:val="left"/>
      <w:pPr>
        <w:tabs>
          <w:tab w:val="num" w:pos="3600"/>
        </w:tabs>
        <w:ind w:left="3600" w:hanging="360"/>
      </w:pPr>
      <w:rPr>
        <w:rFonts w:cs="Times New Roman"/>
      </w:rPr>
    </w:lvl>
    <w:lvl w:ilvl="5" w:tplc="30688BFA">
      <w:start w:val="1"/>
      <w:numFmt w:val="decimal"/>
      <w:lvlText w:val="%6."/>
      <w:lvlJc w:val="left"/>
      <w:pPr>
        <w:tabs>
          <w:tab w:val="num" w:pos="4320"/>
        </w:tabs>
        <w:ind w:left="4320" w:hanging="360"/>
      </w:pPr>
      <w:rPr>
        <w:rFonts w:cs="Times New Roman"/>
      </w:rPr>
    </w:lvl>
    <w:lvl w:ilvl="6" w:tplc="88524830">
      <w:start w:val="1"/>
      <w:numFmt w:val="decimal"/>
      <w:lvlText w:val="%7."/>
      <w:lvlJc w:val="left"/>
      <w:pPr>
        <w:tabs>
          <w:tab w:val="num" w:pos="5040"/>
        </w:tabs>
        <w:ind w:left="5040" w:hanging="360"/>
      </w:pPr>
      <w:rPr>
        <w:rFonts w:cs="Times New Roman"/>
      </w:rPr>
    </w:lvl>
    <w:lvl w:ilvl="7" w:tplc="D0BE8460">
      <w:start w:val="1"/>
      <w:numFmt w:val="decimal"/>
      <w:lvlText w:val="%8."/>
      <w:lvlJc w:val="left"/>
      <w:pPr>
        <w:tabs>
          <w:tab w:val="num" w:pos="5760"/>
        </w:tabs>
        <w:ind w:left="5760" w:hanging="360"/>
      </w:pPr>
      <w:rPr>
        <w:rFonts w:cs="Times New Roman"/>
      </w:rPr>
    </w:lvl>
    <w:lvl w:ilvl="8" w:tplc="F83A53C4">
      <w:start w:val="1"/>
      <w:numFmt w:val="decimal"/>
      <w:lvlText w:val="%9."/>
      <w:lvlJc w:val="left"/>
      <w:pPr>
        <w:tabs>
          <w:tab w:val="num" w:pos="6480"/>
        </w:tabs>
        <w:ind w:left="6480" w:hanging="360"/>
      </w:pPr>
      <w:rPr>
        <w:rFonts w:cs="Times New Roman"/>
      </w:rPr>
    </w:lvl>
  </w:abstractNum>
  <w:abstractNum w:abstractNumId="18" w15:restartNumberingAfterBreak="0">
    <w:nsid w:val="3FC77781"/>
    <w:multiLevelType w:val="multilevel"/>
    <w:tmpl w:val="5F048D08"/>
    <w:lvl w:ilvl="0">
      <w:start w:val="1"/>
      <w:numFmt w:val="lowerLetter"/>
      <w:lvlText w:val="%1)"/>
      <w:lvlJc w:val="left"/>
      <w:pPr>
        <w:ind w:left="360" w:hanging="360"/>
      </w:pPr>
      <w:rPr>
        <w:rFonts w:cs="Times New Roman" w:hint="default"/>
        <w:sz w:val="22"/>
        <w:szCs w:val="22"/>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19" w15:restartNumberingAfterBreak="0">
    <w:nsid w:val="443A20A1"/>
    <w:multiLevelType w:val="hybridMultilevel"/>
    <w:tmpl w:val="DBE8DE4E"/>
    <w:lvl w:ilvl="0" w:tplc="13E832E4">
      <w:start w:val="1"/>
      <w:numFmt w:val="lowerLetter"/>
      <w:lvlText w:val="%1)"/>
      <w:lvlJc w:val="left"/>
      <w:pPr>
        <w:ind w:left="1211" w:hanging="360"/>
      </w:pPr>
      <w:rPr>
        <w:rFonts w:hint="default"/>
      </w:rPr>
    </w:lvl>
    <w:lvl w:ilvl="1" w:tplc="04100019" w:tentative="1">
      <w:start w:val="1"/>
      <w:numFmt w:val="lowerLetter"/>
      <w:lvlText w:val="%2."/>
      <w:lvlJc w:val="left"/>
      <w:pPr>
        <w:ind w:left="1931" w:hanging="360"/>
      </w:pPr>
    </w:lvl>
    <w:lvl w:ilvl="2" w:tplc="0410001B" w:tentative="1">
      <w:start w:val="1"/>
      <w:numFmt w:val="lowerRoman"/>
      <w:lvlText w:val="%3."/>
      <w:lvlJc w:val="right"/>
      <w:pPr>
        <w:ind w:left="2651" w:hanging="180"/>
      </w:pPr>
    </w:lvl>
    <w:lvl w:ilvl="3" w:tplc="0410000F" w:tentative="1">
      <w:start w:val="1"/>
      <w:numFmt w:val="decimal"/>
      <w:lvlText w:val="%4."/>
      <w:lvlJc w:val="left"/>
      <w:pPr>
        <w:ind w:left="3371" w:hanging="360"/>
      </w:pPr>
    </w:lvl>
    <w:lvl w:ilvl="4" w:tplc="04100019" w:tentative="1">
      <w:start w:val="1"/>
      <w:numFmt w:val="lowerLetter"/>
      <w:lvlText w:val="%5."/>
      <w:lvlJc w:val="left"/>
      <w:pPr>
        <w:ind w:left="4091" w:hanging="360"/>
      </w:pPr>
    </w:lvl>
    <w:lvl w:ilvl="5" w:tplc="0410001B" w:tentative="1">
      <w:start w:val="1"/>
      <w:numFmt w:val="lowerRoman"/>
      <w:lvlText w:val="%6."/>
      <w:lvlJc w:val="right"/>
      <w:pPr>
        <w:ind w:left="4811" w:hanging="180"/>
      </w:pPr>
    </w:lvl>
    <w:lvl w:ilvl="6" w:tplc="0410000F" w:tentative="1">
      <w:start w:val="1"/>
      <w:numFmt w:val="decimal"/>
      <w:lvlText w:val="%7."/>
      <w:lvlJc w:val="left"/>
      <w:pPr>
        <w:ind w:left="5531" w:hanging="360"/>
      </w:pPr>
    </w:lvl>
    <w:lvl w:ilvl="7" w:tplc="04100019" w:tentative="1">
      <w:start w:val="1"/>
      <w:numFmt w:val="lowerLetter"/>
      <w:lvlText w:val="%8."/>
      <w:lvlJc w:val="left"/>
      <w:pPr>
        <w:ind w:left="6251" w:hanging="360"/>
      </w:pPr>
    </w:lvl>
    <w:lvl w:ilvl="8" w:tplc="0410001B" w:tentative="1">
      <w:start w:val="1"/>
      <w:numFmt w:val="lowerRoman"/>
      <w:lvlText w:val="%9."/>
      <w:lvlJc w:val="right"/>
      <w:pPr>
        <w:ind w:left="6971" w:hanging="180"/>
      </w:pPr>
    </w:lvl>
  </w:abstractNum>
  <w:abstractNum w:abstractNumId="20" w15:restartNumberingAfterBreak="0">
    <w:nsid w:val="474C77F6"/>
    <w:multiLevelType w:val="multilevel"/>
    <w:tmpl w:val="DDBAE24C"/>
    <w:lvl w:ilvl="0">
      <w:numFmt w:val="bullet"/>
      <w:lvlText w:val="-"/>
      <w:lvlJc w:val="left"/>
      <w:pPr>
        <w:ind w:left="360" w:hanging="360"/>
      </w:pPr>
      <w:rPr>
        <w:rFonts w:ascii="Arial" w:eastAsia="Times New Roman" w:hAnsi="Arial"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21" w15:restartNumberingAfterBreak="0">
    <w:nsid w:val="48327BE1"/>
    <w:multiLevelType w:val="hybridMultilevel"/>
    <w:tmpl w:val="54300C48"/>
    <w:lvl w:ilvl="0" w:tplc="04100001">
      <w:start w:val="1"/>
      <w:numFmt w:val="bullet"/>
      <w:lvlText w:val=""/>
      <w:lvlJc w:val="left"/>
      <w:pPr>
        <w:ind w:left="1639" w:hanging="360"/>
      </w:pPr>
      <w:rPr>
        <w:rFonts w:ascii="Symbol" w:hAnsi="Symbol" w:hint="default"/>
      </w:rPr>
    </w:lvl>
    <w:lvl w:ilvl="1" w:tplc="04100003" w:tentative="1">
      <w:start w:val="1"/>
      <w:numFmt w:val="bullet"/>
      <w:lvlText w:val="o"/>
      <w:lvlJc w:val="left"/>
      <w:pPr>
        <w:ind w:left="2359" w:hanging="360"/>
      </w:pPr>
      <w:rPr>
        <w:rFonts w:ascii="Courier New" w:hAnsi="Courier New" w:cs="Courier New" w:hint="default"/>
      </w:rPr>
    </w:lvl>
    <w:lvl w:ilvl="2" w:tplc="04100005" w:tentative="1">
      <w:start w:val="1"/>
      <w:numFmt w:val="bullet"/>
      <w:lvlText w:val=""/>
      <w:lvlJc w:val="left"/>
      <w:pPr>
        <w:ind w:left="3079" w:hanging="360"/>
      </w:pPr>
      <w:rPr>
        <w:rFonts w:ascii="Wingdings" w:hAnsi="Wingdings" w:hint="default"/>
      </w:rPr>
    </w:lvl>
    <w:lvl w:ilvl="3" w:tplc="04100001" w:tentative="1">
      <w:start w:val="1"/>
      <w:numFmt w:val="bullet"/>
      <w:lvlText w:val=""/>
      <w:lvlJc w:val="left"/>
      <w:pPr>
        <w:ind w:left="3799" w:hanging="360"/>
      </w:pPr>
      <w:rPr>
        <w:rFonts w:ascii="Symbol" w:hAnsi="Symbol" w:hint="default"/>
      </w:rPr>
    </w:lvl>
    <w:lvl w:ilvl="4" w:tplc="04100003" w:tentative="1">
      <w:start w:val="1"/>
      <w:numFmt w:val="bullet"/>
      <w:lvlText w:val="o"/>
      <w:lvlJc w:val="left"/>
      <w:pPr>
        <w:ind w:left="4519" w:hanging="360"/>
      </w:pPr>
      <w:rPr>
        <w:rFonts w:ascii="Courier New" w:hAnsi="Courier New" w:cs="Courier New" w:hint="default"/>
      </w:rPr>
    </w:lvl>
    <w:lvl w:ilvl="5" w:tplc="04100005" w:tentative="1">
      <w:start w:val="1"/>
      <w:numFmt w:val="bullet"/>
      <w:lvlText w:val=""/>
      <w:lvlJc w:val="left"/>
      <w:pPr>
        <w:ind w:left="5239" w:hanging="360"/>
      </w:pPr>
      <w:rPr>
        <w:rFonts w:ascii="Wingdings" w:hAnsi="Wingdings" w:hint="default"/>
      </w:rPr>
    </w:lvl>
    <w:lvl w:ilvl="6" w:tplc="04100001" w:tentative="1">
      <w:start w:val="1"/>
      <w:numFmt w:val="bullet"/>
      <w:lvlText w:val=""/>
      <w:lvlJc w:val="left"/>
      <w:pPr>
        <w:ind w:left="5959" w:hanging="360"/>
      </w:pPr>
      <w:rPr>
        <w:rFonts w:ascii="Symbol" w:hAnsi="Symbol" w:hint="default"/>
      </w:rPr>
    </w:lvl>
    <w:lvl w:ilvl="7" w:tplc="04100003" w:tentative="1">
      <w:start w:val="1"/>
      <w:numFmt w:val="bullet"/>
      <w:lvlText w:val="o"/>
      <w:lvlJc w:val="left"/>
      <w:pPr>
        <w:ind w:left="6679" w:hanging="360"/>
      </w:pPr>
      <w:rPr>
        <w:rFonts w:ascii="Courier New" w:hAnsi="Courier New" w:cs="Courier New" w:hint="default"/>
      </w:rPr>
    </w:lvl>
    <w:lvl w:ilvl="8" w:tplc="04100005" w:tentative="1">
      <w:start w:val="1"/>
      <w:numFmt w:val="bullet"/>
      <w:lvlText w:val=""/>
      <w:lvlJc w:val="left"/>
      <w:pPr>
        <w:ind w:left="7399" w:hanging="360"/>
      </w:pPr>
      <w:rPr>
        <w:rFonts w:ascii="Wingdings" w:hAnsi="Wingdings" w:hint="default"/>
      </w:rPr>
    </w:lvl>
  </w:abstractNum>
  <w:abstractNum w:abstractNumId="22" w15:restartNumberingAfterBreak="0">
    <w:nsid w:val="4B4E285F"/>
    <w:multiLevelType w:val="hybridMultilevel"/>
    <w:tmpl w:val="071E461C"/>
    <w:lvl w:ilvl="0" w:tplc="903AAA68">
      <w:start w:val="166"/>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C85515C"/>
    <w:multiLevelType w:val="hybridMultilevel"/>
    <w:tmpl w:val="140EE472"/>
    <w:lvl w:ilvl="0" w:tplc="8A4600E8">
      <w:numFmt w:val="bullet"/>
      <w:lvlText w:val="-"/>
      <w:lvlJc w:val="left"/>
      <w:pPr>
        <w:ind w:left="360" w:hanging="360"/>
      </w:pPr>
      <w:rPr>
        <w:rFonts w:ascii="Arial" w:eastAsia="Times New Roman" w:hAnsi="Aria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15:restartNumberingAfterBreak="0">
    <w:nsid w:val="4F716DFC"/>
    <w:multiLevelType w:val="multilevel"/>
    <w:tmpl w:val="3F842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B4D6556"/>
    <w:multiLevelType w:val="hybridMultilevel"/>
    <w:tmpl w:val="289C4124"/>
    <w:lvl w:ilvl="0" w:tplc="04100017">
      <w:start w:val="12"/>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5F5B60BD"/>
    <w:multiLevelType w:val="hybridMultilevel"/>
    <w:tmpl w:val="FC6451E6"/>
    <w:lvl w:ilvl="0" w:tplc="F138A334">
      <w:start w:val="1"/>
      <w:numFmt w:val="bullet"/>
      <w:lvlText w:val="-"/>
      <w:lvlJc w:val="left"/>
      <w:pPr>
        <w:tabs>
          <w:tab w:val="num" w:pos="360"/>
        </w:tabs>
        <w:ind w:left="360" w:hanging="360"/>
      </w:pPr>
      <w:rPr>
        <w:rFonts w:ascii="Times New Roman" w:eastAsia="Times New Roman" w:hAnsi="Times New Roman" w:hint="default"/>
      </w:rPr>
    </w:lvl>
    <w:lvl w:ilvl="1" w:tplc="8D10318E" w:tentative="1">
      <w:start w:val="1"/>
      <w:numFmt w:val="bullet"/>
      <w:lvlText w:val="o"/>
      <w:lvlJc w:val="left"/>
      <w:pPr>
        <w:tabs>
          <w:tab w:val="num" w:pos="1440"/>
        </w:tabs>
        <w:ind w:left="1440" w:hanging="360"/>
      </w:pPr>
      <w:rPr>
        <w:rFonts w:ascii="Courier New" w:hAnsi="Courier New" w:hint="default"/>
      </w:rPr>
    </w:lvl>
    <w:lvl w:ilvl="2" w:tplc="7DC436CA" w:tentative="1">
      <w:start w:val="1"/>
      <w:numFmt w:val="bullet"/>
      <w:lvlText w:val=""/>
      <w:lvlJc w:val="left"/>
      <w:pPr>
        <w:tabs>
          <w:tab w:val="num" w:pos="2160"/>
        </w:tabs>
        <w:ind w:left="2160" w:hanging="360"/>
      </w:pPr>
      <w:rPr>
        <w:rFonts w:ascii="Wingdings" w:hAnsi="Wingdings" w:hint="default"/>
      </w:rPr>
    </w:lvl>
    <w:lvl w:ilvl="3" w:tplc="68DE7CBC" w:tentative="1">
      <w:start w:val="1"/>
      <w:numFmt w:val="bullet"/>
      <w:lvlText w:val=""/>
      <w:lvlJc w:val="left"/>
      <w:pPr>
        <w:tabs>
          <w:tab w:val="num" w:pos="2880"/>
        </w:tabs>
        <w:ind w:left="2880" w:hanging="360"/>
      </w:pPr>
      <w:rPr>
        <w:rFonts w:ascii="Symbol" w:hAnsi="Symbol" w:hint="default"/>
      </w:rPr>
    </w:lvl>
    <w:lvl w:ilvl="4" w:tplc="DF2AECFC" w:tentative="1">
      <w:start w:val="1"/>
      <w:numFmt w:val="bullet"/>
      <w:lvlText w:val="o"/>
      <w:lvlJc w:val="left"/>
      <w:pPr>
        <w:tabs>
          <w:tab w:val="num" w:pos="3600"/>
        </w:tabs>
        <w:ind w:left="3600" w:hanging="360"/>
      </w:pPr>
      <w:rPr>
        <w:rFonts w:ascii="Courier New" w:hAnsi="Courier New" w:hint="default"/>
      </w:rPr>
    </w:lvl>
    <w:lvl w:ilvl="5" w:tplc="01D0F7D4" w:tentative="1">
      <w:start w:val="1"/>
      <w:numFmt w:val="bullet"/>
      <w:lvlText w:val=""/>
      <w:lvlJc w:val="left"/>
      <w:pPr>
        <w:tabs>
          <w:tab w:val="num" w:pos="4320"/>
        </w:tabs>
        <w:ind w:left="4320" w:hanging="360"/>
      </w:pPr>
      <w:rPr>
        <w:rFonts w:ascii="Wingdings" w:hAnsi="Wingdings" w:hint="default"/>
      </w:rPr>
    </w:lvl>
    <w:lvl w:ilvl="6" w:tplc="0A6AE94E" w:tentative="1">
      <w:start w:val="1"/>
      <w:numFmt w:val="bullet"/>
      <w:lvlText w:val=""/>
      <w:lvlJc w:val="left"/>
      <w:pPr>
        <w:tabs>
          <w:tab w:val="num" w:pos="5040"/>
        </w:tabs>
        <w:ind w:left="5040" w:hanging="360"/>
      </w:pPr>
      <w:rPr>
        <w:rFonts w:ascii="Symbol" w:hAnsi="Symbol" w:hint="default"/>
      </w:rPr>
    </w:lvl>
    <w:lvl w:ilvl="7" w:tplc="112654A6" w:tentative="1">
      <w:start w:val="1"/>
      <w:numFmt w:val="bullet"/>
      <w:lvlText w:val="o"/>
      <w:lvlJc w:val="left"/>
      <w:pPr>
        <w:tabs>
          <w:tab w:val="num" w:pos="5760"/>
        </w:tabs>
        <w:ind w:left="5760" w:hanging="360"/>
      </w:pPr>
      <w:rPr>
        <w:rFonts w:ascii="Courier New" w:hAnsi="Courier New" w:hint="default"/>
      </w:rPr>
    </w:lvl>
    <w:lvl w:ilvl="8" w:tplc="DF08EC5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6B1CA1"/>
    <w:multiLevelType w:val="multilevel"/>
    <w:tmpl w:val="173CCA70"/>
    <w:lvl w:ilvl="0">
      <w:start w:val="1"/>
      <w:numFmt w:val="bullet"/>
      <w:lvlText w:val=""/>
      <w:lvlJc w:val="left"/>
      <w:pPr>
        <w:ind w:left="360" w:hanging="360"/>
      </w:pPr>
      <w:rPr>
        <w:rFonts w:ascii="Symbol" w:hAnsi="Symbol"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28" w15:restartNumberingAfterBreak="0">
    <w:nsid w:val="61C74FF6"/>
    <w:multiLevelType w:val="hybridMultilevel"/>
    <w:tmpl w:val="4DFAD87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6BEE4A64"/>
    <w:multiLevelType w:val="hybridMultilevel"/>
    <w:tmpl w:val="17A6C0FC"/>
    <w:lvl w:ilvl="0" w:tplc="04100017">
      <w:start w:val="1"/>
      <w:numFmt w:val="lowerLetter"/>
      <w:lvlText w:val="%1)"/>
      <w:lvlJc w:val="left"/>
      <w:pPr>
        <w:ind w:left="502"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F515856"/>
    <w:multiLevelType w:val="hybridMultilevel"/>
    <w:tmpl w:val="53F655EC"/>
    <w:lvl w:ilvl="0" w:tplc="3C2E3542">
      <w:start w:val="1"/>
      <w:numFmt w:val="lowerLetter"/>
      <w:lvlText w:val="%1)"/>
      <w:lvlJc w:val="left"/>
      <w:pPr>
        <w:ind w:left="720" w:hanging="360"/>
      </w:pPr>
      <w:rPr>
        <w:rFonts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70C86E45"/>
    <w:multiLevelType w:val="hybridMultilevel"/>
    <w:tmpl w:val="5DCE0CA4"/>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71132A5E"/>
    <w:multiLevelType w:val="hybridMultilevel"/>
    <w:tmpl w:val="75B03EC0"/>
    <w:lvl w:ilvl="0" w:tplc="43A81B18">
      <w:numFmt w:val="bullet"/>
      <w:lvlText w:val="-"/>
      <w:lvlJc w:val="left"/>
      <w:pPr>
        <w:tabs>
          <w:tab w:val="num" w:pos="720"/>
        </w:tabs>
        <w:ind w:left="720" w:hanging="360"/>
      </w:pPr>
      <w:rPr>
        <w:rFonts w:ascii="Arial" w:eastAsia="Times New Roman" w:hAnsi="Arial" w:hint="default"/>
      </w:rPr>
    </w:lvl>
    <w:lvl w:ilvl="1" w:tplc="F0F6B994" w:tentative="1">
      <w:start w:val="1"/>
      <w:numFmt w:val="bullet"/>
      <w:lvlText w:val="o"/>
      <w:lvlJc w:val="left"/>
      <w:pPr>
        <w:tabs>
          <w:tab w:val="num" w:pos="1440"/>
        </w:tabs>
        <w:ind w:left="1440" w:hanging="360"/>
      </w:pPr>
      <w:rPr>
        <w:rFonts w:ascii="Courier New" w:hAnsi="Courier New" w:hint="default"/>
      </w:rPr>
    </w:lvl>
    <w:lvl w:ilvl="2" w:tplc="F222C8DE" w:tentative="1">
      <w:start w:val="1"/>
      <w:numFmt w:val="bullet"/>
      <w:lvlText w:val=""/>
      <w:lvlJc w:val="left"/>
      <w:pPr>
        <w:tabs>
          <w:tab w:val="num" w:pos="2160"/>
        </w:tabs>
        <w:ind w:left="2160" w:hanging="360"/>
      </w:pPr>
      <w:rPr>
        <w:rFonts w:ascii="Wingdings" w:hAnsi="Wingdings" w:hint="default"/>
      </w:rPr>
    </w:lvl>
    <w:lvl w:ilvl="3" w:tplc="7A547E1E" w:tentative="1">
      <w:start w:val="1"/>
      <w:numFmt w:val="bullet"/>
      <w:lvlText w:val=""/>
      <w:lvlJc w:val="left"/>
      <w:pPr>
        <w:tabs>
          <w:tab w:val="num" w:pos="2880"/>
        </w:tabs>
        <w:ind w:left="2880" w:hanging="360"/>
      </w:pPr>
      <w:rPr>
        <w:rFonts w:ascii="Symbol" w:hAnsi="Symbol" w:hint="default"/>
      </w:rPr>
    </w:lvl>
    <w:lvl w:ilvl="4" w:tplc="A5BA637C" w:tentative="1">
      <w:start w:val="1"/>
      <w:numFmt w:val="bullet"/>
      <w:lvlText w:val="o"/>
      <w:lvlJc w:val="left"/>
      <w:pPr>
        <w:tabs>
          <w:tab w:val="num" w:pos="3600"/>
        </w:tabs>
        <w:ind w:left="3600" w:hanging="360"/>
      </w:pPr>
      <w:rPr>
        <w:rFonts w:ascii="Courier New" w:hAnsi="Courier New" w:hint="default"/>
      </w:rPr>
    </w:lvl>
    <w:lvl w:ilvl="5" w:tplc="2662D30C" w:tentative="1">
      <w:start w:val="1"/>
      <w:numFmt w:val="bullet"/>
      <w:lvlText w:val=""/>
      <w:lvlJc w:val="left"/>
      <w:pPr>
        <w:tabs>
          <w:tab w:val="num" w:pos="4320"/>
        </w:tabs>
        <w:ind w:left="4320" w:hanging="360"/>
      </w:pPr>
      <w:rPr>
        <w:rFonts w:ascii="Wingdings" w:hAnsi="Wingdings" w:hint="default"/>
      </w:rPr>
    </w:lvl>
    <w:lvl w:ilvl="6" w:tplc="13EED308" w:tentative="1">
      <w:start w:val="1"/>
      <w:numFmt w:val="bullet"/>
      <w:lvlText w:val=""/>
      <w:lvlJc w:val="left"/>
      <w:pPr>
        <w:tabs>
          <w:tab w:val="num" w:pos="5040"/>
        </w:tabs>
        <w:ind w:left="5040" w:hanging="360"/>
      </w:pPr>
      <w:rPr>
        <w:rFonts w:ascii="Symbol" w:hAnsi="Symbol" w:hint="default"/>
      </w:rPr>
    </w:lvl>
    <w:lvl w:ilvl="7" w:tplc="6F2EC11A" w:tentative="1">
      <w:start w:val="1"/>
      <w:numFmt w:val="bullet"/>
      <w:lvlText w:val="o"/>
      <w:lvlJc w:val="left"/>
      <w:pPr>
        <w:tabs>
          <w:tab w:val="num" w:pos="5760"/>
        </w:tabs>
        <w:ind w:left="5760" w:hanging="360"/>
      </w:pPr>
      <w:rPr>
        <w:rFonts w:ascii="Courier New" w:hAnsi="Courier New" w:hint="default"/>
      </w:rPr>
    </w:lvl>
    <w:lvl w:ilvl="8" w:tplc="91DC1F80"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153509B"/>
    <w:multiLevelType w:val="hybridMultilevel"/>
    <w:tmpl w:val="3D683638"/>
    <w:lvl w:ilvl="0" w:tplc="B9B03E4A">
      <w:start w:val="1"/>
      <w:numFmt w:val="bullet"/>
      <w:lvlText w:val="-"/>
      <w:lvlJc w:val="left"/>
      <w:pPr>
        <w:tabs>
          <w:tab w:val="num" w:pos="360"/>
        </w:tabs>
        <w:ind w:left="360" w:hanging="360"/>
      </w:pPr>
      <w:rPr>
        <w:rFonts w:ascii="Times New Roman" w:eastAsia="Times New Roman" w:hAnsi="Times New Roman" w:hint="default"/>
      </w:rPr>
    </w:lvl>
    <w:lvl w:ilvl="1" w:tplc="E806CE44">
      <w:start w:val="1"/>
      <w:numFmt w:val="decimal"/>
      <w:lvlText w:val="%2."/>
      <w:lvlJc w:val="left"/>
      <w:pPr>
        <w:tabs>
          <w:tab w:val="num" w:pos="1440"/>
        </w:tabs>
        <w:ind w:left="1440" w:hanging="360"/>
      </w:pPr>
      <w:rPr>
        <w:rFonts w:cs="Times New Roman"/>
      </w:rPr>
    </w:lvl>
    <w:lvl w:ilvl="2" w:tplc="A62696FE">
      <w:start w:val="1"/>
      <w:numFmt w:val="decimal"/>
      <w:lvlText w:val="%3."/>
      <w:lvlJc w:val="left"/>
      <w:pPr>
        <w:tabs>
          <w:tab w:val="num" w:pos="2160"/>
        </w:tabs>
        <w:ind w:left="2160" w:hanging="360"/>
      </w:pPr>
      <w:rPr>
        <w:rFonts w:cs="Times New Roman"/>
      </w:rPr>
    </w:lvl>
    <w:lvl w:ilvl="3" w:tplc="1960CB46">
      <w:start w:val="1"/>
      <w:numFmt w:val="decimal"/>
      <w:lvlText w:val="%4."/>
      <w:lvlJc w:val="left"/>
      <w:pPr>
        <w:tabs>
          <w:tab w:val="num" w:pos="2880"/>
        </w:tabs>
        <w:ind w:left="2880" w:hanging="360"/>
      </w:pPr>
      <w:rPr>
        <w:rFonts w:cs="Times New Roman"/>
      </w:rPr>
    </w:lvl>
    <w:lvl w:ilvl="4" w:tplc="B5A28A5A">
      <w:start w:val="1"/>
      <w:numFmt w:val="decimal"/>
      <w:lvlText w:val="%5."/>
      <w:lvlJc w:val="left"/>
      <w:pPr>
        <w:tabs>
          <w:tab w:val="num" w:pos="3600"/>
        </w:tabs>
        <w:ind w:left="3600" w:hanging="360"/>
      </w:pPr>
      <w:rPr>
        <w:rFonts w:cs="Times New Roman"/>
      </w:rPr>
    </w:lvl>
    <w:lvl w:ilvl="5" w:tplc="13BC87D4">
      <w:start w:val="1"/>
      <w:numFmt w:val="decimal"/>
      <w:lvlText w:val="%6."/>
      <w:lvlJc w:val="left"/>
      <w:pPr>
        <w:tabs>
          <w:tab w:val="num" w:pos="4320"/>
        </w:tabs>
        <w:ind w:left="4320" w:hanging="360"/>
      </w:pPr>
      <w:rPr>
        <w:rFonts w:cs="Times New Roman"/>
      </w:rPr>
    </w:lvl>
    <w:lvl w:ilvl="6" w:tplc="4692B3E2">
      <w:start w:val="1"/>
      <w:numFmt w:val="decimal"/>
      <w:lvlText w:val="%7."/>
      <w:lvlJc w:val="left"/>
      <w:pPr>
        <w:tabs>
          <w:tab w:val="num" w:pos="5040"/>
        </w:tabs>
        <w:ind w:left="5040" w:hanging="360"/>
      </w:pPr>
      <w:rPr>
        <w:rFonts w:cs="Times New Roman"/>
      </w:rPr>
    </w:lvl>
    <w:lvl w:ilvl="7" w:tplc="6F963A08">
      <w:start w:val="1"/>
      <w:numFmt w:val="decimal"/>
      <w:lvlText w:val="%8."/>
      <w:lvlJc w:val="left"/>
      <w:pPr>
        <w:tabs>
          <w:tab w:val="num" w:pos="5760"/>
        </w:tabs>
        <w:ind w:left="5760" w:hanging="360"/>
      </w:pPr>
      <w:rPr>
        <w:rFonts w:cs="Times New Roman"/>
      </w:rPr>
    </w:lvl>
    <w:lvl w:ilvl="8" w:tplc="ADDA0F5A">
      <w:start w:val="1"/>
      <w:numFmt w:val="decimal"/>
      <w:lvlText w:val="%9."/>
      <w:lvlJc w:val="left"/>
      <w:pPr>
        <w:tabs>
          <w:tab w:val="num" w:pos="6480"/>
        </w:tabs>
        <w:ind w:left="6480" w:hanging="360"/>
      </w:pPr>
      <w:rPr>
        <w:rFonts w:cs="Times New Roman"/>
      </w:rPr>
    </w:lvl>
  </w:abstractNum>
  <w:abstractNum w:abstractNumId="34" w15:restartNumberingAfterBreak="0">
    <w:nsid w:val="72AF7C0F"/>
    <w:multiLevelType w:val="hybridMultilevel"/>
    <w:tmpl w:val="43520E5E"/>
    <w:lvl w:ilvl="0" w:tplc="7A4C59BE">
      <w:start w:val="1"/>
      <w:numFmt w:val="bullet"/>
      <w:lvlText w:val="-"/>
      <w:lvlJc w:val="left"/>
      <w:pPr>
        <w:tabs>
          <w:tab w:val="num" w:pos="360"/>
        </w:tabs>
        <w:ind w:left="360" w:hanging="360"/>
      </w:pPr>
      <w:rPr>
        <w:rFonts w:ascii="Times New Roman" w:eastAsia="Times New Roman" w:hAnsi="Times New Roman" w:hint="default"/>
      </w:rPr>
    </w:lvl>
    <w:lvl w:ilvl="1" w:tplc="63A8B3F2">
      <w:start w:val="1"/>
      <w:numFmt w:val="decimal"/>
      <w:lvlText w:val="%2."/>
      <w:lvlJc w:val="left"/>
      <w:pPr>
        <w:tabs>
          <w:tab w:val="num" w:pos="1440"/>
        </w:tabs>
        <w:ind w:left="1440" w:hanging="360"/>
      </w:pPr>
      <w:rPr>
        <w:rFonts w:cs="Times New Roman"/>
      </w:rPr>
    </w:lvl>
    <w:lvl w:ilvl="2" w:tplc="C3E259C8">
      <w:start w:val="1"/>
      <w:numFmt w:val="decimal"/>
      <w:lvlText w:val="%3."/>
      <w:lvlJc w:val="left"/>
      <w:pPr>
        <w:tabs>
          <w:tab w:val="num" w:pos="2160"/>
        </w:tabs>
        <w:ind w:left="2160" w:hanging="360"/>
      </w:pPr>
      <w:rPr>
        <w:rFonts w:cs="Times New Roman"/>
      </w:rPr>
    </w:lvl>
    <w:lvl w:ilvl="3" w:tplc="C388E698">
      <w:start w:val="1"/>
      <w:numFmt w:val="decimal"/>
      <w:lvlText w:val="%4."/>
      <w:lvlJc w:val="left"/>
      <w:pPr>
        <w:tabs>
          <w:tab w:val="num" w:pos="2880"/>
        </w:tabs>
        <w:ind w:left="2880" w:hanging="360"/>
      </w:pPr>
      <w:rPr>
        <w:rFonts w:cs="Times New Roman"/>
      </w:rPr>
    </w:lvl>
    <w:lvl w:ilvl="4" w:tplc="1A220D42">
      <w:start w:val="1"/>
      <w:numFmt w:val="decimal"/>
      <w:lvlText w:val="%5."/>
      <w:lvlJc w:val="left"/>
      <w:pPr>
        <w:tabs>
          <w:tab w:val="num" w:pos="3600"/>
        </w:tabs>
        <w:ind w:left="3600" w:hanging="360"/>
      </w:pPr>
      <w:rPr>
        <w:rFonts w:cs="Times New Roman"/>
      </w:rPr>
    </w:lvl>
    <w:lvl w:ilvl="5" w:tplc="08169CC2">
      <w:start w:val="1"/>
      <w:numFmt w:val="decimal"/>
      <w:lvlText w:val="%6."/>
      <w:lvlJc w:val="left"/>
      <w:pPr>
        <w:tabs>
          <w:tab w:val="num" w:pos="4320"/>
        </w:tabs>
        <w:ind w:left="4320" w:hanging="360"/>
      </w:pPr>
      <w:rPr>
        <w:rFonts w:cs="Times New Roman"/>
      </w:rPr>
    </w:lvl>
    <w:lvl w:ilvl="6" w:tplc="2BCEDD6C">
      <w:start w:val="1"/>
      <w:numFmt w:val="decimal"/>
      <w:lvlText w:val="%7."/>
      <w:lvlJc w:val="left"/>
      <w:pPr>
        <w:tabs>
          <w:tab w:val="num" w:pos="5040"/>
        </w:tabs>
        <w:ind w:left="5040" w:hanging="360"/>
      </w:pPr>
      <w:rPr>
        <w:rFonts w:cs="Times New Roman"/>
      </w:rPr>
    </w:lvl>
    <w:lvl w:ilvl="7" w:tplc="20EC808C">
      <w:start w:val="1"/>
      <w:numFmt w:val="decimal"/>
      <w:lvlText w:val="%8."/>
      <w:lvlJc w:val="left"/>
      <w:pPr>
        <w:tabs>
          <w:tab w:val="num" w:pos="5760"/>
        </w:tabs>
        <w:ind w:left="5760" w:hanging="360"/>
      </w:pPr>
      <w:rPr>
        <w:rFonts w:cs="Times New Roman"/>
      </w:rPr>
    </w:lvl>
    <w:lvl w:ilvl="8" w:tplc="17B83760">
      <w:start w:val="1"/>
      <w:numFmt w:val="decimal"/>
      <w:lvlText w:val="%9."/>
      <w:lvlJc w:val="left"/>
      <w:pPr>
        <w:tabs>
          <w:tab w:val="num" w:pos="6480"/>
        </w:tabs>
        <w:ind w:left="6480" w:hanging="360"/>
      </w:pPr>
      <w:rPr>
        <w:rFonts w:cs="Times New Roman"/>
      </w:rPr>
    </w:lvl>
  </w:abstractNum>
  <w:abstractNum w:abstractNumId="35" w15:restartNumberingAfterBreak="0">
    <w:nsid w:val="762C571D"/>
    <w:multiLevelType w:val="hybridMultilevel"/>
    <w:tmpl w:val="FAC26C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66A0300"/>
    <w:multiLevelType w:val="hybridMultilevel"/>
    <w:tmpl w:val="80F473F4"/>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77112519"/>
    <w:multiLevelType w:val="multilevel"/>
    <w:tmpl w:val="96D29B6C"/>
    <w:lvl w:ilvl="0">
      <w:numFmt w:val="bullet"/>
      <w:lvlText w:val=""/>
      <w:lvlJc w:val="left"/>
      <w:pPr>
        <w:ind w:left="360" w:hanging="360"/>
      </w:pPr>
      <w:rPr>
        <w:rFonts w:ascii="Symbol" w:eastAsiaTheme="minorHAnsi" w:hAnsi="Symbol" w:cstheme="minorBidi"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38" w15:restartNumberingAfterBreak="0">
    <w:nsid w:val="792C6A08"/>
    <w:multiLevelType w:val="hybridMultilevel"/>
    <w:tmpl w:val="C3DA1EA0"/>
    <w:lvl w:ilvl="0" w:tplc="852C67FC">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39" w15:restartNumberingAfterBreak="0">
    <w:nsid w:val="79CD039C"/>
    <w:multiLevelType w:val="hybridMultilevel"/>
    <w:tmpl w:val="30C6A4C2"/>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80476387">
    <w:abstractNumId w:val="12"/>
  </w:num>
  <w:num w:numId="2" w16cid:durableId="98650705">
    <w:abstractNumId w:val="3"/>
  </w:num>
  <w:num w:numId="3" w16cid:durableId="1873108506">
    <w:abstractNumId w:val="37"/>
  </w:num>
  <w:num w:numId="4" w16cid:durableId="414210898">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09216922">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6154972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22120438">
    <w:abstractNumId w:val="26"/>
  </w:num>
  <w:num w:numId="8" w16cid:durableId="1916235879">
    <w:abstractNumId w:val="32"/>
  </w:num>
  <w:num w:numId="9" w16cid:durableId="354961230">
    <w:abstractNumId w:val="2"/>
  </w:num>
  <w:num w:numId="10" w16cid:durableId="786315574">
    <w:abstractNumId w:val="23"/>
  </w:num>
  <w:num w:numId="11" w16cid:durableId="542790330">
    <w:abstractNumId w:val="29"/>
  </w:num>
  <w:num w:numId="12" w16cid:durableId="283851587">
    <w:abstractNumId w:val="11"/>
  </w:num>
  <w:num w:numId="13" w16cid:durableId="180821130">
    <w:abstractNumId w:val="28"/>
  </w:num>
  <w:num w:numId="14" w16cid:durableId="1311398260">
    <w:abstractNumId w:val="9"/>
  </w:num>
  <w:num w:numId="15" w16cid:durableId="229312386">
    <w:abstractNumId w:val="15"/>
  </w:num>
  <w:num w:numId="16" w16cid:durableId="391389790">
    <w:abstractNumId w:val="36"/>
  </w:num>
  <w:num w:numId="17" w16cid:durableId="1803841092">
    <w:abstractNumId w:val="4"/>
  </w:num>
  <w:num w:numId="18" w16cid:durableId="1966547742">
    <w:abstractNumId w:val="30"/>
  </w:num>
  <w:num w:numId="19" w16cid:durableId="1765177825">
    <w:abstractNumId w:val="7"/>
  </w:num>
  <w:num w:numId="20" w16cid:durableId="1575507632">
    <w:abstractNumId w:val="20"/>
  </w:num>
  <w:num w:numId="21" w16cid:durableId="472988668">
    <w:abstractNumId w:val="18"/>
  </w:num>
  <w:num w:numId="22" w16cid:durableId="826484027">
    <w:abstractNumId w:val="3"/>
  </w:num>
  <w:num w:numId="23" w16cid:durableId="306710017">
    <w:abstractNumId w:val="17"/>
  </w:num>
  <w:num w:numId="24" w16cid:durableId="778450483">
    <w:abstractNumId w:val="22"/>
  </w:num>
  <w:num w:numId="25" w16cid:durableId="1487625151">
    <w:abstractNumId w:val="8"/>
  </w:num>
  <w:num w:numId="26" w16cid:durableId="1182818855">
    <w:abstractNumId w:val="24"/>
  </w:num>
  <w:num w:numId="27" w16cid:durableId="887035248">
    <w:abstractNumId w:val="25"/>
  </w:num>
  <w:num w:numId="28" w16cid:durableId="75590683">
    <w:abstractNumId w:val="21"/>
  </w:num>
  <w:num w:numId="29" w16cid:durableId="929584988">
    <w:abstractNumId w:val="27"/>
  </w:num>
  <w:num w:numId="30" w16cid:durableId="761727948">
    <w:abstractNumId w:val="35"/>
  </w:num>
  <w:num w:numId="31" w16cid:durableId="949239115">
    <w:abstractNumId w:val="38"/>
  </w:num>
  <w:num w:numId="32" w16cid:durableId="366444107">
    <w:abstractNumId w:val="14"/>
  </w:num>
  <w:num w:numId="33" w16cid:durableId="1703439516">
    <w:abstractNumId w:val="6"/>
  </w:num>
  <w:num w:numId="34" w16cid:durableId="89008236">
    <w:abstractNumId w:val="10"/>
  </w:num>
  <w:num w:numId="35" w16cid:durableId="366872809">
    <w:abstractNumId w:val="31"/>
  </w:num>
  <w:num w:numId="36" w16cid:durableId="2131439547">
    <w:abstractNumId w:val="16"/>
  </w:num>
  <w:num w:numId="37" w16cid:durableId="138160012">
    <w:abstractNumId w:val="1"/>
  </w:num>
  <w:num w:numId="38" w16cid:durableId="1440417684">
    <w:abstractNumId w:val="39"/>
  </w:num>
  <w:num w:numId="39" w16cid:durableId="221404067">
    <w:abstractNumId w:val="13"/>
  </w:num>
  <w:num w:numId="40" w16cid:durableId="956449032">
    <w:abstractNumId w:val="0"/>
  </w:num>
  <w:num w:numId="41" w16cid:durableId="1221751963">
    <w:abstractNumId w:val="19"/>
  </w:num>
  <w:num w:numId="42" w16cid:durableId="874200987">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E3E"/>
    <w:rsid w:val="00001A14"/>
    <w:rsid w:val="00002EE0"/>
    <w:rsid w:val="00003942"/>
    <w:rsid w:val="000121D3"/>
    <w:rsid w:val="0001679F"/>
    <w:rsid w:val="00032EA7"/>
    <w:rsid w:val="0004208B"/>
    <w:rsid w:val="00062BED"/>
    <w:rsid w:val="00074F04"/>
    <w:rsid w:val="000834B9"/>
    <w:rsid w:val="00087EC6"/>
    <w:rsid w:val="00096EC9"/>
    <w:rsid w:val="000974A4"/>
    <w:rsid w:val="000C77AD"/>
    <w:rsid w:val="000D4A78"/>
    <w:rsid w:val="000D5764"/>
    <w:rsid w:val="000D5C03"/>
    <w:rsid w:val="000E4A5C"/>
    <w:rsid w:val="000F33EF"/>
    <w:rsid w:val="001004AB"/>
    <w:rsid w:val="001022E4"/>
    <w:rsid w:val="00106D7D"/>
    <w:rsid w:val="00112610"/>
    <w:rsid w:val="00124215"/>
    <w:rsid w:val="0013061E"/>
    <w:rsid w:val="001310C8"/>
    <w:rsid w:val="00136623"/>
    <w:rsid w:val="001401A6"/>
    <w:rsid w:val="00147E4E"/>
    <w:rsid w:val="00151995"/>
    <w:rsid w:val="0016171E"/>
    <w:rsid w:val="00165D78"/>
    <w:rsid w:val="00176B7B"/>
    <w:rsid w:val="00180009"/>
    <w:rsid w:val="001866D3"/>
    <w:rsid w:val="00190B8C"/>
    <w:rsid w:val="00193C38"/>
    <w:rsid w:val="001C1946"/>
    <w:rsid w:val="00202FC9"/>
    <w:rsid w:val="00204B2A"/>
    <w:rsid w:val="00213664"/>
    <w:rsid w:val="002167AE"/>
    <w:rsid w:val="002419A8"/>
    <w:rsid w:val="00253ADC"/>
    <w:rsid w:val="00264EAF"/>
    <w:rsid w:val="00265351"/>
    <w:rsid w:val="00273E50"/>
    <w:rsid w:val="00274744"/>
    <w:rsid w:val="0027620D"/>
    <w:rsid w:val="00276B33"/>
    <w:rsid w:val="00284011"/>
    <w:rsid w:val="0028714D"/>
    <w:rsid w:val="00291B59"/>
    <w:rsid w:val="002A5132"/>
    <w:rsid w:val="002A54B8"/>
    <w:rsid w:val="002B163E"/>
    <w:rsid w:val="002C3C86"/>
    <w:rsid w:val="002C51BB"/>
    <w:rsid w:val="002D0413"/>
    <w:rsid w:val="002E2E3D"/>
    <w:rsid w:val="002E4D91"/>
    <w:rsid w:val="00310840"/>
    <w:rsid w:val="00326753"/>
    <w:rsid w:val="0032722E"/>
    <w:rsid w:val="00341967"/>
    <w:rsid w:val="00343EEE"/>
    <w:rsid w:val="0034528C"/>
    <w:rsid w:val="0036319E"/>
    <w:rsid w:val="0036485D"/>
    <w:rsid w:val="00364E24"/>
    <w:rsid w:val="00366A52"/>
    <w:rsid w:val="00397B32"/>
    <w:rsid w:val="003A6081"/>
    <w:rsid w:val="003B4C98"/>
    <w:rsid w:val="003B58BD"/>
    <w:rsid w:val="003D40B8"/>
    <w:rsid w:val="003D52F2"/>
    <w:rsid w:val="003D7428"/>
    <w:rsid w:val="003F07BD"/>
    <w:rsid w:val="00413D3B"/>
    <w:rsid w:val="00414C97"/>
    <w:rsid w:val="00475715"/>
    <w:rsid w:val="00480DAF"/>
    <w:rsid w:val="00483CA4"/>
    <w:rsid w:val="004A1706"/>
    <w:rsid w:val="004A1F64"/>
    <w:rsid w:val="004C0E2F"/>
    <w:rsid w:val="004C3953"/>
    <w:rsid w:val="004C602C"/>
    <w:rsid w:val="004C6CC1"/>
    <w:rsid w:val="004D3F0C"/>
    <w:rsid w:val="004E1016"/>
    <w:rsid w:val="004E754E"/>
    <w:rsid w:val="004F0982"/>
    <w:rsid w:val="00511D8A"/>
    <w:rsid w:val="005153F8"/>
    <w:rsid w:val="00550857"/>
    <w:rsid w:val="00551912"/>
    <w:rsid w:val="00554D3A"/>
    <w:rsid w:val="00585556"/>
    <w:rsid w:val="00597E01"/>
    <w:rsid w:val="005A6F18"/>
    <w:rsid w:val="005B5690"/>
    <w:rsid w:val="005B6DB5"/>
    <w:rsid w:val="005C55B7"/>
    <w:rsid w:val="005D04BF"/>
    <w:rsid w:val="005D5A1B"/>
    <w:rsid w:val="005D5C5F"/>
    <w:rsid w:val="005D6DE8"/>
    <w:rsid w:val="005D790B"/>
    <w:rsid w:val="005F1085"/>
    <w:rsid w:val="005F46D7"/>
    <w:rsid w:val="0060773F"/>
    <w:rsid w:val="006139FE"/>
    <w:rsid w:val="00615F65"/>
    <w:rsid w:val="006233A2"/>
    <w:rsid w:val="00627609"/>
    <w:rsid w:val="0065167F"/>
    <w:rsid w:val="00661940"/>
    <w:rsid w:val="00662097"/>
    <w:rsid w:val="00665E61"/>
    <w:rsid w:val="00671FB2"/>
    <w:rsid w:val="00671FB9"/>
    <w:rsid w:val="0068516A"/>
    <w:rsid w:val="00697998"/>
    <w:rsid w:val="006A1172"/>
    <w:rsid w:val="006A589E"/>
    <w:rsid w:val="006A7CBA"/>
    <w:rsid w:val="006B2326"/>
    <w:rsid w:val="006B2B37"/>
    <w:rsid w:val="006C582D"/>
    <w:rsid w:val="006D0E93"/>
    <w:rsid w:val="006E089B"/>
    <w:rsid w:val="006E10DF"/>
    <w:rsid w:val="006F3CC1"/>
    <w:rsid w:val="006F619A"/>
    <w:rsid w:val="006F7D63"/>
    <w:rsid w:val="00702F4E"/>
    <w:rsid w:val="0070665A"/>
    <w:rsid w:val="0072012D"/>
    <w:rsid w:val="00725573"/>
    <w:rsid w:val="00735681"/>
    <w:rsid w:val="00753FDD"/>
    <w:rsid w:val="0075572B"/>
    <w:rsid w:val="00780F46"/>
    <w:rsid w:val="00781E03"/>
    <w:rsid w:val="007839D7"/>
    <w:rsid w:val="00792A6A"/>
    <w:rsid w:val="007B4CD4"/>
    <w:rsid w:val="007B7543"/>
    <w:rsid w:val="007C14E8"/>
    <w:rsid w:val="007C28ED"/>
    <w:rsid w:val="007D3C0E"/>
    <w:rsid w:val="007D6637"/>
    <w:rsid w:val="007E421F"/>
    <w:rsid w:val="007F3313"/>
    <w:rsid w:val="007F4177"/>
    <w:rsid w:val="007F766F"/>
    <w:rsid w:val="00806EFE"/>
    <w:rsid w:val="008163FB"/>
    <w:rsid w:val="00824B0A"/>
    <w:rsid w:val="00832C47"/>
    <w:rsid w:val="008422E1"/>
    <w:rsid w:val="008554CF"/>
    <w:rsid w:val="00857541"/>
    <w:rsid w:val="00867712"/>
    <w:rsid w:val="008876E3"/>
    <w:rsid w:val="008A0351"/>
    <w:rsid w:val="008B1A79"/>
    <w:rsid w:val="008C6354"/>
    <w:rsid w:val="008E0439"/>
    <w:rsid w:val="008E324E"/>
    <w:rsid w:val="008E4E51"/>
    <w:rsid w:val="00901631"/>
    <w:rsid w:val="00904505"/>
    <w:rsid w:val="00910EB9"/>
    <w:rsid w:val="00921B6B"/>
    <w:rsid w:val="0093141E"/>
    <w:rsid w:val="00937755"/>
    <w:rsid w:val="00937836"/>
    <w:rsid w:val="00960304"/>
    <w:rsid w:val="0096055D"/>
    <w:rsid w:val="009659F4"/>
    <w:rsid w:val="009672FA"/>
    <w:rsid w:val="009719BE"/>
    <w:rsid w:val="00974ABB"/>
    <w:rsid w:val="00985C1A"/>
    <w:rsid w:val="0098773B"/>
    <w:rsid w:val="00993218"/>
    <w:rsid w:val="009A5810"/>
    <w:rsid w:val="009B7E14"/>
    <w:rsid w:val="009C2E60"/>
    <w:rsid w:val="009D14EE"/>
    <w:rsid w:val="009D25CA"/>
    <w:rsid w:val="009D4205"/>
    <w:rsid w:val="009D54DF"/>
    <w:rsid w:val="009E166F"/>
    <w:rsid w:val="009E5B20"/>
    <w:rsid w:val="009F1A03"/>
    <w:rsid w:val="009F6E3E"/>
    <w:rsid w:val="00A107BD"/>
    <w:rsid w:val="00A15B39"/>
    <w:rsid w:val="00A24E06"/>
    <w:rsid w:val="00A54B50"/>
    <w:rsid w:val="00A807E0"/>
    <w:rsid w:val="00A94314"/>
    <w:rsid w:val="00AA4EDC"/>
    <w:rsid w:val="00AB1244"/>
    <w:rsid w:val="00AB6158"/>
    <w:rsid w:val="00AB6451"/>
    <w:rsid w:val="00AE2698"/>
    <w:rsid w:val="00AE4298"/>
    <w:rsid w:val="00AF3C08"/>
    <w:rsid w:val="00B213B9"/>
    <w:rsid w:val="00B31869"/>
    <w:rsid w:val="00B353B0"/>
    <w:rsid w:val="00B46AC5"/>
    <w:rsid w:val="00B531CC"/>
    <w:rsid w:val="00B552BA"/>
    <w:rsid w:val="00B55F36"/>
    <w:rsid w:val="00B6657F"/>
    <w:rsid w:val="00B66D7D"/>
    <w:rsid w:val="00B70044"/>
    <w:rsid w:val="00B75B67"/>
    <w:rsid w:val="00B76605"/>
    <w:rsid w:val="00B84E39"/>
    <w:rsid w:val="00B87215"/>
    <w:rsid w:val="00B91A9D"/>
    <w:rsid w:val="00BB2436"/>
    <w:rsid w:val="00BC3481"/>
    <w:rsid w:val="00BC7A78"/>
    <w:rsid w:val="00BD717D"/>
    <w:rsid w:val="00BD72A0"/>
    <w:rsid w:val="00BE11C1"/>
    <w:rsid w:val="00BE35E7"/>
    <w:rsid w:val="00BF51C6"/>
    <w:rsid w:val="00BF6E94"/>
    <w:rsid w:val="00C10C7F"/>
    <w:rsid w:val="00C52543"/>
    <w:rsid w:val="00C53D35"/>
    <w:rsid w:val="00C574F8"/>
    <w:rsid w:val="00C770DB"/>
    <w:rsid w:val="00C86729"/>
    <w:rsid w:val="00C92604"/>
    <w:rsid w:val="00CA3141"/>
    <w:rsid w:val="00CB26F7"/>
    <w:rsid w:val="00CD4510"/>
    <w:rsid w:val="00CE36A2"/>
    <w:rsid w:val="00CE3952"/>
    <w:rsid w:val="00CE720C"/>
    <w:rsid w:val="00CF0707"/>
    <w:rsid w:val="00CF15CD"/>
    <w:rsid w:val="00D0382F"/>
    <w:rsid w:val="00D1495A"/>
    <w:rsid w:val="00D203C5"/>
    <w:rsid w:val="00D53252"/>
    <w:rsid w:val="00D57634"/>
    <w:rsid w:val="00D62E29"/>
    <w:rsid w:val="00D63578"/>
    <w:rsid w:val="00D717C6"/>
    <w:rsid w:val="00D72940"/>
    <w:rsid w:val="00D80990"/>
    <w:rsid w:val="00D84C2D"/>
    <w:rsid w:val="00D914EE"/>
    <w:rsid w:val="00DB3EFA"/>
    <w:rsid w:val="00DC541F"/>
    <w:rsid w:val="00DD33FE"/>
    <w:rsid w:val="00DD5A74"/>
    <w:rsid w:val="00DE0931"/>
    <w:rsid w:val="00E14C8E"/>
    <w:rsid w:val="00E21786"/>
    <w:rsid w:val="00E25A38"/>
    <w:rsid w:val="00E3266C"/>
    <w:rsid w:val="00E37FD9"/>
    <w:rsid w:val="00E453A3"/>
    <w:rsid w:val="00E45DB7"/>
    <w:rsid w:val="00E518B7"/>
    <w:rsid w:val="00E83655"/>
    <w:rsid w:val="00E90960"/>
    <w:rsid w:val="00E958C1"/>
    <w:rsid w:val="00E95DF1"/>
    <w:rsid w:val="00EA4A99"/>
    <w:rsid w:val="00EA5F9E"/>
    <w:rsid w:val="00EB1504"/>
    <w:rsid w:val="00EE41C1"/>
    <w:rsid w:val="00F01C5C"/>
    <w:rsid w:val="00F061A4"/>
    <w:rsid w:val="00F238B4"/>
    <w:rsid w:val="00F2580C"/>
    <w:rsid w:val="00F25E87"/>
    <w:rsid w:val="00F3032F"/>
    <w:rsid w:val="00F4160F"/>
    <w:rsid w:val="00F442A3"/>
    <w:rsid w:val="00F54464"/>
    <w:rsid w:val="00F612B4"/>
    <w:rsid w:val="00F624C3"/>
    <w:rsid w:val="00F63AA2"/>
    <w:rsid w:val="00F71A88"/>
    <w:rsid w:val="00F72088"/>
    <w:rsid w:val="00F92FC5"/>
    <w:rsid w:val="00FA0D3F"/>
    <w:rsid w:val="00FA177C"/>
    <w:rsid w:val="00FA295B"/>
    <w:rsid w:val="00FA5F23"/>
    <w:rsid w:val="00FA74C8"/>
    <w:rsid w:val="00FC0EE7"/>
    <w:rsid w:val="00FC302C"/>
    <w:rsid w:val="00FD799F"/>
    <w:rsid w:val="00FE2C6A"/>
    <w:rsid w:val="00FE3317"/>
    <w:rsid w:val="00FF131B"/>
    <w:rsid w:val="00FF2B3D"/>
    <w:rsid w:val="00FF7087"/>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3E2CA53"/>
  <w15:docId w15:val="{5C733FB4-5595-4A35-AA57-C3BD73A35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2"/>
        <w:szCs w:val="22"/>
        <w:lang w:val="it-IT" w:eastAsia="it-IT"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uiPriority="0" w:qFormat="1"/>
    <w:lsdException w:name="heading 5" w:semiHidden="1" w:uiPriority="0" w:unhideWhenUsed="1" w:qFormat="1"/>
    <w:lsdException w:name="heading 6" w:uiPriority="0" w:qFormat="1"/>
    <w:lsdException w:name="heading 7" w:semiHidden="1" w:uiPriority="0" w:unhideWhenUsed="1"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9F1A03"/>
    <w:rPr>
      <w:sz w:val="24"/>
      <w:szCs w:val="24"/>
    </w:rPr>
  </w:style>
  <w:style w:type="paragraph" w:styleId="Titolo1">
    <w:name w:val="heading 1"/>
    <w:basedOn w:val="Normale"/>
    <w:next w:val="Normale"/>
    <w:link w:val="Titolo1Carattere"/>
    <w:uiPriority w:val="99"/>
    <w:qFormat/>
    <w:rsid w:val="009F1A03"/>
    <w:pPr>
      <w:widowControl w:val="0"/>
      <w:pBdr>
        <w:top w:val="single" w:sz="6" w:space="1" w:color="auto" w:shadow="1"/>
        <w:left w:val="single" w:sz="6" w:space="4" w:color="auto" w:shadow="1"/>
        <w:bottom w:val="single" w:sz="6" w:space="1" w:color="auto" w:shadow="1"/>
        <w:right w:val="single" w:sz="6" w:space="4" w:color="auto" w:shadow="1"/>
      </w:pBdr>
      <w:shd w:val="clear" w:color="auto" w:fill="FFFFFF"/>
      <w:overflowPunct w:val="0"/>
      <w:autoSpaceDE w:val="0"/>
      <w:autoSpaceDN w:val="0"/>
      <w:adjustRightInd w:val="0"/>
      <w:spacing w:after="360"/>
      <w:jc w:val="center"/>
      <w:outlineLvl w:val="0"/>
    </w:pPr>
    <w:rPr>
      <w:rFonts w:ascii="Arial" w:hAnsi="Arial" w:cs="Arial"/>
      <w:b/>
      <w:i/>
      <w:szCs w:val="20"/>
    </w:rPr>
  </w:style>
  <w:style w:type="paragraph" w:styleId="Titolo2">
    <w:name w:val="heading 2"/>
    <w:basedOn w:val="Corpodeltesto2"/>
    <w:next w:val="Normale"/>
    <w:link w:val="Titolo2Carattere"/>
    <w:uiPriority w:val="99"/>
    <w:qFormat/>
    <w:rsid w:val="009F1A03"/>
    <w:pPr>
      <w:jc w:val="both"/>
      <w:outlineLvl w:val="1"/>
    </w:pPr>
    <w:rPr>
      <w:b/>
      <w:sz w:val="24"/>
      <w:u w:val="single"/>
    </w:rPr>
  </w:style>
  <w:style w:type="paragraph" w:styleId="Titolo3">
    <w:name w:val="heading 3"/>
    <w:basedOn w:val="Titolo2"/>
    <w:next w:val="Normale"/>
    <w:link w:val="Titolo3Carattere"/>
    <w:uiPriority w:val="99"/>
    <w:qFormat/>
    <w:rsid w:val="009F1A03"/>
    <w:pPr>
      <w:outlineLvl w:val="2"/>
    </w:pPr>
    <w:rPr>
      <w:sz w:val="22"/>
    </w:rPr>
  </w:style>
  <w:style w:type="paragraph" w:styleId="Titolo4">
    <w:name w:val="heading 4"/>
    <w:basedOn w:val="Normale"/>
    <w:next w:val="Normale"/>
    <w:link w:val="Titolo4Carattere"/>
    <w:uiPriority w:val="99"/>
    <w:qFormat/>
    <w:rsid w:val="009F1A03"/>
    <w:pPr>
      <w:keepNext/>
      <w:spacing w:after="240"/>
      <w:jc w:val="center"/>
      <w:outlineLvl w:val="3"/>
    </w:pPr>
    <w:rPr>
      <w:rFonts w:ascii="Arial" w:hAnsi="Arial" w:cs="Arial"/>
      <w:b/>
      <w:i/>
      <w:sz w:val="36"/>
    </w:rPr>
  </w:style>
  <w:style w:type="paragraph" w:styleId="Titolo6">
    <w:name w:val="heading 6"/>
    <w:basedOn w:val="Normale"/>
    <w:next w:val="Normale"/>
    <w:link w:val="Titolo6Carattere"/>
    <w:uiPriority w:val="99"/>
    <w:qFormat/>
    <w:rsid w:val="009F1A03"/>
    <w:pPr>
      <w:keepNext/>
      <w:numPr>
        <w:ilvl w:val="12"/>
      </w:numPr>
      <w:jc w:val="both"/>
      <w:outlineLvl w:val="5"/>
    </w:pPr>
    <w:rPr>
      <w:rFonts w:ascii="Arial" w:hAnsi="Arial" w:cs="Arial"/>
      <w:b/>
      <w:u w:val="single"/>
    </w:rPr>
  </w:style>
  <w:style w:type="paragraph" w:styleId="Titolo8">
    <w:name w:val="heading 8"/>
    <w:basedOn w:val="Normale"/>
    <w:next w:val="Normale"/>
    <w:link w:val="Titolo8Carattere"/>
    <w:uiPriority w:val="99"/>
    <w:qFormat/>
    <w:rsid w:val="009F1A03"/>
    <w:pPr>
      <w:keepNext/>
      <w:widowControl w:val="0"/>
      <w:overflowPunct w:val="0"/>
      <w:autoSpaceDE w:val="0"/>
      <w:autoSpaceDN w:val="0"/>
      <w:adjustRightInd w:val="0"/>
      <w:spacing w:after="120"/>
      <w:jc w:val="both"/>
      <w:outlineLvl w:val="7"/>
    </w:pPr>
    <w:rPr>
      <w:rFonts w:ascii="Arial" w:hAnsi="Arial"/>
      <w:b/>
      <w:szCs w:val="20"/>
    </w:rPr>
  </w:style>
  <w:style w:type="paragraph" w:styleId="Titolo9">
    <w:name w:val="heading 9"/>
    <w:basedOn w:val="Normale"/>
    <w:next w:val="Normale"/>
    <w:link w:val="Titolo9Carattere"/>
    <w:uiPriority w:val="99"/>
    <w:qFormat/>
    <w:rsid w:val="009F1A03"/>
    <w:pPr>
      <w:keepNext/>
      <w:numPr>
        <w:ilvl w:val="12"/>
      </w:numPr>
      <w:outlineLvl w:val="8"/>
    </w:pPr>
    <w:rPr>
      <w:rFonts w:ascii="Arial" w:hAnsi="Arial" w:cs="Arial"/>
      <w:b/>
      <w:u w:val="singl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9"/>
    <w:locked/>
    <w:rsid w:val="009F1A03"/>
    <w:rPr>
      <w:rFonts w:ascii="Cambria" w:hAnsi="Cambria" w:cs="Times New Roman"/>
      <w:b/>
      <w:bCs/>
      <w:kern w:val="32"/>
      <w:sz w:val="32"/>
      <w:szCs w:val="32"/>
    </w:rPr>
  </w:style>
  <w:style w:type="character" w:customStyle="1" w:styleId="Titolo2Carattere">
    <w:name w:val="Titolo 2 Carattere"/>
    <w:basedOn w:val="Carpredefinitoparagrafo"/>
    <w:link w:val="Titolo2"/>
    <w:uiPriority w:val="99"/>
    <w:semiHidden/>
    <w:locked/>
    <w:rsid w:val="009F1A03"/>
    <w:rPr>
      <w:rFonts w:ascii="Cambria" w:hAnsi="Cambria" w:cs="Times New Roman"/>
      <w:b/>
      <w:bCs/>
      <w:i/>
      <w:iCs/>
      <w:sz w:val="28"/>
      <w:szCs w:val="28"/>
    </w:rPr>
  </w:style>
  <w:style w:type="character" w:customStyle="1" w:styleId="Titolo3Carattere">
    <w:name w:val="Titolo 3 Carattere"/>
    <w:basedOn w:val="Carpredefinitoparagrafo"/>
    <w:link w:val="Titolo3"/>
    <w:uiPriority w:val="99"/>
    <w:semiHidden/>
    <w:locked/>
    <w:rsid w:val="009F1A03"/>
    <w:rPr>
      <w:rFonts w:ascii="Cambria" w:hAnsi="Cambria" w:cs="Times New Roman"/>
      <w:b/>
      <w:bCs/>
      <w:sz w:val="26"/>
      <w:szCs w:val="26"/>
    </w:rPr>
  </w:style>
  <w:style w:type="character" w:customStyle="1" w:styleId="Titolo4Carattere">
    <w:name w:val="Titolo 4 Carattere"/>
    <w:basedOn w:val="Carpredefinitoparagrafo"/>
    <w:link w:val="Titolo4"/>
    <w:uiPriority w:val="99"/>
    <w:semiHidden/>
    <w:locked/>
    <w:rsid w:val="009F1A03"/>
    <w:rPr>
      <w:rFonts w:ascii="Calibri" w:hAnsi="Calibri" w:cs="Times New Roman"/>
      <w:b/>
      <w:bCs/>
      <w:sz w:val="28"/>
      <w:szCs w:val="28"/>
    </w:rPr>
  </w:style>
  <w:style w:type="character" w:customStyle="1" w:styleId="Titolo6Carattere">
    <w:name w:val="Titolo 6 Carattere"/>
    <w:basedOn w:val="Carpredefinitoparagrafo"/>
    <w:link w:val="Titolo6"/>
    <w:uiPriority w:val="99"/>
    <w:semiHidden/>
    <w:locked/>
    <w:rsid w:val="009F1A03"/>
    <w:rPr>
      <w:rFonts w:ascii="Calibri" w:hAnsi="Calibri" w:cs="Times New Roman"/>
      <w:b/>
      <w:bCs/>
    </w:rPr>
  </w:style>
  <w:style w:type="character" w:customStyle="1" w:styleId="Titolo8Carattere">
    <w:name w:val="Titolo 8 Carattere"/>
    <w:basedOn w:val="Carpredefinitoparagrafo"/>
    <w:link w:val="Titolo8"/>
    <w:uiPriority w:val="99"/>
    <w:semiHidden/>
    <w:locked/>
    <w:rsid w:val="009F1A03"/>
    <w:rPr>
      <w:rFonts w:ascii="Calibri" w:hAnsi="Calibri" w:cs="Times New Roman"/>
      <w:i/>
      <w:iCs/>
      <w:sz w:val="24"/>
      <w:szCs w:val="24"/>
    </w:rPr>
  </w:style>
  <w:style w:type="character" w:customStyle="1" w:styleId="Titolo9Carattere">
    <w:name w:val="Titolo 9 Carattere"/>
    <w:basedOn w:val="Carpredefinitoparagrafo"/>
    <w:link w:val="Titolo9"/>
    <w:uiPriority w:val="99"/>
    <w:semiHidden/>
    <w:locked/>
    <w:rsid w:val="009F1A03"/>
    <w:rPr>
      <w:rFonts w:ascii="Cambria" w:hAnsi="Cambria" w:cs="Times New Roman"/>
    </w:rPr>
  </w:style>
  <w:style w:type="paragraph" w:styleId="Testonotaapidipagina">
    <w:name w:val="footnote text"/>
    <w:aliases w:val="Testo nota a piè di pagina Carattere,Testo nota a piè di pagina Carattere1 Carattere,Testo nota a piè di pagina Carattere Carattere Carattere,Testo nota a piè di pagina Carattere1 Carattere Carattere Carattere,Carattere"/>
    <w:basedOn w:val="Normale"/>
    <w:link w:val="TestonotaapidipaginaCarattere1"/>
    <w:uiPriority w:val="99"/>
    <w:rsid w:val="009F1A03"/>
    <w:pPr>
      <w:widowControl w:val="0"/>
      <w:tabs>
        <w:tab w:val="left" w:pos="567"/>
      </w:tabs>
      <w:overflowPunct w:val="0"/>
      <w:autoSpaceDE w:val="0"/>
      <w:autoSpaceDN w:val="0"/>
      <w:adjustRightInd w:val="0"/>
      <w:spacing w:after="120"/>
      <w:ind w:left="567" w:hanging="567"/>
      <w:jc w:val="both"/>
    </w:pPr>
    <w:rPr>
      <w:rFonts w:ascii="Arial" w:hAnsi="Arial"/>
      <w:sz w:val="20"/>
      <w:szCs w:val="20"/>
    </w:rPr>
  </w:style>
  <w:style w:type="character" w:customStyle="1" w:styleId="TestonotaapidipaginaCarattere1">
    <w:name w:val="Testo nota a piè di pagina Carattere1"/>
    <w:aliases w:val="Testo nota a piè di pagina Carattere Carattere,Testo nota a piè di pagina Carattere1 Carattere Carattere,Testo nota a piè di pagina Carattere Carattere Carattere Carattere,Carattere Carattere1"/>
    <w:basedOn w:val="Carpredefinitoparagrafo"/>
    <w:link w:val="Testonotaapidipagina"/>
    <w:uiPriority w:val="99"/>
    <w:locked/>
    <w:rsid w:val="009F1A03"/>
    <w:rPr>
      <w:rFonts w:ascii="Arial" w:hAnsi="Arial" w:cs="Times New Roman"/>
      <w:lang w:val="it-IT" w:eastAsia="it-IT"/>
    </w:rPr>
  </w:style>
  <w:style w:type="paragraph" w:styleId="Intestazione">
    <w:name w:val="header"/>
    <w:basedOn w:val="Normale"/>
    <w:link w:val="IntestazioneCarattere"/>
    <w:uiPriority w:val="99"/>
    <w:rsid w:val="009F1A03"/>
    <w:pPr>
      <w:widowControl w:val="0"/>
      <w:tabs>
        <w:tab w:val="center" w:pos="4819"/>
        <w:tab w:val="right" w:pos="9638"/>
      </w:tabs>
      <w:overflowPunct w:val="0"/>
      <w:autoSpaceDE w:val="0"/>
      <w:autoSpaceDN w:val="0"/>
      <w:adjustRightInd w:val="0"/>
      <w:spacing w:after="120"/>
      <w:jc w:val="both"/>
    </w:pPr>
    <w:rPr>
      <w:rFonts w:ascii="Arial" w:hAnsi="Arial"/>
      <w:szCs w:val="20"/>
    </w:rPr>
  </w:style>
  <w:style w:type="character" w:customStyle="1" w:styleId="IntestazioneCarattere">
    <w:name w:val="Intestazione Carattere"/>
    <w:basedOn w:val="Carpredefinitoparagrafo"/>
    <w:link w:val="Intestazione"/>
    <w:uiPriority w:val="99"/>
    <w:semiHidden/>
    <w:locked/>
    <w:rsid w:val="009F1A03"/>
    <w:rPr>
      <w:rFonts w:cs="Times New Roman"/>
      <w:sz w:val="24"/>
      <w:szCs w:val="24"/>
    </w:rPr>
  </w:style>
  <w:style w:type="paragraph" w:styleId="Pidipagina">
    <w:name w:val="footer"/>
    <w:basedOn w:val="Normale"/>
    <w:link w:val="PidipaginaCarattere"/>
    <w:uiPriority w:val="99"/>
    <w:rsid w:val="009F1A03"/>
    <w:pPr>
      <w:widowControl w:val="0"/>
      <w:pBdr>
        <w:top w:val="single" w:sz="6" w:space="1" w:color="auto"/>
      </w:pBdr>
      <w:overflowPunct w:val="0"/>
      <w:autoSpaceDE w:val="0"/>
      <w:autoSpaceDN w:val="0"/>
      <w:adjustRightInd w:val="0"/>
      <w:spacing w:after="120"/>
      <w:jc w:val="center"/>
    </w:pPr>
    <w:rPr>
      <w:rFonts w:ascii="Arial" w:hAnsi="Arial"/>
      <w:sz w:val="18"/>
      <w:szCs w:val="20"/>
    </w:rPr>
  </w:style>
  <w:style w:type="character" w:customStyle="1" w:styleId="PidipaginaCarattere">
    <w:name w:val="Piè di pagina Carattere"/>
    <w:basedOn w:val="Carpredefinitoparagrafo"/>
    <w:link w:val="Pidipagina"/>
    <w:uiPriority w:val="99"/>
    <w:semiHidden/>
    <w:locked/>
    <w:rsid w:val="009F1A03"/>
    <w:rPr>
      <w:rFonts w:cs="Times New Roman"/>
      <w:sz w:val="24"/>
      <w:szCs w:val="24"/>
    </w:rPr>
  </w:style>
  <w:style w:type="paragraph" w:styleId="Titolo">
    <w:name w:val="Title"/>
    <w:basedOn w:val="Normale"/>
    <w:link w:val="TitoloCarattere"/>
    <w:qFormat/>
    <w:rsid w:val="009F1A03"/>
    <w:pPr>
      <w:spacing w:after="360"/>
      <w:jc w:val="center"/>
    </w:pPr>
    <w:rPr>
      <w:rFonts w:ascii="Arial" w:hAnsi="Arial" w:cs="Arial"/>
      <w:b/>
      <w:i/>
      <w:sz w:val="36"/>
    </w:rPr>
  </w:style>
  <w:style w:type="character" w:customStyle="1" w:styleId="TitoloCarattere">
    <w:name w:val="Titolo Carattere"/>
    <w:basedOn w:val="Carpredefinitoparagrafo"/>
    <w:link w:val="Titolo"/>
    <w:locked/>
    <w:rsid w:val="009F1A03"/>
    <w:rPr>
      <w:rFonts w:ascii="Cambria" w:hAnsi="Cambria" w:cs="Times New Roman"/>
      <w:b/>
      <w:bCs/>
      <w:kern w:val="28"/>
      <w:sz w:val="32"/>
      <w:szCs w:val="32"/>
    </w:rPr>
  </w:style>
  <w:style w:type="paragraph" w:styleId="Corpotesto">
    <w:name w:val="Body Text"/>
    <w:basedOn w:val="Normale"/>
    <w:link w:val="CorpotestoCarattere"/>
    <w:uiPriority w:val="99"/>
    <w:rsid w:val="009F1A03"/>
    <w:pPr>
      <w:widowControl w:val="0"/>
      <w:overflowPunct w:val="0"/>
      <w:autoSpaceDE w:val="0"/>
      <w:autoSpaceDN w:val="0"/>
      <w:adjustRightInd w:val="0"/>
      <w:spacing w:after="120"/>
      <w:jc w:val="both"/>
    </w:pPr>
    <w:rPr>
      <w:rFonts w:ascii="Arial" w:hAnsi="Arial"/>
      <w:kern w:val="28"/>
      <w:szCs w:val="20"/>
    </w:rPr>
  </w:style>
  <w:style w:type="character" w:customStyle="1" w:styleId="CorpotestoCarattere">
    <w:name w:val="Corpo testo Carattere"/>
    <w:basedOn w:val="Carpredefinitoparagrafo"/>
    <w:link w:val="Corpotesto"/>
    <w:uiPriority w:val="99"/>
    <w:semiHidden/>
    <w:locked/>
    <w:rsid w:val="009F1A03"/>
    <w:rPr>
      <w:rFonts w:cs="Times New Roman"/>
      <w:sz w:val="24"/>
      <w:szCs w:val="24"/>
    </w:rPr>
  </w:style>
  <w:style w:type="paragraph" w:styleId="Rientrocorpodeltesto">
    <w:name w:val="Body Text Indent"/>
    <w:basedOn w:val="Normale"/>
    <w:link w:val="RientrocorpodeltestoCarattere"/>
    <w:uiPriority w:val="99"/>
    <w:rsid w:val="009F1A03"/>
    <w:pPr>
      <w:snapToGrid w:val="0"/>
      <w:spacing w:before="110" w:line="360" w:lineRule="auto"/>
      <w:ind w:firstLine="426"/>
      <w:jc w:val="both"/>
    </w:pPr>
    <w:rPr>
      <w:szCs w:val="20"/>
    </w:rPr>
  </w:style>
  <w:style w:type="character" w:customStyle="1" w:styleId="RientrocorpodeltestoCarattere">
    <w:name w:val="Rientro corpo del testo Carattere"/>
    <w:basedOn w:val="Carpredefinitoparagrafo"/>
    <w:link w:val="Rientrocorpodeltesto"/>
    <w:uiPriority w:val="99"/>
    <w:semiHidden/>
    <w:locked/>
    <w:rsid w:val="009F1A03"/>
    <w:rPr>
      <w:rFonts w:cs="Times New Roman"/>
      <w:sz w:val="24"/>
      <w:szCs w:val="24"/>
    </w:rPr>
  </w:style>
  <w:style w:type="paragraph" w:styleId="Corpodeltesto2">
    <w:name w:val="Body Text 2"/>
    <w:basedOn w:val="Normale"/>
    <w:link w:val="Corpodeltesto2Carattere"/>
    <w:uiPriority w:val="99"/>
    <w:rsid w:val="009F1A03"/>
    <w:pPr>
      <w:tabs>
        <w:tab w:val="left" w:pos="426"/>
      </w:tabs>
    </w:pPr>
    <w:rPr>
      <w:rFonts w:ascii="Arial" w:hAnsi="Arial" w:cs="Arial"/>
      <w:sz w:val="22"/>
    </w:rPr>
  </w:style>
  <w:style w:type="character" w:customStyle="1" w:styleId="Corpodeltesto2Carattere">
    <w:name w:val="Corpo del testo 2 Carattere"/>
    <w:basedOn w:val="Carpredefinitoparagrafo"/>
    <w:link w:val="Corpodeltesto2"/>
    <w:uiPriority w:val="99"/>
    <w:semiHidden/>
    <w:locked/>
    <w:rsid w:val="009F1A03"/>
    <w:rPr>
      <w:rFonts w:cs="Times New Roman"/>
      <w:sz w:val="24"/>
      <w:szCs w:val="24"/>
    </w:rPr>
  </w:style>
  <w:style w:type="paragraph" w:styleId="Corpodeltesto3">
    <w:name w:val="Body Text 3"/>
    <w:basedOn w:val="Normale"/>
    <w:link w:val="Corpodeltesto3Carattere"/>
    <w:uiPriority w:val="99"/>
    <w:rsid w:val="009F1A03"/>
    <w:pPr>
      <w:widowControl w:val="0"/>
      <w:overflowPunct w:val="0"/>
      <w:autoSpaceDE w:val="0"/>
      <w:autoSpaceDN w:val="0"/>
      <w:adjustRightInd w:val="0"/>
      <w:spacing w:after="120"/>
      <w:jc w:val="both"/>
    </w:pPr>
    <w:rPr>
      <w:rFonts w:ascii="Arial" w:hAnsi="Arial"/>
      <w:sz w:val="18"/>
      <w:szCs w:val="18"/>
    </w:rPr>
  </w:style>
  <w:style w:type="character" w:customStyle="1" w:styleId="Corpodeltesto3Carattere">
    <w:name w:val="Corpo del testo 3 Carattere"/>
    <w:basedOn w:val="Carpredefinitoparagrafo"/>
    <w:link w:val="Corpodeltesto3"/>
    <w:uiPriority w:val="99"/>
    <w:semiHidden/>
    <w:locked/>
    <w:rsid w:val="009F1A03"/>
    <w:rPr>
      <w:rFonts w:cs="Times New Roman"/>
      <w:sz w:val="16"/>
      <w:szCs w:val="16"/>
    </w:rPr>
  </w:style>
  <w:style w:type="paragraph" w:styleId="Rientrocorpodeltesto2">
    <w:name w:val="Body Text Indent 2"/>
    <w:basedOn w:val="Normale"/>
    <w:link w:val="Rientrocorpodeltesto2Carattere"/>
    <w:uiPriority w:val="99"/>
    <w:rsid w:val="009F1A03"/>
    <w:pPr>
      <w:spacing w:line="360" w:lineRule="auto"/>
      <w:ind w:left="360"/>
    </w:pPr>
    <w:rPr>
      <w:rFonts w:ascii="Arial" w:hAnsi="Arial" w:cs="Arial"/>
      <w:sz w:val="22"/>
      <w:szCs w:val="18"/>
    </w:rPr>
  </w:style>
  <w:style w:type="character" w:customStyle="1" w:styleId="Rientrocorpodeltesto2Carattere">
    <w:name w:val="Rientro corpo del testo 2 Carattere"/>
    <w:basedOn w:val="Carpredefinitoparagrafo"/>
    <w:link w:val="Rientrocorpodeltesto2"/>
    <w:uiPriority w:val="99"/>
    <w:semiHidden/>
    <w:locked/>
    <w:rsid w:val="009F1A03"/>
    <w:rPr>
      <w:rFonts w:cs="Times New Roman"/>
      <w:sz w:val="24"/>
      <w:szCs w:val="24"/>
    </w:rPr>
  </w:style>
  <w:style w:type="paragraph" w:customStyle="1" w:styleId="CPVC">
    <w:name w:val="CPV_C"/>
    <w:uiPriority w:val="99"/>
    <w:rsid w:val="009F1A03"/>
    <w:pPr>
      <w:widowControl w:val="0"/>
      <w:tabs>
        <w:tab w:val="left" w:pos="0"/>
        <w:tab w:val="left" w:pos="1247"/>
        <w:tab w:val="left" w:pos="3969"/>
        <w:tab w:val="left" w:pos="4252"/>
        <w:tab w:val="left" w:pos="11339"/>
        <w:tab w:val="left" w:pos="28346"/>
      </w:tabs>
      <w:autoSpaceDE w:val="0"/>
      <w:autoSpaceDN w:val="0"/>
      <w:adjustRightInd w:val="0"/>
      <w:spacing w:before="260" w:after="85" w:line="25" w:lineRule="atLeast"/>
      <w:jc w:val="center"/>
    </w:pPr>
    <w:rPr>
      <w:rFonts w:ascii="ItcCenturyLight" w:hAnsi="ItcCenturyLight" w:cs="ItcCenturyLight"/>
      <w:sz w:val="20"/>
      <w:szCs w:val="20"/>
    </w:rPr>
  </w:style>
  <w:style w:type="paragraph" w:customStyle="1" w:styleId="CPVCcvo">
    <w:name w:val="CPV_Ccvo"/>
    <w:uiPriority w:val="99"/>
    <w:rsid w:val="009F1A03"/>
    <w:pPr>
      <w:widowControl w:val="0"/>
      <w:tabs>
        <w:tab w:val="left" w:pos="0"/>
        <w:tab w:val="left" w:pos="1247"/>
        <w:tab w:val="left" w:pos="3969"/>
        <w:tab w:val="left" w:pos="4252"/>
        <w:tab w:val="left" w:pos="11339"/>
        <w:tab w:val="left" w:pos="28346"/>
      </w:tabs>
      <w:autoSpaceDE w:val="0"/>
      <w:autoSpaceDN w:val="0"/>
      <w:adjustRightInd w:val="0"/>
      <w:spacing w:before="260" w:after="85" w:line="25" w:lineRule="atLeast"/>
      <w:jc w:val="center"/>
    </w:pPr>
    <w:rPr>
      <w:rFonts w:ascii="ItcCenturyLight" w:hAnsi="ItcCenturyLight" w:cs="ItcCenturyLight"/>
      <w:i/>
      <w:iCs/>
      <w:sz w:val="20"/>
      <w:szCs w:val="20"/>
    </w:rPr>
  </w:style>
  <w:style w:type="paragraph" w:customStyle="1" w:styleId="LIV2">
    <w:name w:val="LIV2"/>
    <w:uiPriority w:val="99"/>
    <w:rsid w:val="009F1A03"/>
    <w:pPr>
      <w:widowControl w:val="0"/>
      <w:tabs>
        <w:tab w:val="left" w:pos="0"/>
        <w:tab w:val="left" w:pos="1418"/>
        <w:tab w:val="left" w:pos="2835"/>
        <w:tab w:val="left" w:pos="4252"/>
      </w:tabs>
      <w:autoSpaceDE w:val="0"/>
      <w:autoSpaceDN w:val="0"/>
      <w:adjustRightInd w:val="0"/>
      <w:spacing w:before="444" w:after="171" w:line="12" w:lineRule="atLeast"/>
      <w:jc w:val="both"/>
    </w:pPr>
    <w:rPr>
      <w:rFonts w:ascii="UniversExBlkExt" w:hAnsi="UniversExBlkExt" w:cs="UniversExBlkExt"/>
      <w:b/>
      <w:bCs/>
      <w:sz w:val="16"/>
      <w:szCs w:val="16"/>
    </w:rPr>
  </w:style>
  <w:style w:type="paragraph" w:customStyle="1" w:styleId="cpv">
    <w:name w:val="cpv"/>
    <w:uiPriority w:val="99"/>
    <w:rsid w:val="009F1A03"/>
    <w:pPr>
      <w:widowControl w:val="0"/>
      <w:tabs>
        <w:tab w:val="left" w:pos="0"/>
        <w:tab w:val="left" w:pos="1418"/>
        <w:tab w:val="left" w:pos="2835"/>
        <w:tab w:val="left" w:pos="4252"/>
      </w:tabs>
      <w:autoSpaceDE w:val="0"/>
      <w:autoSpaceDN w:val="0"/>
      <w:adjustRightInd w:val="0"/>
      <w:spacing w:before="175" w:line="25" w:lineRule="atLeast"/>
      <w:jc w:val="both"/>
    </w:pPr>
    <w:rPr>
      <w:rFonts w:ascii="ItcCenturyLight" w:hAnsi="ItcCenturyLight" w:cs="ItcCenturyLight"/>
      <w:sz w:val="20"/>
      <w:szCs w:val="20"/>
    </w:rPr>
  </w:style>
  <w:style w:type="paragraph" w:customStyle="1" w:styleId="liv1unita">
    <w:name w:val="liv1_unita"/>
    <w:uiPriority w:val="99"/>
    <w:rsid w:val="009F1A03"/>
    <w:pPr>
      <w:widowControl w:val="0"/>
      <w:tabs>
        <w:tab w:val="left" w:pos="469"/>
        <w:tab w:val="left" w:pos="1887"/>
        <w:tab w:val="left" w:pos="3304"/>
        <w:tab w:val="left" w:pos="4721"/>
      </w:tabs>
      <w:autoSpaceDE w:val="0"/>
      <w:autoSpaceDN w:val="0"/>
      <w:adjustRightInd w:val="0"/>
      <w:spacing w:before="489" w:after="85" w:line="12" w:lineRule="atLeast"/>
      <w:ind w:left="469" w:hanging="469"/>
      <w:jc w:val="both"/>
    </w:pPr>
    <w:rPr>
      <w:rFonts w:ascii="UniversExBlkExt" w:hAnsi="UniversExBlkExt" w:cs="UniversExBlkExt"/>
      <w:b/>
      <w:bCs/>
      <w:sz w:val="16"/>
      <w:szCs w:val="16"/>
    </w:rPr>
  </w:style>
  <w:style w:type="paragraph" w:customStyle="1" w:styleId="sottocpv1">
    <w:name w:val="sottocpv1"/>
    <w:uiPriority w:val="99"/>
    <w:rsid w:val="009F1A03"/>
    <w:pPr>
      <w:widowControl w:val="0"/>
      <w:tabs>
        <w:tab w:val="left" w:pos="341"/>
        <w:tab w:val="left" w:pos="1759"/>
        <w:tab w:val="left" w:pos="3176"/>
        <w:tab w:val="left" w:pos="4593"/>
      </w:tabs>
      <w:autoSpaceDE w:val="0"/>
      <w:autoSpaceDN w:val="0"/>
      <w:adjustRightInd w:val="0"/>
      <w:spacing w:before="175" w:line="25" w:lineRule="atLeast"/>
      <w:ind w:left="341" w:hanging="341"/>
      <w:jc w:val="both"/>
    </w:pPr>
    <w:rPr>
      <w:rFonts w:ascii="ItcCenturyLight" w:hAnsi="ItcCenturyLight" w:cs="ItcCenturyLight"/>
      <w:sz w:val="20"/>
      <w:szCs w:val="20"/>
    </w:rPr>
  </w:style>
  <w:style w:type="paragraph" w:customStyle="1" w:styleId="Corpodeltesto21">
    <w:name w:val="Corpo del testo 21"/>
    <w:basedOn w:val="Normale"/>
    <w:uiPriority w:val="99"/>
    <w:rsid w:val="009F1A03"/>
    <w:pPr>
      <w:widowControl w:val="0"/>
      <w:overflowPunct w:val="0"/>
      <w:autoSpaceDE w:val="0"/>
      <w:autoSpaceDN w:val="0"/>
      <w:adjustRightInd w:val="0"/>
      <w:spacing w:after="120"/>
      <w:jc w:val="both"/>
    </w:pPr>
    <w:rPr>
      <w:rFonts w:ascii="Arial" w:hAnsi="Arial"/>
      <w:b/>
      <w:i/>
      <w:szCs w:val="20"/>
    </w:rPr>
  </w:style>
  <w:style w:type="paragraph" w:customStyle="1" w:styleId="tabella">
    <w:name w:val="tabella"/>
    <w:basedOn w:val="Titolo3"/>
    <w:rsid w:val="009F1A03"/>
    <w:pPr>
      <w:keepNext/>
    </w:pPr>
    <w:rPr>
      <w:b w:val="0"/>
      <w:i/>
      <w:sz w:val="18"/>
      <w:szCs w:val="18"/>
    </w:rPr>
  </w:style>
  <w:style w:type="paragraph" w:customStyle="1" w:styleId="tit2-circ">
    <w:name w:val="tit2-circ"/>
    <w:basedOn w:val="Normale"/>
    <w:uiPriority w:val="99"/>
    <w:rsid w:val="009F1A03"/>
    <w:pPr>
      <w:keepNext/>
      <w:spacing w:before="360" w:after="100"/>
      <w:ind w:right="108"/>
      <w:jc w:val="both"/>
    </w:pPr>
    <w:rPr>
      <w:rFonts w:ascii="Futura" w:hAnsi="Futura"/>
      <w:b/>
      <w:caps/>
      <w:sz w:val="20"/>
      <w:szCs w:val="20"/>
    </w:rPr>
  </w:style>
  <w:style w:type="character" w:styleId="Rimandonotaapidipagina">
    <w:name w:val="footnote reference"/>
    <w:basedOn w:val="Carpredefinitoparagrafo"/>
    <w:uiPriority w:val="99"/>
    <w:rsid w:val="009F1A03"/>
    <w:rPr>
      <w:rFonts w:cs="Times New Roman"/>
      <w:vertAlign w:val="superscript"/>
    </w:rPr>
  </w:style>
  <w:style w:type="paragraph" w:styleId="Mappadocumento">
    <w:name w:val="Document Map"/>
    <w:basedOn w:val="Normale"/>
    <w:link w:val="MappadocumentoCarattere"/>
    <w:uiPriority w:val="99"/>
    <w:semiHidden/>
    <w:rsid w:val="009F1A03"/>
    <w:pPr>
      <w:shd w:val="clear" w:color="auto" w:fill="000080"/>
    </w:pPr>
    <w:rPr>
      <w:rFonts w:ascii="Tahoma" w:hAnsi="Tahoma" w:cs="Tahoma"/>
      <w:sz w:val="20"/>
      <w:szCs w:val="20"/>
    </w:rPr>
  </w:style>
  <w:style w:type="character" w:customStyle="1" w:styleId="MappadocumentoCarattere">
    <w:name w:val="Mappa documento Carattere"/>
    <w:basedOn w:val="Carpredefinitoparagrafo"/>
    <w:link w:val="Mappadocumento"/>
    <w:uiPriority w:val="99"/>
    <w:semiHidden/>
    <w:locked/>
    <w:rsid w:val="009F1A03"/>
    <w:rPr>
      <w:rFonts w:cs="Times New Roman"/>
      <w:sz w:val="2"/>
    </w:rPr>
  </w:style>
  <w:style w:type="paragraph" w:styleId="Testofumetto">
    <w:name w:val="Balloon Text"/>
    <w:basedOn w:val="Normale"/>
    <w:link w:val="TestofumettoCarattere"/>
    <w:uiPriority w:val="99"/>
    <w:semiHidden/>
    <w:rsid w:val="009F1A03"/>
    <w:rPr>
      <w:rFonts w:ascii="Tahoma" w:hAnsi="Tahoma" w:cs="Tahoma"/>
      <w:sz w:val="16"/>
      <w:szCs w:val="16"/>
    </w:rPr>
  </w:style>
  <w:style w:type="character" w:customStyle="1" w:styleId="TestofumettoCarattere">
    <w:name w:val="Testo fumetto Carattere"/>
    <w:basedOn w:val="Carpredefinitoparagrafo"/>
    <w:link w:val="Testofumetto"/>
    <w:uiPriority w:val="99"/>
    <w:semiHidden/>
    <w:locked/>
    <w:rsid w:val="009F1A03"/>
    <w:rPr>
      <w:rFonts w:cs="Times New Roman"/>
      <w:sz w:val="2"/>
    </w:rPr>
  </w:style>
  <w:style w:type="character" w:customStyle="1" w:styleId="CarattereCarattere">
    <w:name w:val="Carattere Carattere"/>
    <w:uiPriority w:val="99"/>
    <w:rsid w:val="009F1A03"/>
    <w:rPr>
      <w:rFonts w:ascii="Arial" w:hAnsi="Arial"/>
      <w:kern w:val="28"/>
      <w:sz w:val="24"/>
    </w:rPr>
  </w:style>
  <w:style w:type="character" w:styleId="Numeropagina">
    <w:name w:val="page number"/>
    <w:basedOn w:val="Carpredefinitoparagrafo"/>
    <w:uiPriority w:val="99"/>
    <w:rsid w:val="009F1A03"/>
    <w:rPr>
      <w:rFonts w:cs="Times New Roman"/>
    </w:rPr>
  </w:style>
  <w:style w:type="character" w:styleId="Rimandocommento">
    <w:name w:val="annotation reference"/>
    <w:basedOn w:val="Carpredefinitoparagrafo"/>
    <w:uiPriority w:val="99"/>
    <w:semiHidden/>
    <w:rsid w:val="009F1A03"/>
    <w:rPr>
      <w:rFonts w:cs="Times New Roman"/>
      <w:sz w:val="16"/>
    </w:rPr>
  </w:style>
  <w:style w:type="paragraph" w:styleId="Testocommento">
    <w:name w:val="annotation text"/>
    <w:basedOn w:val="Normale"/>
    <w:link w:val="TestocommentoCarattere"/>
    <w:uiPriority w:val="99"/>
    <w:semiHidden/>
    <w:rsid w:val="009F1A03"/>
    <w:rPr>
      <w:sz w:val="20"/>
      <w:szCs w:val="20"/>
    </w:rPr>
  </w:style>
  <w:style w:type="character" w:customStyle="1" w:styleId="TestocommentoCarattere">
    <w:name w:val="Testo commento Carattere"/>
    <w:basedOn w:val="Carpredefinitoparagrafo"/>
    <w:link w:val="Testocommento"/>
    <w:uiPriority w:val="99"/>
    <w:semiHidden/>
    <w:locked/>
    <w:rsid w:val="009F1A03"/>
    <w:rPr>
      <w:rFonts w:cs="Times New Roman"/>
      <w:sz w:val="20"/>
      <w:szCs w:val="20"/>
    </w:rPr>
  </w:style>
  <w:style w:type="paragraph" w:styleId="Soggettocommento">
    <w:name w:val="annotation subject"/>
    <w:basedOn w:val="Testocommento"/>
    <w:next w:val="Testocommento"/>
    <w:link w:val="SoggettocommentoCarattere"/>
    <w:uiPriority w:val="99"/>
    <w:semiHidden/>
    <w:rsid w:val="009F1A03"/>
    <w:rPr>
      <w:b/>
      <w:bCs/>
    </w:rPr>
  </w:style>
  <w:style w:type="character" w:customStyle="1" w:styleId="SoggettocommentoCarattere">
    <w:name w:val="Soggetto commento Carattere"/>
    <w:basedOn w:val="TestocommentoCarattere"/>
    <w:link w:val="Soggettocommento"/>
    <w:uiPriority w:val="99"/>
    <w:semiHidden/>
    <w:locked/>
    <w:rsid w:val="009F1A03"/>
    <w:rPr>
      <w:rFonts w:cs="Times New Roman"/>
      <w:b/>
      <w:bCs/>
      <w:sz w:val="20"/>
      <w:szCs w:val="20"/>
    </w:rPr>
  </w:style>
  <w:style w:type="paragraph" w:customStyle="1" w:styleId="Paragrafoelenco1">
    <w:name w:val="Paragrafo elenco1"/>
    <w:basedOn w:val="Normale"/>
    <w:uiPriority w:val="99"/>
    <w:rsid w:val="009F1A03"/>
    <w:pPr>
      <w:spacing w:after="200" w:line="276" w:lineRule="auto"/>
      <w:ind w:left="720"/>
      <w:contextualSpacing/>
    </w:pPr>
    <w:rPr>
      <w:rFonts w:ascii="Calibri" w:hAnsi="Calibri"/>
      <w:sz w:val="22"/>
      <w:szCs w:val="22"/>
      <w:lang w:eastAsia="en-US"/>
    </w:rPr>
  </w:style>
  <w:style w:type="paragraph" w:styleId="NormaleWeb">
    <w:name w:val="Normal (Web)"/>
    <w:basedOn w:val="Normale"/>
    <w:uiPriority w:val="99"/>
    <w:rsid w:val="009F1A03"/>
    <w:pPr>
      <w:spacing w:before="100" w:beforeAutospacing="1" w:after="100" w:afterAutospacing="1"/>
    </w:pPr>
  </w:style>
  <w:style w:type="character" w:styleId="Enfasicorsivo">
    <w:name w:val="Emphasis"/>
    <w:basedOn w:val="Carpredefinitoparagrafo"/>
    <w:uiPriority w:val="99"/>
    <w:qFormat/>
    <w:rsid w:val="009F1A03"/>
    <w:rPr>
      <w:rFonts w:cs="Times New Roman"/>
      <w:i/>
    </w:rPr>
  </w:style>
  <w:style w:type="character" w:styleId="Collegamentoipertestuale">
    <w:name w:val="Hyperlink"/>
    <w:basedOn w:val="Carpredefinitoparagrafo"/>
    <w:uiPriority w:val="99"/>
    <w:rsid w:val="009F1A03"/>
    <w:rPr>
      <w:rFonts w:cs="Times New Roman"/>
      <w:color w:val="0000FF"/>
      <w:u w:val="single"/>
    </w:rPr>
  </w:style>
  <w:style w:type="character" w:styleId="Collegamentovisitato">
    <w:name w:val="FollowedHyperlink"/>
    <w:basedOn w:val="Carpredefinitoparagrafo"/>
    <w:uiPriority w:val="99"/>
    <w:rsid w:val="009F1A03"/>
    <w:rPr>
      <w:rFonts w:cs="Times New Roman"/>
      <w:color w:val="800080"/>
      <w:u w:val="single"/>
    </w:rPr>
  </w:style>
  <w:style w:type="table" w:styleId="Grigliatabella">
    <w:name w:val="Table Grid"/>
    <w:basedOn w:val="Tabellanormale"/>
    <w:rsid w:val="009F1A0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e"/>
    <w:uiPriority w:val="99"/>
    <w:rsid w:val="009F1A03"/>
    <w:pPr>
      <w:widowControl w:val="0"/>
      <w:autoSpaceDE w:val="0"/>
      <w:autoSpaceDN w:val="0"/>
      <w:adjustRightInd w:val="0"/>
    </w:pPr>
    <w:rPr>
      <w:rFonts w:ascii="Thorndale AMT" w:hAnsi="Thorndale AMT" w:cs="Albany AMT"/>
    </w:rPr>
  </w:style>
  <w:style w:type="character" w:customStyle="1" w:styleId="linkneltesto">
    <w:name w:val="link_nel_testo"/>
    <w:rsid w:val="009F1A03"/>
    <w:rPr>
      <w:i/>
    </w:rPr>
  </w:style>
  <w:style w:type="paragraph" w:customStyle="1" w:styleId="provvr0">
    <w:name w:val="provv_r0"/>
    <w:basedOn w:val="Normale"/>
    <w:rsid w:val="009F1A03"/>
    <w:pPr>
      <w:spacing w:before="100" w:beforeAutospacing="1" w:after="100" w:afterAutospacing="1"/>
      <w:jc w:val="both"/>
    </w:pPr>
  </w:style>
  <w:style w:type="character" w:customStyle="1" w:styleId="provvnumcomma">
    <w:name w:val="provv_numcomma"/>
    <w:basedOn w:val="Carpredefinitoparagrafo"/>
    <w:rsid w:val="009F1A03"/>
    <w:rPr>
      <w:rFonts w:cs="Times New Roman"/>
    </w:rPr>
  </w:style>
  <w:style w:type="character" w:styleId="Enfasigrassetto">
    <w:name w:val="Strong"/>
    <w:basedOn w:val="Carpredefinitoparagrafo"/>
    <w:uiPriority w:val="99"/>
    <w:qFormat/>
    <w:rsid w:val="009F1A03"/>
    <w:rPr>
      <w:rFonts w:cs="Times New Roman"/>
      <w:b/>
    </w:rPr>
  </w:style>
  <w:style w:type="paragraph" w:customStyle="1" w:styleId="Default">
    <w:name w:val="Default"/>
    <w:rsid w:val="009F1A03"/>
    <w:pPr>
      <w:widowControl w:val="0"/>
      <w:suppressAutoHyphens/>
    </w:pPr>
    <w:rPr>
      <w:kern w:val="1"/>
      <w:lang w:eastAsia="ar-SA"/>
    </w:rPr>
  </w:style>
  <w:style w:type="paragraph" w:styleId="Sommario1">
    <w:name w:val="toc 1"/>
    <w:basedOn w:val="Normale"/>
    <w:next w:val="Normale"/>
    <w:autoRedefine/>
    <w:uiPriority w:val="39"/>
    <w:qFormat/>
    <w:rsid w:val="009F1A03"/>
  </w:style>
  <w:style w:type="paragraph" w:styleId="Sommario2">
    <w:name w:val="toc 2"/>
    <w:basedOn w:val="Normale"/>
    <w:next w:val="Normale"/>
    <w:autoRedefine/>
    <w:uiPriority w:val="39"/>
    <w:qFormat/>
    <w:rsid w:val="009F1A03"/>
    <w:pPr>
      <w:ind w:left="240"/>
    </w:pPr>
  </w:style>
  <w:style w:type="paragraph" w:styleId="Indice1">
    <w:name w:val="index 1"/>
    <w:basedOn w:val="Normale"/>
    <w:next w:val="Normale"/>
    <w:autoRedefine/>
    <w:uiPriority w:val="99"/>
    <w:rsid w:val="009F1A03"/>
    <w:pPr>
      <w:ind w:left="240" w:hanging="240"/>
    </w:pPr>
  </w:style>
  <w:style w:type="paragraph" w:styleId="Indice2">
    <w:name w:val="index 2"/>
    <w:basedOn w:val="Normale"/>
    <w:next w:val="Normale"/>
    <w:autoRedefine/>
    <w:uiPriority w:val="99"/>
    <w:rsid w:val="009F1A03"/>
    <w:pPr>
      <w:ind w:left="480" w:hanging="240"/>
    </w:pPr>
  </w:style>
  <w:style w:type="character" w:customStyle="1" w:styleId="apple-converted-space">
    <w:name w:val="apple-converted-space"/>
    <w:basedOn w:val="Carpredefinitoparagrafo"/>
    <w:rsid w:val="009F1A03"/>
    <w:rPr>
      <w:rFonts w:cs="Times New Roman"/>
    </w:rPr>
  </w:style>
  <w:style w:type="paragraph" w:styleId="PreformattatoHTML">
    <w:name w:val="HTML Preformatted"/>
    <w:basedOn w:val="Normale"/>
    <w:link w:val="PreformattatoHTMLCarattere"/>
    <w:uiPriority w:val="99"/>
    <w:rsid w:val="009F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semiHidden/>
    <w:locked/>
    <w:rsid w:val="009F1A03"/>
    <w:rPr>
      <w:rFonts w:ascii="Courier New" w:hAnsi="Courier New" w:cs="Courier New"/>
      <w:sz w:val="20"/>
      <w:szCs w:val="20"/>
    </w:rPr>
  </w:style>
  <w:style w:type="paragraph" w:styleId="Didascalia">
    <w:name w:val="caption"/>
    <w:basedOn w:val="Normale"/>
    <w:next w:val="Normale"/>
    <w:uiPriority w:val="99"/>
    <w:qFormat/>
    <w:rsid w:val="009F1A03"/>
    <w:rPr>
      <w:b/>
      <w:bCs/>
      <w:sz w:val="20"/>
      <w:szCs w:val="20"/>
    </w:rPr>
  </w:style>
  <w:style w:type="character" w:customStyle="1" w:styleId="navilast">
    <w:name w:val="navi_last"/>
    <w:basedOn w:val="Carpredefinitoparagrafo"/>
    <w:uiPriority w:val="99"/>
    <w:rsid w:val="009F1A03"/>
    <w:rPr>
      <w:rFonts w:cs="Times New Roman"/>
    </w:rPr>
  </w:style>
  <w:style w:type="character" w:customStyle="1" w:styleId="lilinkmenulista">
    <w:name w:val="lilinkmenulista"/>
    <w:uiPriority w:val="99"/>
    <w:rsid w:val="009F1A03"/>
  </w:style>
  <w:style w:type="paragraph" w:styleId="Revisione">
    <w:name w:val="Revision"/>
    <w:hidden/>
    <w:uiPriority w:val="99"/>
    <w:semiHidden/>
    <w:rsid w:val="009F1A03"/>
    <w:rPr>
      <w:sz w:val="24"/>
      <w:szCs w:val="24"/>
    </w:rPr>
  </w:style>
  <w:style w:type="paragraph" w:customStyle="1" w:styleId="Paragrafoelenco4">
    <w:name w:val="Paragrafo elenco4"/>
    <w:basedOn w:val="Normale"/>
    <w:uiPriority w:val="99"/>
    <w:rsid w:val="009F1A03"/>
    <w:pPr>
      <w:ind w:left="720"/>
      <w:contextualSpacing/>
      <w:jc w:val="both"/>
    </w:pPr>
  </w:style>
  <w:style w:type="paragraph" w:styleId="Paragrafoelenco">
    <w:name w:val="List Paragraph"/>
    <w:basedOn w:val="Normale"/>
    <w:uiPriority w:val="34"/>
    <w:qFormat/>
    <w:rsid w:val="009F1A03"/>
    <w:pPr>
      <w:ind w:left="720"/>
      <w:contextualSpacing/>
    </w:pPr>
  </w:style>
  <w:style w:type="paragraph" w:customStyle="1" w:styleId="BodyText21">
    <w:name w:val="Body Text 21"/>
    <w:basedOn w:val="Normale"/>
    <w:uiPriority w:val="99"/>
    <w:rsid w:val="009F1A03"/>
    <w:pPr>
      <w:widowControl w:val="0"/>
      <w:overflowPunct w:val="0"/>
      <w:autoSpaceDE w:val="0"/>
      <w:autoSpaceDN w:val="0"/>
      <w:adjustRightInd w:val="0"/>
      <w:spacing w:after="120"/>
      <w:jc w:val="both"/>
    </w:pPr>
    <w:rPr>
      <w:rFonts w:ascii="Arial" w:hAnsi="Arial"/>
      <w:b/>
      <w:i/>
      <w:szCs w:val="20"/>
    </w:rPr>
  </w:style>
  <w:style w:type="character" w:customStyle="1" w:styleId="provvrubrica">
    <w:name w:val="provv_rubrica"/>
    <w:basedOn w:val="Carpredefinitoparagrafo"/>
    <w:uiPriority w:val="99"/>
    <w:rsid w:val="009F1A03"/>
    <w:rPr>
      <w:rFonts w:cs="Times New Roman"/>
    </w:rPr>
  </w:style>
  <w:style w:type="paragraph" w:styleId="Sottotitolo">
    <w:name w:val="Subtitle"/>
    <w:basedOn w:val="Normale"/>
    <w:next w:val="Normale"/>
    <w:link w:val="SottotitoloCarattere"/>
    <w:uiPriority w:val="11"/>
    <w:qFormat/>
    <w:rsid w:val="009F1A03"/>
    <w:pPr>
      <w:spacing w:after="60"/>
      <w:jc w:val="center"/>
      <w:outlineLvl w:val="1"/>
    </w:pPr>
    <w:rPr>
      <w:rFonts w:asciiTheme="majorHAnsi" w:eastAsiaTheme="majorEastAsia" w:hAnsiTheme="majorHAnsi" w:cstheme="majorBidi"/>
    </w:rPr>
  </w:style>
  <w:style w:type="character" w:customStyle="1" w:styleId="SottotitoloCarattere">
    <w:name w:val="Sottotitolo Carattere"/>
    <w:basedOn w:val="Carpredefinitoparagrafo"/>
    <w:link w:val="Sottotitolo"/>
    <w:uiPriority w:val="11"/>
    <w:rsid w:val="009F1A03"/>
    <w:rPr>
      <w:rFonts w:asciiTheme="majorHAnsi" w:eastAsiaTheme="majorEastAsia" w:hAnsiTheme="majorHAnsi" w:cstheme="majorBidi"/>
      <w:sz w:val="24"/>
      <w:szCs w:val="24"/>
    </w:rPr>
  </w:style>
  <w:style w:type="character" w:styleId="Titolodellibro">
    <w:name w:val="Book Title"/>
    <w:basedOn w:val="Carpredefinitoparagrafo"/>
    <w:uiPriority w:val="33"/>
    <w:qFormat/>
    <w:rsid w:val="009F1A03"/>
    <w:rPr>
      <w:b/>
      <w:bCs/>
      <w:smallCaps/>
      <w:spacing w:val="5"/>
    </w:rPr>
  </w:style>
  <w:style w:type="paragraph" w:styleId="Titolosommario">
    <w:name w:val="TOC Heading"/>
    <w:basedOn w:val="Titolo1"/>
    <w:next w:val="Normale"/>
    <w:uiPriority w:val="39"/>
    <w:semiHidden/>
    <w:unhideWhenUsed/>
    <w:qFormat/>
    <w:rsid w:val="009F1A03"/>
    <w:pPr>
      <w:keepNext/>
      <w:keepLines/>
      <w:widowControl/>
      <w:pBdr>
        <w:top w:val="none" w:sz="0" w:space="0" w:color="auto"/>
        <w:left w:val="none" w:sz="0" w:space="0" w:color="auto"/>
        <w:bottom w:val="none" w:sz="0" w:space="0" w:color="auto"/>
        <w:right w:val="none" w:sz="0" w:space="0" w:color="auto"/>
      </w:pBdr>
      <w:shd w:val="clear" w:color="auto" w:fill="auto"/>
      <w:overflowPunct/>
      <w:autoSpaceDE/>
      <w:autoSpaceDN/>
      <w:adjustRightInd/>
      <w:spacing w:before="480" w:after="0" w:line="276" w:lineRule="auto"/>
      <w:jc w:val="left"/>
      <w:outlineLvl w:val="9"/>
    </w:pPr>
    <w:rPr>
      <w:rFonts w:asciiTheme="majorHAnsi" w:eastAsiaTheme="majorEastAsia" w:hAnsiTheme="majorHAnsi" w:cstheme="majorBidi"/>
      <w:bCs/>
      <w:i w:val="0"/>
      <w:color w:val="365F91" w:themeColor="accent1" w:themeShade="BF"/>
      <w:sz w:val="28"/>
      <w:szCs w:val="28"/>
    </w:rPr>
  </w:style>
  <w:style w:type="paragraph" w:styleId="Sommario3">
    <w:name w:val="toc 3"/>
    <w:basedOn w:val="Normale"/>
    <w:next w:val="Normale"/>
    <w:autoRedefine/>
    <w:uiPriority w:val="39"/>
    <w:qFormat/>
    <w:rsid w:val="009F1A03"/>
    <w:pPr>
      <w:spacing w:after="100"/>
      <w:ind w:left="480"/>
    </w:pPr>
  </w:style>
  <w:style w:type="paragraph" w:customStyle="1" w:styleId="m-6350291795918196642gmail-msolistparagraph">
    <w:name w:val="m_-6350291795918196642gmail-msolistparagraph"/>
    <w:basedOn w:val="Normale"/>
    <w:rsid w:val="009F1A03"/>
    <w:pPr>
      <w:spacing w:before="100" w:beforeAutospacing="1" w:after="100" w:afterAutospacing="1"/>
    </w:pPr>
    <w:rPr>
      <w:rFonts w:eastAsiaTheme="minorHAnsi"/>
    </w:rPr>
  </w:style>
  <w:style w:type="character" w:customStyle="1" w:styleId="Menzionenonrisolta1">
    <w:name w:val="Menzione non risolta1"/>
    <w:basedOn w:val="Carpredefinitoparagrafo"/>
    <w:uiPriority w:val="99"/>
    <w:semiHidden/>
    <w:unhideWhenUsed/>
    <w:rsid w:val="009F1A03"/>
    <w:rPr>
      <w:color w:val="808080"/>
      <w:shd w:val="clear" w:color="auto" w:fill="E6E6E6"/>
    </w:rPr>
  </w:style>
  <w:style w:type="paragraph" w:styleId="Nessunaspaziatura">
    <w:name w:val="No Spacing"/>
    <w:uiPriority w:val="1"/>
    <w:qFormat/>
    <w:rsid w:val="009F1A03"/>
    <w:rPr>
      <w:sz w:val="24"/>
      <w:szCs w:val="24"/>
    </w:rPr>
  </w:style>
  <w:style w:type="paragraph" w:customStyle="1" w:styleId="xmsonormal">
    <w:name w:val="x_msonormal"/>
    <w:basedOn w:val="Normale"/>
    <w:rsid w:val="002C3C86"/>
    <w:pPr>
      <w:spacing w:before="100" w:beforeAutospacing="1" w:after="100" w:afterAutospacing="1"/>
    </w:pPr>
  </w:style>
  <w:style w:type="character" w:customStyle="1" w:styleId="Menzionenonrisolta2">
    <w:name w:val="Menzione non risolta2"/>
    <w:basedOn w:val="Carpredefinitoparagrafo"/>
    <w:uiPriority w:val="99"/>
    <w:semiHidden/>
    <w:unhideWhenUsed/>
    <w:rsid w:val="006E10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56">
      <w:bodyDiv w:val="1"/>
      <w:marLeft w:val="0"/>
      <w:marRight w:val="0"/>
      <w:marTop w:val="0"/>
      <w:marBottom w:val="0"/>
      <w:divBdr>
        <w:top w:val="none" w:sz="0" w:space="0" w:color="auto"/>
        <w:left w:val="none" w:sz="0" w:space="0" w:color="auto"/>
        <w:bottom w:val="none" w:sz="0" w:space="0" w:color="auto"/>
        <w:right w:val="none" w:sz="0" w:space="0" w:color="auto"/>
      </w:divBdr>
    </w:div>
    <w:div w:id="18161366">
      <w:bodyDiv w:val="1"/>
      <w:marLeft w:val="0"/>
      <w:marRight w:val="0"/>
      <w:marTop w:val="0"/>
      <w:marBottom w:val="0"/>
      <w:divBdr>
        <w:top w:val="none" w:sz="0" w:space="0" w:color="auto"/>
        <w:left w:val="none" w:sz="0" w:space="0" w:color="auto"/>
        <w:bottom w:val="none" w:sz="0" w:space="0" w:color="auto"/>
        <w:right w:val="none" w:sz="0" w:space="0" w:color="auto"/>
      </w:divBdr>
      <w:divsChild>
        <w:div w:id="179852856">
          <w:marLeft w:val="0"/>
          <w:marRight w:val="0"/>
          <w:marTop w:val="0"/>
          <w:marBottom w:val="0"/>
          <w:divBdr>
            <w:top w:val="none" w:sz="0" w:space="0" w:color="auto"/>
            <w:left w:val="none" w:sz="0" w:space="0" w:color="auto"/>
            <w:bottom w:val="none" w:sz="0" w:space="0" w:color="auto"/>
            <w:right w:val="none" w:sz="0" w:space="0" w:color="auto"/>
          </w:divBdr>
        </w:div>
        <w:div w:id="295574730">
          <w:marLeft w:val="0"/>
          <w:marRight w:val="0"/>
          <w:marTop w:val="0"/>
          <w:marBottom w:val="0"/>
          <w:divBdr>
            <w:top w:val="none" w:sz="0" w:space="0" w:color="auto"/>
            <w:left w:val="none" w:sz="0" w:space="0" w:color="auto"/>
            <w:bottom w:val="none" w:sz="0" w:space="0" w:color="auto"/>
            <w:right w:val="none" w:sz="0" w:space="0" w:color="auto"/>
          </w:divBdr>
        </w:div>
        <w:div w:id="348066236">
          <w:marLeft w:val="0"/>
          <w:marRight w:val="0"/>
          <w:marTop w:val="0"/>
          <w:marBottom w:val="0"/>
          <w:divBdr>
            <w:top w:val="none" w:sz="0" w:space="0" w:color="auto"/>
            <w:left w:val="none" w:sz="0" w:space="0" w:color="auto"/>
            <w:bottom w:val="none" w:sz="0" w:space="0" w:color="auto"/>
            <w:right w:val="none" w:sz="0" w:space="0" w:color="auto"/>
          </w:divBdr>
        </w:div>
        <w:div w:id="1125390588">
          <w:marLeft w:val="0"/>
          <w:marRight w:val="0"/>
          <w:marTop w:val="0"/>
          <w:marBottom w:val="0"/>
          <w:divBdr>
            <w:top w:val="none" w:sz="0" w:space="0" w:color="auto"/>
            <w:left w:val="none" w:sz="0" w:space="0" w:color="auto"/>
            <w:bottom w:val="none" w:sz="0" w:space="0" w:color="auto"/>
            <w:right w:val="none" w:sz="0" w:space="0" w:color="auto"/>
          </w:divBdr>
        </w:div>
        <w:div w:id="1161968407">
          <w:marLeft w:val="0"/>
          <w:marRight w:val="0"/>
          <w:marTop w:val="0"/>
          <w:marBottom w:val="0"/>
          <w:divBdr>
            <w:top w:val="none" w:sz="0" w:space="0" w:color="auto"/>
            <w:left w:val="none" w:sz="0" w:space="0" w:color="auto"/>
            <w:bottom w:val="none" w:sz="0" w:space="0" w:color="auto"/>
            <w:right w:val="none" w:sz="0" w:space="0" w:color="auto"/>
          </w:divBdr>
        </w:div>
        <w:div w:id="1630163130">
          <w:marLeft w:val="0"/>
          <w:marRight w:val="0"/>
          <w:marTop w:val="0"/>
          <w:marBottom w:val="0"/>
          <w:divBdr>
            <w:top w:val="none" w:sz="0" w:space="0" w:color="auto"/>
            <w:left w:val="none" w:sz="0" w:space="0" w:color="auto"/>
            <w:bottom w:val="none" w:sz="0" w:space="0" w:color="auto"/>
            <w:right w:val="none" w:sz="0" w:space="0" w:color="auto"/>
          </w:divBdr>
        </w:div>
        <w:div w:id="1660843378">
          <w:marLeft w:val="0"/>
          <w:marRight w:val="0"/>
          <w:marTop w:val="0"/>
          <w:marBottom w:val="0"/>
          <w:divBdr>
            <w:top w:val="none" w:sz="0" w:space="0" w:color="auto"/>
            <w:left w:val="none" w:sz="0" w:space="0" w:color="auto"/>
            <w:bottom w:val="none" w:sz="0" w:space="0" w:color="auto"/>
            <w:right w:val="none" w:sz="0" w:space="0" w:color="auto"/>
          </w:divBdr>
        </w:div>
        <w:div w:id="1666594535">
          <w:marLeft w:val="0"/>
          <w:marRight w:val="0"/>
          <w:marTop w:val="0"/>
          <w:marBottom w:val="0"/>
          <w:divBdr>
            <w:top w:val="none" w:sz="0" w:space="0" w:color="auto"/>
            <w:left w:val="none" w:sz="0" w:space="0" w:color="auto"/>
            <w:bottom w:val="none" w:sz="0" w:space="0" w:color="auto"/>
            <w:right w:val="none" w:sz="0" w:space="0" w:color="auto"/>
          </w:divBdr>
        </w:div>
        <w:div w:id="2016882832">
          <w:marLeft w:val="0"/>
          <w:marRight w:val="0"/>
          <w:marTop w:val="0"/>
          <w:marBottom w:val="0"/>
          <w:divBdr>
            <w:top w:val="none" w:sz="0" w:space="0" w:color="auto"/>
            <w:left w:val="none" w:sz="0" w:space="0" w:color="auto"/>
            <w:bottom w:val="none" w:sz="0" w:space="0" w:color="auto"/>
            <w:right w:val="none" w:sz="0" w:space="0" w:color="auto"/>
          </w:divBdr>
        </w:div>
        <w:div w:id="2089186184">
          <w:marLeft w:val="0"/>
          <w:marRight w:val="0"/>
          <w:marTop w:val="0"/>
          <w:marBottom w:val="0"/>
          <w:divBdr>
            <w:top w:val="none" w:sz="0" w:space="0" w:color="auto"/>
            <w:left w:val="none" w:sz="0" w:space="0" w:color="auto"/>
            <w:bottom w:val="none" w:sz="0" w:space="0" w:color="auto"/>
            <w:right w:val="none" w:sz="0" w:space="0" w:color="auto"/>
          </w:divBdr>
        </w:div>
      </w:divsChild>
    </w:div>
    <w:div w:id="27536521">
      <w:bodyDiv w:val="1"/>
      <w:marLeft w:val="0"/>
      <w:marRight w:val="0"/>
      <w:marTop w:val="0"/>
      <w:marBottom w:val="0"/>
      <w:divBdr>
        <w:top w:val="none" w:sz="0" w:space="0" w:color="auto"/>
        <w:left w:val="none" w:sz="0" w:space="0" w:color="auto"/>
        <w:bottom w:val="none" w:sz="0" w:space="0" w:color="auto"/>
        <w:right w:val="none" w:sz="0" w:space="0" w:color="auto"/>
      </w:divBdr>
    </w:div>
    <w:div w:id="111365195">
      <w:bodyDiv w:val="1"/>
      <w:marLeft w:val="0"/>
      <w:marRight w:val="0"/>
      <w:marTop w:val="0"/>
      <w:marBottom w:val="0"/>
      <w:divBdr>
        <w:top w:val="none" w:sz="0" w:space="0" w:color="auto"/>
        <w:left w:val="none" w:sz="0" w:space="0" w:color="auto"/>
        <w:bottom w:val="none" w:sz="0" w:space="0" w:color="auto"/>
        <w:right w:val="none" w:sz="0" w:space="0" w:color="auto"/>
      </w:divBdr>
    </w:div>
    <w:div w:id="124937037">
      <w:bodyDiv w:val="1"/>
      <w:marLeft w:val="0"/>
      <w:marRight w:val="0"/>
      <w:marTop w:val="0"/>
      <w:marBottom w:val="0"/>
      <w:divBdr>
        <w:top w:val="none" w:sz="0" w:space="0" w:color="auto"/>
        <w:left w:val="none" w:sz="0" w:space="0" w:color="auto"/>
        <w:bottom w:val="none" w:sz="0" w:space="0" w:color="auto"/>
        <w:right w:val="none" w:sz="0" w:space="0" w:color="auto"/>
      </w:divBdr>
    </w:div>
    <w:div w:id="140082454">
      <w:bodyDiv w:val="1"/>
      <w:marLeft w:val="0"/>
      <w:marRight w:val="0"/>
      <w:marTop w:val="0"/>
      <w:marBottom w:val="0"/>
      <w:divBdr>
        <w:top w:val="none" w:sz="0" w:space="0" w:color="auto"/>
        <w:left w:val="none" w:sz="0" w:space="0" w:color="auto"/>
        <w:bottom w:val="none" w:sz="0" w:space="0" w:color="auto"/>
        <w:right w:val="none" w:sz="0" w:space="0" w:color="auto"/>
      </w:divBdr>
    </w:div>
    <w:div w:id="150486203">
      <w:bodyDiv w:val="1"/>
      <w:marLeft w:val="0"/>
      <w:marRight w:val="0"/>
      <w:marTop w:val="0"/>
      <w:marBottom w:val="0"/>
      <w:divBdr>
        <w:top w:val="none" w:sz="0" w:space="0" w:color="auto"/>
        <w:left w:val="none" w:sz="0" w:space="0" w:color="auto"/>
        <w:bottom w:val="none" w:sz="0" w:space="0" w:color="auto"/>
        <w:right w:val="none" w:sz="0" w:space="0" w:color="auto"/>
      </w:divBdr>
    </w:div>
    <w:div w:id="244346248">
      <w:bodyDiv w:val="1"/>
      <w:marLeft w:val="0"/>
      <w:marRight w:val="0"/>
      <w:marTop w:val="0"/>
      <w:marBottom w:val="0"/>
      <w:divBdr>
        <w:top w:val="none" w:sz="0" w:space="0" w:color="auto"/>
        <w:left w:val="none" w:sz="0" w:space="0" w:color="auto"/>
        <w:bottom w:val="none" w:sz="0" w:space="0" w:color="auto"/>
        <w:right w:val="none" w:sz="0" w:space="0" w:color="auto"/>
      </w:divBdr>
    </w:div>
    <w:div w:id="272520369">
      <w:bodyDiv w:val="1"/>
      <w:marLeft w:val="0"/>
      <w:marRight w:val="0"/>
      <w:marTop w:val="0"/>
      <w:marBottom w:val="0"/>
      <w:divBdr>
        <w:top w:val="none" w:sz="0" w:space="0" w:color="auto"/>
        <w:left w:val="none" w:sz="0" w:space="0" w:color="auto"/>
        <w:bottom w:val="none" w:sz="0" w:space="0" w:color="auto"/>
        <w:right w:val="none" w:sz="0" w:space="0" w:color="auto"/>
      </w:divBdr>
    </w:div>
    <w:div w:id="309022634">
      <w:bodyDiv w:val="1"/>
      <w:marLeft w:val="0"/>
      <w:marRight w:val="0"/>
      <w:marTop w:val="0"/>
      <w:marBottom w:val="0"/>
      <w:divBdr>
        <w:top w:val="none" w:sz="0" w:space="0" w:color="auto"/>
        <w:left w:val="none" w:sz="0" w:space="0" w:color="auto"/>
        <w:bottom w:val="none" w:sz="0" w:space="0" w:color="auto"/>
        <w:right w:val="none" w:sz="0" w:space="0" w:color="auto"/>
      </w:divBdr>
    </w:div>
    <w:div w:id="356466874">
      <w:bodyDiv w:val="1"/>
      <w:marLeft w:val="0"/>
      <w:marRight w:val="0"/>
      <w:marTop w:val="0"/>
      <w:marBottom w:val="0"/>
      <w:divBdr>
        <w:top w:val="none" w:sz="0" w:space="0" w:color="auto"/>
        <w:left w:val="none" w:sz="0" w:space="0" w:color="auto"/>
        <w:bottom w:val="none" w:sz="0" w:space="0" w:color="auto"/>
        <w:right w:val="none" w:sz="0" w:space="0" w:color="auto"/>
      </w:divBdr>
    </w:div>
    <w:div w:id="376124005">
      <w:bodyDiv w:val="1"/>
      <w:marLeft w:val="0"/>
      <w:marRight w:val="0"/>
      <w:marTop w:val="0"/>
      <w:marBottom w:val="0"/>
      <w:divBdr>
        <w:top w:val="none" w:sz="0" w:space="0" w:color="auto"/>
        <w:left w:val="none" w:sz="0" w:space="0" w:color="auto"/>
        <w:bottom w:val="none" w:sz="0" w:space="0" w:color="auto"/>
        <w:right w:val="none" w:sz="0" w:space="0" w:color="auto"/>
      </w:divBdr>
    </w:div>
    <w:div w:id="421687548">
      <w:bodyDiv w:val="1"/>
      <w:marLeft w:val="0"/>
      <w:marRight w:val="0"/>
      <w:marTop w:val="0"/>
      <w:marBottom w:val="0"/>
      <w:divBdr>
        <w:top w:val="none" w:sz="0" w:space="0" w:color="auto"/>
        <w:left w:val="none" w:sz="0" w:space="0" w:color="auto"/>
        <w:bottom w:val="none" w:sz="0" w:space="0" w:color="auto"/>
        <w:right w:val="none" w:sz="0" w:space="0" w:color="auto"/>
      </w:divBdr>
    </w:div>
    <w:div w:id="480509955">
      <w:bodyDiv w:val="1"/>
      <w:marLeft w:val="0"/>
      <w:marRight w:val="0"/>
      <w:marTop w:val="0"/>
      <w:marBottom w:val="0"/>
      <w:divBdr>
        <w:top w:val="none" w:sz="0" w:space="0" w:color="auto"/>
        <w:left w:val="none" w:sz="0" w:space="0" w:color="auto"/>
        <w:bottom w:val="none" w:sz="0" w:space="0" w:color="auto"/>
        <w:right w:val="none" w:sz="0" w:space="0" w:color="auto"/>
      </w:divBdr>
    </w:div>
    <w:div w:id="537207116">
      <w:bodyDiv w:val="1"/>
      <w:marLeft w:val="0"/>
      <w:marRight w:val="0"/>
      <w:marTop w:val="0"/>
      <w:marBottom w:val="0"/>
      <w:divBdr>
        <w:top w:val="none" w:sz="0" w:space="0" w:color="auto"/>
        <w:left w:val="none" w:sz="0" w:space="0" w:color="auto"/>
        <w:bottom w:val="none" w:sz="0" w:space="0" w:color="auto"/>
        <w:right w:val="none" w:sz="0" w:space="0" w:color="auto"/>
      </w:divBdr>
    </w:div>
    <w:div w:id="551430126">
      <w:bodyDiv w:val="1"/>
      <w:marLeft w:val="0"/>
      <w:marRight w:val="0"/>
      <w:marTop w:val="0"/>
      <w:marBottom w:val="0"/>
      <w:divBdr>
        <w:top w:val="none" w:sz="0" w:space="0" w:color="auto"/>
        <w:left w:val="none" w:sz="0" w:space="0" w:color="auto"/>
        <w:bottom w:val="none" w:sz="0" w:space="0" w:color="auto"/>
        <w:right w:val="none" w:sz="0" w:space="0" w:color="auto"/>
      </w:divBdr>
    </w:div>
    <w:div w:id="559364502">
      <w:bodyDiv w:val="1"/>
      <w:marLeft w:val="0"/>
      <w:marRight w:val="0"/>
      <w:marTop w:val="0"/>
      <w:marBottom w:val="0"/>
      <w:divBdr>
        <w:top w:val="none" w:sz="0" w:space="0" w:color="auto"/>
        <w:left w:val="none" w:sz="0" w:space="0" w:color="auto"/>
        <w:bottom w:val="none" w:sz="0" w:space="0" w:color="auto"/>
        <w:right w:val="none" w:sz="0" w:space="0" w:color="auto"/>
      </w:divBdr>
    </w:div>
    <w:div w:id="567108095">
      <w:bodyDiv w:val="1"/>
      <w:marLeft w:val="0"/>
      <w:marRight w:val="0"/>
      <w:marTop w:val="0"/>
      <w:marBottom w:val="0"/>
      <w:divBdr>
        <w:top w:val="none" w:sz="0" w:space="0" w:color="auto"/>
        <w:left w:val="none" w:sz="0" w:space="0" w:color="auto"/>
        <w:bottom w:val="none" w:sz="0" w:space="0" w:color="auto"/>
        <w:right w:val="none" w:sz="0" w:space="0" w:color="auto"/>
      </w:divBdr>
    </w:div>
    <w:div w:id="597373743">
      <w:bodyDiv w:val="1"/>
      <w:marLeft w:val="0"/>
      <w:marRight w:val="0"/>
      <w:marTop w:val="0"/>
      <w:marBottom w:val="0"/>
      <w:divBdr>
        <w:top w:val="none" w:sz="0" w:space="0" w:color="auto"/>
        <w:left w:val="none" w:sz="0" w:space="0" w:color="auto"/>
        <w:bottom w:val="none" w:sz="0" w:space="0" w:color="auto"/>
        <w:right w:val="none" w:sz="0" w:space="0" w:color="auto"/>
      </w:divBdr>
    </w:div>
    <w:div w:id="623773402">
      <w:bodyDiv w:val="1"/>
      <w:marLeft w:val="0"/>
      <w:marRight w:val="0"/>
      <w:marTop w:val="0"/>
      <w:marBottom w:val="0"/>
      <w:divBdr>
        <w:top w:val="none" w:sz="0" w:space="0" w:color="auto"/>
        <w:left w:val="none" w:sz="0" w:space="0" w:color="auto"/>
        <w:bottom w:val="none" w:sz="0" w:space="0" w:color="auto"/>
        <w:right w:val="none" w:sz="0" w:space="0" w:color="auto"/>
      </w:divBdr>
    </w:div>
    <w:div w:id="653412380">
      <w:marLeft w:val="0"/>
      <w:marRight w:val="0"/>
      <w:marTop w:val="0"/>
      <w:marBottom w:val="0"/>
      <w:divBdr>
        <w:top w:val="none" w:sz="0" w:space="0" w:color="auto"/>
        <w:left w:val="none" w:sz="0" w:space="0" w:color="auto"/>
        <w:bottom w:val="none" w:sz="0" w:space="0" w:color="auto"/>
        <w:right w:val="none" w:sz="0" w:space="0" w:color="auto"/>
      </w:divBdr>
    </w:div>
    <w:div w:id="653412382">
      <w:marLeft w:val="0"/>
      <w:marRight w:val="0"/>
      <w:marTop w:val="0"/>
      <w:marBottom w:val="0"/>
      <w:divBdr>
        <w:top w:val="none" w:sz="0" w:space="0" w:color="auto"/>
        <w:left w:val="none" w:sz="0" w:space="0" w:color="auto"/>
        <w:bottom w:val="none" w:sz="0" w:space="0" w:color="auto"/>
        <w:right w:val="none" w:sz="0" w:space="0" w:color="auto"/>
      </w:divBdr>
      <w:divsChild>
        <w:div w:id="653412379">
          <w:marLeft w:val="0"/>
          <w:marRight w:val="0"/>
          <w:marTop w:val="0"/>
          <w:marBottom w:val="0"/>
          <w:divBdr>
            <w:top w:val="none" w:sz="0" w:space="0" w:color="auto"/>
            <w:left w:val="none" w:sz="0" w:space="0" w:color="auto"/>
            <w:bottom w:val="none" w:sz="0" w:space="0" w:color="auto"/>
            <w:right w:val="none" w:sz="0" w:space="0" w:color="auto"/>
          </w:divBdr>
        </w:div>
        <w:div w:id="653412381">
          <w:marLeft w:val="0"/>
          <w:marRight w:val="0"/>
          <w:marTop w:val="0"/>
          <w:marBottom w:val="0"/>
          <w:divBdr>
            <w:top w:val="none" w:sz="0" w:space="0" w:color="auto"/>
            <w:left w:val="none" w:sz="0" w:space="0" w:color="auto"/>
            <w:bottom w:val="none" w:sz="0" w:space="0" w:color="auto"/>
            <w:right w:val="none" w:sz="0" w:space="0" w:color="auto"/>
          </w:divBdr>
        </w:div>
        <w:div w:id="653412383">
          <w:marLeft w:val="0"/>
          <w:marRight w:val="0"/>
          <w:marTop w:val="0"/>
          <w:marBottom w:val="0"/>
          <w:divBdr>
            <w:top w:val="none" w:sz="0" w:space="0" w:color="auto"/>
            <w:left w:val="none" w:sz="0" w:space="0" w:color="auto"/>
            <w:bottom w:val="none" w:sz="0" w:space="0" w:color="auto"/>
            <w:right w:val="none" w:sz="0" w:space="0" w:color="auto"/>
          </w:divBdr>
        </w:div>
        <w:div w:id="653412384">
          <w:marLeft w:val="0"/>
          <w:marRight w:val="0"/>
          <w:marTop w:val="0"/>
          <w:marBottom w:val="0"/>
          <w:divBdr>
            <w:top w:val="none" w:sz="0" w:space="0" w:color="auto"/>
            <w:left w:val="none" w:sz="0" w:space="0" w:color="auto"/>
            <w:bottom w:val="none" w:sz="0" w:space="0" w:color="auto"/>
            <w:right w:val="none" w:sz="0" w:space="0" w:color="auto"/>
          </w:divBdr>
        </w:div>
        <w:div w:id="653412385">
          <w:marLeft w:val="0"/>
          <w:marRight w:val="0"/>
          <w:marTop w:val="0"/>
          <w:marBottom w:val="0"/>
          <w:divBdr>
            <w:top w:val="none" w:sz="0" w:space="0" w:color="auto"/>
            <w:left w:val="none" w:sz="0" w:space="0" w:color="auto"/>
            <w:bottom w:val="none" w:sz="0" w:space="0" w:color="auto"/>
            <w:right w:val="none" w:sz="0" w:space="0" w:color="auto"/>
          </w:divBdr>
        </w:div>
      </w:divsChild>
    </w:div>
    <w:div w:id="653412386">
      <w:marLeft w:val="0"/>
      <w:marRight w:val="0"/>
      <w:marTop w:val="0"/>
      <w:marBottom w:val="0"/>
      <w:divBdr>
        <w:top w:val="none" w:sz="0" w:space="0" w:color="auto"/>
        <w:left w:val="none" w:sz="0" w:space="0" w:color="auto"/>
        <w:bottom w:val="none" w:sz="0" w:space="0" w:color="auto"/>
        <w:right w:val="none" w:sz="0" w:space="0" w:color="auto"/>
      </w:divBdr>
    </w:div>
    <w:div w:id="653412387">
      <w:marLeft w:val="0"/>
      <w:marRight w:val="0"/>
      <w:marTop w:val="0"/>
      <w:marBottom w:val="0"/>
      <w:divBdr>
        <w:top w:val="none" w:sz="0" w:space="0" w:color="auto"/>
        <w:left w:val="none" w:sz="0" w:space="0" w:color="auto"/>
        <w:bottom w:val="none" w:sz="0" w:space="0" w:color="auto"/>
        <w:right w:val="none" w:sz="0" w:space="0" w:color="auto"/>
      </w:divBdr>
    </w:div>
    <w:div w:id="653412388">
      <w:marLeft w:val="0"/>
      <w:marRight w:val="0"/>
      <w:marTop w:val="0"/>
      <w:marBottom w:val="0"/>
      <w:divBdr>
        <w:top w:val="none" w:sz="0" w:space="0" w:color="auto"/>
        <w:left w:val="none" w:sz="0" w:space="0" w:color="auto"/>
        <w:bottom w:val="none" w:sz="0" w:space="0" w:color="auto"/>
        <w:right w:val="none" w:sz="0" w:space="0" w:color="auto"/>
      </w:divBdr>
    </w:div>
    <w:div w:id="653412389">
      <w:marLeft w:val="0"/>
      <w:marRight w:val="0"/>
      <w:marTop w:val="0"/>
      <w:marBottom w:val="0"/>
      <w:divBdr>
        <w:top w:val="none" w:sz="0" w:space="0" w:color="auto"/>
        <w:left w:val="none" w:sz="0" w:space="0" w:color="auto"/>
        <w:bottom w:val="none" w:sz="0" w:space="0" w:color="auto"/>
        <w:right w:val="none" w:sz="0" w:space="0" w:color="auto"/>
      </w:divBdr>
    </w:div>
    <w:div w:id="653412390">
      <w:marLeft w:val="0"/>
      <w:marRight w:val="0"/>
      <w:marTop w:val="0"/>
      <w:marBottom w:val="0"/>
      <w:divBdr>
        <w:top w:val="none" w:sz="0" w:space="0" w:color="auto"/>
        <w:left w:val="none" w:sz="0" w:space="0" w:color="auto"/>
        <w:bottom w:val="none" w:sz="0" w:space="0" w:color="auto"/>
        <w:right w:val="none" w:sz="0" w:space="0" w:color="auto"/>
      </w:divBdr>
    </w:div>
    <w:div w:id="653412392">
      <w:marLeft w:val="0"/>
      <w:marRight w:val="0"/>
      <w:marTop w:val="0"/>
      <w:marBottom w:val="0"/>
      <w:divBdr>
        <w:top w:val="none" w:sz="0" w:space="0" w:color="auto"/>
        <w:left w:val="none" w:sz="0" w:space="0" w:color="auto"/>
        <w:bottom w:val="none" w:sz="0" w:space="0" w:color="auto"/>
        <w:right w:val="none" w:sz="0" w:space="0" w:color="auto"/>
      </w:divBdr>
    </w:div>
    <w:div w:id="653412393">
      <w:marLeft w:val="0"/>
      <w:marRight w:val="0"/>
      <w:marTop w:val="0"/>
      <w:marBottom w:val="0"/>
      <w:divBdr>
        <w:top w:val="none" w:sz="0" w:space="0" w:color="auto"/>
        <w:left w:val="none" w:sz="0" w:space="0" w:color="auto"/>
        <w:bottom w:val="none" w:sz="0" w:space="0" w:color="auto"/>
        <w:right w:val="none" w:sz="0" w:space="0" w:color="auto"/>
      </w:divBdr>
    </w:div>
    <w:div w:id="653412395">
      <w:marLeft w:val="0"/>
      <w:marRight w:val="0"/>
      <w:marTop w:val="0"/>
      <w:marBottom w:val="0"/>
      <w:divBdr>
        <w:top w:val="none" w:sz="0" w:space="0" w:color="auto"/>
        <w:left w:val="none" w:sz="0" w:space="0" w:color="auto"/>
        <w:bottom w:val="none" w:sz="0" w:space="0" w:color="auto"/>
        <w:right w:val="none" w:sz="0" w:space="0" w:color="auto"/>
      </w:divBdr>
    </w:div>
    <w:div w:id="653412396">
      <w:marLeft w:val="0"/>
      <w:marRight w:val="0"/>
      <w:marTop w:val="0"/>
      <w:marBottom w:val="0"/>
      <w:divBdr>
        <w:top w:val="none" w:sz="0" w:space="0" w:color="auto"/>
        <w:left w:val="none" w:sz="0" w:space="0" w:color="auto"/>
        <w:bottom w:val="none" w:sz="0" w:space="0" w:color="auto"/>
        <w:right w:val="none" w:sz="0" w:space="0" w:color="auto"/>
      </w:divBdr>
    </w:div>
    <w:div w:id="653412397">
      <w:marLeft w:val="0"/>
      <w:marRight w:val="0"/>
      <w:marTop w:val="0"/>
      <w:marBottom w:val="0"/>
      <w:divBdr>
        <w:top w:val="none" w:sz="0" w:space="0" w:color="auto"/>
        <w:left w:val="none" w:sz="0" w:space="0" w:color="auto"/>
        <w:bottom w:val="none" w:sz="0" w:space="0" w:color="auto"/>
        <w:right w:val="none" w:sz="0" w:space="0" w:color="auto"/>
      </w:divBdr>
    </w:div>
    <w:div w:id="653412398">
      <w:marLeft w:val="0"/>
      <w:marRight w:val="0"/>
      <w:marTop w:val="0"/>
      <w:marBottom w:val="0"/>
      <w:divBdr>
        <w:top w:val="none" w:sz="0" w:space="0" w:color="auto"/>
        <w:left w:val="none" w:sz="0" w:space="0" w:color="auto"/>
        <w:bottom w:val="none" w:sz="0" w:space="0" w:color="auto"/>
        <w:right w:val="none" w:sz="0" w:space="0" w:color="auto"/>
      </w:divBdr>
    </w:div>
    <w:div w:id="653412399">
      <w:marLeft w:val="0"/>
      <w:marRight w:val="0"/>
      <w:marTop w:val="0"/>
      <w:marBottom w:val="0"/>
      <w:divBdr>
        <w:top w:val="none" w:sz="0" w:space="0" w:color="auto"/>
        <w:left w:val="none" w:sz="0" w:space="0" w:color="auto"/>
        <w:bottom w:val="none" w:sz="0" w:space="0" w:color="auto"/>
        <w:right w:val="none" w:sz="0" w:space="0" w:color="auto"/>
      </w:divBdr>
    </w:div>
    <w:div w:id="653412400">
      <w:marLeft w:val="0"/>
      <w:marRight w:val="0"/>
      <w:marTop w:val="0"/>
      <w:marBottom w:val="0"/>
      <w:divBdr>
        <w:top w:val="none" w:sz="0" w:space="0" w:color="auto"/>
        <w:left w:val="none" w:sz="0" w:space="0" w:color="auto"/>
        <w:bottom w:val="none" w:sz="0" w:space="0" w:color="auto"/>
        <w:right w:val="none" w:sz="0" w:space="0" w:color="auto"/>
      </w:divBdr>
    </w:div>
    <w:div w:id="653412401">
      <w:marLeft w:val="0"/>
      <w:marRight w:val="0"/>
      <w:marTop w:val="0"/>
      <w:marBottom w:val="0"/>
      <w:divBdr>
        <w:top w:val="none" w:sz="0" w:space="0" w:color="auto"/>
        <w:left w:val="none" w:sz="0" w:space="0" w:color="auto"/>
        <w:bottom w:val="none" w:sz="0" w:space="0" w:color="auto"/>
        <w:right w:val="none" w:sz="0" w:space="0" w:color="auto"/>
      </w:divBdr>
    </w:div>
    <w:div w:id="653412402">
      <w:marLeft w:val="0"/>
      <w:marRight w:val="0"/>
      <w:marTop w:val="0"/>
      <w:marBottom w:val="0"/>
      <w:divBdr>
        <w:top w:val="none" w:sz="0" w:space="0" w:color="auto"/>
        <w:left w:val="none" w:sz="0" w:space="0" w:color="auto"/>
        <w:bottom w:val="none" w:sz="0" w:space="0" w:color="auto"/>
        <w:right w:val="none" w:sz="0" w:space="0" w:color="auto"/>
      </w:divBdr>
    </w:div>
    <w:div w:id="653412404">
      <w:marLeft w:val="0"/>
      <w:marRight w:val="0"/>
      <w:marTop w:val="0"/>
      <w:marBottom w:val="0"/>
      <w:divBdr>
        <w:top w:val="none" w:sz="0" w:space="0" w:color="auto"/>
        <w:left w:val="none" w:sz="0" w:space="0" w:color="auto"/>
        <w:bottom w:val="none" w:sz="0" w:space="0" w:color="auto"/>
        <w:right w:val="none" w:sz="0" w:space="0" w:color="auto"/>
      </w:divBdr>
    </w:div>
    <w:div w:id="653412405">
      <w:marLeft w:val="0"/>
      <w:marRight w:val="0"/>
      <w:marTop w:val="0"/>
      <w:marBottom w:val="0"/>
      <w:divBdr>
        <w:top w:val="none" w:sz="0" w:space="0" w:color="auto"/>
        <w:left w:val="none" w:sz="0" w:space="0" w:color="auto"/>
        <w:bottom w:val="none" w:sz="0" w:space="0" w:color="auto"/>
        <w:right w:val="none" w:sz="0" w:space="0" w:color="auto"/>
      </w:divBdr>
    </w:div>
    <w:div w:id="653412406">
      <w:marLeft w:val="0"/>
      <w:marRight w:val="0"/>
      <w:marTop w:val="0"/>
      <w:marBottom w:val="0"/>
      <w:divBdr>
        <w:top w:val="none" w:sz="0" w:space="0" w:color="auto"/>
        <w:left w:val="none" w:sz="0" w:space="0" w:color="auto"/>
        <w:bottom w:val="none" w:sz="0" w:space="0" w:color="auto"/>
        <w:right w:val="none" w:sz="0" w:space="0" w:color="auto"/>
      </w:divBdr>
    </w:div>
    <w:div w:id="653412407">
      <w:marLeft w:val="0"/>
      <w:marRight w:val="0"/>
      <w:marTop w:val="0"/>
      <w:marBottom w:val="0"/>
      <w:divBdr>
        <w:top w:val="none" w:sz="0" w:space="0" w:color="auto"/>
        <w:left w:val="none" w:sz="0" w:space="0" w:color="auto"/>
        <w:bottom w:val="none" w:sz="0" w:space="0" w:color="auto"/>
        <w:right w:val="none" w:sz="0" w:space="0" w:color="auto"/>
      </w:divBdr>
    </w:div>
    <w:div w:id="653412408">
      <w:marLeft w:val="0"/>
      <w:marRight w:val="0"/>
      <w:marTop w:val="0"/>
      <w:marBottom w:val="0"/>
      <w:divBdr>
        <w:top w:val="none" w:sz="0" w:space="0" w:color="auto"/>
        <w:left w:val="none" w:sz="0" w:space="0" w:color="auto"/>
        <w:bottom w:val="none" w:sz="0" w:space="0" w:color="auto"/>
        <w:right w:val="none" w:sz="0" w:space="0" w:color="auto"/>
      </w:divBdr>
    </w:div>
    <w:div w:id="653412409">
      <w:marLeft w:val="0"/>
      <w:marRight w:val="0"/>
      <w:marTop w:val="0"/>
      <w:marBottom w:val="0"/>
      <w:divBdr>
        <w:top w:val="none" w:sz="0" w:space="0" w:color="auto"/>
        <w:left w:val="none" w:sz="0" w:space="0" w:color="auto"/>
        <w:bottom w:val="none" w:sz="0" w:space="0" w:color="auto"/>
        <w:right w:val="none" w:sz="0" w:space="0" w:color="auto"/>
      </w:divBdr>
    </w:div>
    <w:div w:id="653412410">
      <w:marLeft w:val="0"/>
      <w:marRight w:val="0"/>
      <w:marTop w:val="0"/>
      <w:marBottom w:val="0"/>
      <w:divBdr>
        <w:top w:val="none" w:sz="0" w:space="0" w:color="auto"/>
        <w:left w:val="none" w:sz="0" w:space="0" w:color="auto"/>
        <w:bottom w:val="none" w:sz="0" w:space="0" w:color="auto"/>
        <w:right w:val="none" w:sz="0" w:space="0" w:color="auto"/>
      </w:divBdr>
    </w:div>
    <w:div w:id="653412411">
      <w:marLeft w:val="0"/>
      <w:marRight w:val="0"/>
      <w:marTop w:val="0"/>
      <w:marBottom w:val="0"/>
      <w:divBdr>
        <w:top w:val="none" w:sz="0" w:space="0" w:color="auto"/>
        <w:left w:val="none" w:sz="0" w:space="0" w:color="auto"/>
        <w:bottom w:val="none" w:sz="0" w:space="0" w:color="auto"/>
        <w:right w:val="none" w:sz="0" w:space="0" w:color="auto"/>
      </w:divBdr>
    </w:div>
    <w:div w:id="653412412">
      <w:marLeft w:val="0"/>
      <w:marRight w:val="0"/>
      <w:marTop w:val="0"/>
      <w:marBottom w:val="0"/>
      <w:divBdr>
        <w:top w:val="none" w:sz="0" w:space="0" w:color="auto"/>
        <w:left w:val="none" w:sz="0" w:space="0" w:color="auto"/>
        <w:bottom w:val="none" w:sz="0" w:space="0" w:color="auto"/>
        <w:right w:val="none" w:sz="0" w:space="0" w:color="auto"/>
      </w:divBdr>
    </w:div>
    <w:div w:id="653412413">
      <w:marLeft w:val="0"/>
      <w:marRight w:val="0"/>
      <w:marTop w:val="0"/>
      <w:marBottom w:val="0"/>
      <w:divBdr>
        <w:top w:val="none" w:sz="0" w:space="0" w:color="auto"/>
        <w:left w:val="none" w:sz="0" w:space="0" w:color="auto"/>
        <w:bottom w:val="none" w:sz="0" w:space="0" w:color="auto"/>
        <w:right w:val="none" w:sz="0" w:space="0" w:color="auto"/>
      </w:divBdr>
    </w:div>
    <w:div w:id="653412414">
      <w:marLeft w:val="0"/>
      <w:marRight w:val="0"/>
      <w:marTop w:val="0"/>
      <w:marBottom w:val="0"/>
      <w:divBdr>
        <w:top w:val="none" w:sz="0" w:space="0" w:color="auto"/>
        <w:left w:val="none" w:sz="0" w:space="0" w:color="auto"/>
        <w:bottom w:val="none" w:sz="0" w:space="0" w:color="auto"/>
        <w:right w:val="none" w:sz="0" w:space="0" w:color="auto"/>
      </w:divBdr>
    </w:div>
    <w:div w:id="653412415">
      <w:marLeft w:val="0"/>
      <w:marRight w:val="0"/>
      <w:marTop w:val="0"/>
      <w:marBottom w:val="0"/>
      <w:divBdr>
        <w:top w:val="none" w:sz="0" w:space="0" w:color="auto"/>
        <w:left w:val="none" w:sz="0" w:space="0" w:color="auto"/>
        <w:bottom w:val="none" w:sz="0" w:space="0" w:color="auto"/>
        <w:right w:val="none" w:sz="0" w:space="0" w:color="auto"/>
      </w:divBdr>
    </w:div>
    <w:div w:id="653412416">
      <w:marLeft w:val="0"/>
      <w:marRight w:val="0"/>
      <w:marTop w:val="0"/>
      <w:marBottom w:val="0"/>
      <w:divBdr>
        <w:top w:val="none" w:sz="0" w:space="0" w:color="auto"/>
        <w:left w:val="none" w:sz="0" w:space="0" w:color="auto"/>
        <w:bottom w:val="none" w:sz="0" w:space="0" w:color="auto"/>
        <w:right w:val="none" w:sz="0" w:space="0" w:color="auto"/>
      </w:divBdr>
    </w:div>
    <w:div w:id="653412417">
      <w:marLeft w:val="0"/>
      <w:marRight w:val="0"/>
      <w:marTop w:val="0"/>
      <w:marBottom w:val="0"/>
      <w:divBdr>
        <w:top w:val="none" w:sz="0" w:space="0" w:color="auto"/>
        <w:left w:val="none" w:sz="0" w:space="0" w:color="auto"/>
        <w:bottom w:val="none" w:sz="0" w:space="0" w:color="auto"/>
        <w:right w:val="none" w:sz="0" w:space="0" w:color="auto"/>
      </w:divBdr>
    </w:div>
    <w:div w:id="653412418">
      <w:marLeft w:val="0"/>
      <w:marRight w:val="0"/>
      <w:marTop w:val="0"/>
      <w:marBottom w:val="0"/>
      <w:divBdr>
        <w:top w:val="none" w:sz="0" w:space="0" w:color="auto"/>
        <w:left w:val="none" w:sz="0" w:space="0" w:color="auto"/>
        <w:bottom w:val="none" w:sz="0" w:space="0" w:color="auto"/>
        <w:right w:val="none" w:sz="0" w:space="0" w:color="auto"/>
      </w:divBdr>
    </w:div>
    <w:div w:id="653412419">
      <w:marLeft w:val="0"/>
      <w:marRight w:val="0"/>
      <w:marTop w:val="0"/>
      <w:marBottom w:val="0"/>
      <w:divBdr>
        <w:top w:val="none" w:sz="0" w:space="0" w:color="auto"/>
        <w:left w:val="none" w:sz="0" w:space="0" w:color="auto"/>
        <w:bottom w:val="none" w:sz="0" w:space="0" w:color="auto"/>
        <w:right w:val="none" w:sz="0" w:space="0" w:color="auto"/>
      </w:divBdr>
    </w:div>
    <w:div w:id="653412420">
      <w:marLeft w:val="0"/>
      <w:marRight w:val="0"/>
      <w:marTop w:val="0"/>
      <w:marBottom w:val="0"/>
      <w:divBdr>
        <w:top w:val="none" w:sz="0" w:space="0" w:color="auto"/>
        <w:left w:val="none" w:sz="0" w:space="0" w:color="auto"/>
        <w:bottom w:val="none" w:sz="0" w:space="0" w:color="auto"/>
        <w:right w:val="none" w:sz="0" w:space="0" w:color="auto"/>
      </w:divBdr>
    </w:div>
    <w:div w:id="653412421">
      <w:marLeft w:val="0"/>
      <w:marRight w:val="0"/>
      <w:marTop w:val="0"/>
      <w:marBottom w:val="0"/>
      <w:divBdr>
        <w:top w:val="none" w:sz="0" w:space="0" w:color="auto"/>
        <w:left w:val="none" w:sz="0" w:space="0" w:color="auto"/>
        <w:bottom w:val="none" w:sz="0" w:space="0" w:color="auto"/>
        <w:right w:val="none" w:sz="0" w:space="0" w:color="auto"/>
      </w:divBdr>
    </w:div>
    <w:div w:id="653412422">
      <w:marLeft w:val="0"/>
      <w:marRight w:val="0"/>
      <w:marTop w:val="0"/>
      <w:marBottom w:val="0"/>
      <w:divBdr>
        <w:top w:val="none" w:sz="0" w:space="0" w:color="auto"/>
        <w:left w:val="none" w:sz="0" w:space="0" w:color="auto"/>
        <w:bottom w:val="none" w:sz="0" w:space="0" w:color="auto"/>
        <w:right w:val="none" w:sz="0" w:space="0" w:color="auto"/>
      </w:divBdr>
    </w:div>
    <w:div w:id="653412423">
      <w:marLeft w:val="0"/>
      <w:marRight w:val="0"/>
      <w:marTop w:val="0"/>
      <w:marBottom w:val="0"/>
      <w:divBdr>
        <w:top w:val="none" w:sz="0" w:space="0" w:color="auto"/>
        <w:left w:val="none" w:sz="0" w:space="0" w:color="auto"/>
        <w:bottom w:val="none" w:sz="0" w:space="0" w:color="auto"/>
        <w:right w:val="none" w:sz="0" w:space="0" w:color="auto"/>
      </w:divBdr>
    </w:div>
    <w:div w:id="653412424">
      <w:marLeft w:val="0"/>
      <w:marRight w:val="0"/>
      <w:marTop w:val="0"/>
      <w:marBottom w:val="0"/>
      <w:divBdr>
        <w:top w:val="none" w:sz="0" w:space="0" w:color="auto"/>
        <w:left w:val="none" w:sz="0" w:space="0" w:color="auto"/>
        <w:bottom w:val="none" w:sz="0" w:space="0" w:color="auto"/>
        <w:right w:val="none" w:sz="0" w:space="0" w:color="auto"/>
      </w:divBdr>
    </w:div>
    <w:div w:id="653412425">
      <w:marLeft w:val="0"/>
      <w:marRight w:val="0"/>
      <w:marTop w:val="0"/>
      <w:marBottom w:val="0"/>
      <w:divBdr>
        <w:top w:val="none" w:sz="0" w:space="0" w:color="auto"/>
        <w:left w:val="none" w:sz="0" w:space="0" w:color="auto"/>
        <w:bottom w:val="none" w:sz="0" w:space="0" w:color="auto"/>
        <w:right w:val="none" w:sz="0" w:space="0" w:color="auto"/>
      </w:divBdr>
    </w:div>
    <w:div w:id="653412426">
      <w:marLeft w:val="0"/>
      <w:marRight w:val="0"/>
      <w:marTop w:val="0"/>
      <w:marBottom w:val="0"/>
      <w:divBdr>
        <w:top w:val="none" w:sz="0" w:space="0" w:color="auto"/>
        <w:left w:val="none" w:sz="0" w:space="0" w:color="auto"/>
        <w:bottom w:val="none" w:sz="0" w:space="0" w:color="auto"/>
        <w:right w:val="none" w:sz="0" w:space="0" w:color="auto"/>
      </w:divBdr>
    </w:div>
    <w:div w:id="653412427">
      <w:marLeft w:val="0"/>
      <w:marRight w:val="0"/>
      <w:marTop w:val="0"/>
      <w:marBottom w:val="0"/>
      <w:divBdr>
        <w:top w:val="none" w:sz="0" w:space="0" w:color="auto"/>
        <w:left w:val="none" w:sz="0" w:space="0" w:color="auto"/>
        <w:bottom w:val="none" w:sz="0" w:space="0" w:color="auto"/>
        <w:right w:val="none" w:sz="0" w:space="0" w:color="auto"/>
      </w:divBdr>
    </w:div>
    <w:div w:id="653412428">
      <w:marLeft w:val="0"/>
      <w:marRight w:val="0"/>
      <w:marTop w:val="0"/>
      <w:marBottom w:val="0"/>
      <w:divBdr>
        <w:top w:val="none" w:sz="0" w:space="0" w:color="auto"/>
        <w:left w:val="none" w:sz="0" w:space="0" w:color="auto"/>
        <w:bottom w:val="none" w:sz="0" w:space="0" w:color="auto"/>
        <w:right w:val="none" w:sz="0" w:space="0" w:color="auto"/>
      </w:divBdr>
    </w:div>
    <w:div w:id="653412429">
      <w:marLeft w:val="0"/>
      <w:marRight w:val="0"/>
      <w:marTop w:val="0"/>
      <w:marBottom w:val="0"/>
      <w:divBdr>
        <w:top w:val="none" w:sz="0" w:space="0" w:color="auto"/>
        <w:left w:val="none" w:sz="0" w:space="0" w:color="auto"/>
        <w:bottom w:val="none" w:sz="0" w:space="0" w:color="auto"/>
        <w:right w:val="none" w:sz="0" w:space="0" w:color="auto"/>
      </w:divBdr>
    </w:div>
    <w:div w:id="653412430">
      <w:marLeft w:val="0"/>
      <w:marRight w:val="0"/>
      <w:marTop w:val="0"/>
      <w:marBottom w:val="0"/>
      <w:divBdr>
        <w:top w:val="none" w:sz="0" w:space="0" w:color="auto"/>
        <w:left w:val="none" w:sz="0" w:space="0" w:color="auto"/>
        <w:bottom w:val="none" w:sz="0" w:space="0" w:color="auto"/>
        <w:right w:val="none" w:sz="0" w:space="0" w:color="auto"/>
      </w:divBdr>
    </w:div>
    <w:div w:id="653412431">
      <w:marLeft w:val="0"/>
      <w:marRight w:val="0"/>
      <w:marTop w:val="0"/>
      <w:marBottom w:val="0"/>
      <w:divBdr>
        <w:top w:val="none" w:sz="0" w:space="0" w:color="auto"/>
        <w:left w:val="none" w:sz="0" w:space="0" w:color="auto"/>
        <w:bottom w:val="none" w:sz="0" w:space="0" w:color="auto"/>
        <w:right w:val="none" w:sz="0" w:space="0" w:color="auto"/>
      </w:divBdr>
    </w:div>
    <w:div w:id="653412432">
      <w:marLeft w:val="0"/>
      <w:marRight w:val="0"/>
      <w:marTop w:val="0"/>
      <w:marBottom w:val="0"/>
      <w:divBdr>
        <w:top w:val="none" w:sz="0" w:space="0" w:color="auto"/>
        <w:left w:val="none" w:sz="0" w:space="0" w:color="auto"/>
        <w:bottom w:val="none" w:sz="0" w:space="0" w:color="auto"/>
        <w:right w:val="none" w:sz="0" w:space="0" w:color="auto"/>
      </w:divBdr>
    </w:div>
    <w:div w:id="653412433">
      <w:marLeft w:val="0"/>
      <w:marRight w:val="0"/>
      <w:marTop w:val="0"/>
      <w:marBottom w:val="0"/>
      <w:divBdr>
        <w:top w:val="none" w:sz="0" w:space="0" w:color="auto"/>
        <w:left w:val="none" w:sz="0" w:space="0" w:color="auto"/>
        <w:bottom w:val="none" w:sz="0" w:space="0" w:color="auto"/>
        <w:right w:val="none" w:sz="0" w:space="0" w:color="auto"/>
      </w:divBdr>
    </w:div>
    <w:div w:id="653412434">
      <w:marLeft w:val="0"/>
      <w:marRight w:val="0"/>
      <w:marTop w:val="0"/>
      <w:marBottom w:val="0"/>
      <w:divBdr>
        <w:top w:val="none" w:sz="0" w:space="0" w:color="auto"/>
        <w:left w:val="none" w:sz="0" w:space="0" w:color="auto"/>
        <w:bottom w:val="none" w:sz="0" w:space="0" w:color="auto"/>
        <w:right w:val="none" w:sz="0" w:space="0" w:color="auto"/>
      </w:divBdr>
    </w:div>
    <w:div w:id="653412435">
      <w:marLeft w:val="0"/>
      <w:marRight w:val="0"/>
      <w:marTop w:val="0"/>
      <w:marBottom w:val="0"/>
      <w:divBdr>
        <w:top w:val="none" w:sz="0" w:space="0" w:color="auto"/>
        <w:left w:val="none" w:sz="0" w:space="0" w:color="auto"/>
        <w:bottom w:val="none" w:sz="0" w:space="0" w:color="auto"/>
        <w:right w:val="none" w:sz="0" w:space="0" w:color="auto"/>
      </w:divBdr>
    </w:div>
    <w:div w:id="653412436">
      <w:marLeft w:val="0"/>
      <w:marRight w:val="0"/>
      <w:marTop w:val="0"/>
      <w:marBottom w:val="0"/>
      <w:divBdr>
        <w:top w:val="none" w:sz="0" w:space="0" w:color="auto"/>
        <w:left w:val="none" w:sz="0" w:space="0" w:color="auto"/>
        <w:bottom w:val="none" w:sz="0" w:space="0" w:color="auto"/>
        <w:right w:val="none" w:sz="0" w:space="0" w:color="auto"/>
      </w:divBdr>
    </w:div>
    <w:div w:id="653412437">
      <w:marLeft w:val="0"/>
      <w:marRight w:val="0"/>
      <w:marTop w:val="0"/>
      <w:marBottom w:val="0"/>
      <w:divBdr>
        <w:top w:val="none" w:sz="0" w:space="0" w:color="auto"/>
        <w:left w:val="none" w:sz="0" w:space="0" w:color="auto"/>
        <w:bottom w:val="none" w:sz="0" w:space="0" w:color="auto"/>
        <w:right w:val="none" w:sz="0" w:space="0" w:color="auto"/>
      </w:divBdr>
    </w:div>
    <w:div w:id="653412438">
      <w:marLeft w:val="0"/>
      <w:marRight w:val="0"/>
      <w:marTop w:val="0"/>
      <w:marBottom w:val="0"/>
      <w:divBdr>
        <w:top w:val="none" w:sz="0" w:space="0" w:color="auto"/>
        <w:left w:val="none" w:sz="0" w:space="0" w:color="auto"/>
        <w:bottom w:val="none" w:sz="0" w:space="0" w:color="auto"/>
        <w:right w:val="none" w:sz="0" w:space="0" w:color="auto"/>
      </w:divBdr>
    </w:div>
    <w:div w:id="653412439">
      <w:marLeft w:val="0"/>
      <w:marRight w:val="0"/>
      <w:marTop w:val="0"/>
      <w:marBottom w:val="0"/>
      <w:divBdr>
        <w:top w:val="none" w:sz="0" w:space="0" w:color="auto"/>
        <w:left w:val="none" w:sz="0" w:space="0" w:color="auto"/>
        <w:bottom w:val="none" w:sz="0" w:space="0" w:color="auto"/>
        <w:right w:val="none" w:sz="0" w:space="0" w:color="auto"/>
      </w:divBdr>
    </w:div>
    <w:div w:id="653412440">
      <w:marLeft w:val="0"/>
      <w:marRight w:val="0"/>
      <w:marTop w:val="0"/>
      <w:marBottom w:val="0"/>
      <w:divBdr>
        <w:top w:val="none" w:sz="0" w:space="0" w:color="auto"/>
        <w:left w:val="none" w:sz="0" w:space="0" w:color="auto"/>
        <w:bottom w:val="none" w:sz="0" w:space="0" w:color="auto"/>
        <w:right w:val="none" w:sz="0" w:space="0" w:color="auto"/>
      </w:divBdr>
    </w:div>
    <w:div w:id="653412441">
      <w:marLeft w:val="0"/>
      <w:marRight w:val="0"/>
      <w:marTop w:val="0"/>
      <w:marBottom w:val="0"/>
      <w:divBdr>
        <w:top w:val="none" w:sz="0" w:space="0" w:color="auto"/>
        <w:left w:val="none" w:sz="0" w:space="0" w:color="auto"/>
        <w:bottom w:val="none" w:sz="0" w:space="0" w:color="auto"/>
        <w:right w:val="none" w:sz="0" w:space="0" w:color="auto"/>
      </w:divBdr>
    </w:div>
    <w:div w:id="653412442">
      <w:marLeft w:val="0"/>
      <w:marRight w:val="0"/>
      <w:marTop w:val="0"/>
      <w:marBottom w:val="0"/>
      <w:divBdr>
        <w:top w:val="none" w:sz="0" w:space="0" w:color="auto"/>
        <w:left w:val="none" w:sz="0" w:space="0" w:color="auto"/>
        <w:bottom w:val="none" w:sz="0" w:space="0" w:color="auto"/>
        <w:right w:val="none" w:sz="0" w:space="0" w:color="auto"/>
      </w:divBdr>
    </w:div>
    <w:div w:id="653412443">
      <w:marLeft w:val="0"/>
      <w:marRight w:val="0"/>
      <w:marTop w:val="0"/>
      <w:marBottom w:val="0"/>
      <w:divBdr>
        <w:top w:val="none" w:sz="0" w:space="0" w:color="auto"/>
        <w:left w:val="none" w:sz="0" w:space="0" w:color="auto"/>
        <w:bottom w:val="none" w:sz="0" w:space="0" w:color="auto"/>
        <w:right w:val="none" w:sz="0" w:space="0" w:color="auto"/>
      </w:divBdr>
    </w:div>
    <w:div w:id="653412444">
      <w:marLeft w:val="0"/>
      <w:marRight w:val="0"/>
      <w:marTop w:val="0"/>
      <w:marBottom w:val="0"/>
      <w:divBdr>
        <w:top w:val="none" w:sz="0" w:space="0" w:color="auto"/>
        <w:left w:val="none" w:sz="0" w:space="0" w:color="auto"/>
        <w:bottom w:val="none" w:sz="0" w:space="0" w:color="auto"/>
        <w:right w:val="none" w:sz="0" w:space="0" w:color="auto"/>
      </w:divBdr>
    </w:div>
    <w:div w:id="653412445">
      <w:marLeft w:val="0"/>
      <w:marRight w:val="0"/>
      <w:marTop w:val="0"/>
      <w:marBottom w:val="0"/>
      <w:divBdr>
        <w:top w:val="none" w:sz="0" w:space="0" w:color="auto"/>
        <w:left w:val="none" w:sz="0" w:space="0" w:color="auto"/>
        <w:bottom w:val="none" w:sz="0" w:space="0" w:color="auto"/>
        <w:right w:val="none" w:sz="0" w:space="0" w:color="auto"/>
      </w:divBdr>
    </w:div>
    <w:div w:id="653412446">
      <w:marLeft w:val="0"/>
      <w:marRight w:val="0"/>
      <w:marTop w:val="0"/>
      <w:marBottom w:val="0"/>
      <w:divBdr>
        <w:top w:val="none" w:sz="0" w:space="0" w:color="auto"/>
        <w:left w:val="none" w:sz="0" w:space="0" w:color="auto"/>
        <w:bottom w:val="none" w:sz="0" w:space="0" w:color="auto"/>
        <w:right w:val="none" w:sz="0" w:space="0" w:color="auto"/>
      </w:divBdr>
    </w:div>
    <w:div w:id="653412447">
      <w:marLeft w:val="0"/>
      <w:marRight w:val="0"/>
      <w:marTop w:val="0"/>
      <w:marBottom w:val="0"/>
      <w:divBdr>
        <w:top w:val="none" w:sz="0" w:space="0" w:color="auto"/>
        <w:left w:val="none" w:sz="0" w:space="0" w:color="auto"/>
        <w:bottom w:val="none" w:sz="0" w:space="0" w:color="auto"/>
        <w:right w:val="none" w:sz="0" w:space="0" w:color="auto"/>
      </w:divBdr>
    </w:div>
    <w:div w:id="653412448">
      <w:marLeft w:val="0"/>
      <w:marRight w:val="0"/>
      <w:marTop w:val="0"/>
      <w:marBottom w:val="0"/>
      <w:divBdr>
        <w:top w:val="none" w:sz="0" w:space="0" w:color="auto"/>
        <w:left w:val="none" w:sz="0" w:space="0" w:color="auto"/>
        <w:bottom w:val="none" w:sz="0" w:space="0" w:color="auto"/>
        <w:right w:val="none" w:sz="0" w:space="0" w:color="auto"/>
      </w:divBdr>
    </w:div>
    <w:div w:id="653412449">
      <w:marLeft w:val="0"/>
      <w:marRight w:val="0"/>
      <w:marTop w:val="0"/>
      <w:marBottom w:val="0"/>
      <w:divBdr>
        <w:top w:val="none" w:sz="0" w:space="0" w:color="auto"/>
        <w:left w:val="none" w:sz="0" w:space="0" w:color="auto"/>
        <w:bottom w:val="none" w:sz="0" w:space="0" w:color="auto"/>
        <w:right w:val="none" w:sz="0" w:space="0" w:color="auto"/>
      </w:divBdr>
    </w:div>
    <w:div w:id="653412450">
      <w:marLeft w:val="0"/>
      <w:marRight w:val="0"/>
      <w:marTop w:val="0"/>
      <w:marBottom w:val="0"/>
      <w:divBdr>
        <w:top w:val="none" w:sz="0" w:space="0" w:color="auto"/>
        <w:left w:val="none" w:sz="0" w:space="0" w:color="auto"/>
        <w:bottom w:val="none" w:sz="0" w:space="0" w:color="auto"/>
        <w:right w:val="none" w:sz="0" w:space="0" w:color="auto"/>
      </w:divBdr>
    </w:div>
    <w:div w:id="653412451">
      <w:marLeft w:val="0"/>
      <w:marRight w:val="0"/>
      <w:marTop w:val="0"/>
      <w:marBottom w:val="0"/>
      <w:divBdr>
        <w:top w:val="none" w:sz="0" w:space="0" w:color="auto"/>
        <w:left w:val="none" w:sz="0" w:space="0" w:color="auto"/>
        <w:bottom w:val="none" w:sz="0" w:space="0" w:color="auto"/>
        <w:right w:val="none" w:sz="0" w:space="0" w:color="auto"/>
      </w:divBdr>
    </w:div>
    <w:div w:id="653412452">
      <w:marLeft w:val="0"/>
      <w:marRight w:val="0"/>
      <w:marTop w:val="0"/>
      <w:marBottom w:val="0"/>
      <w:divBdr>
        <w:top w:val="none" w:sz="0" w:space="0" w:color="auto"/>
        <w:left w:val="none" w:sz="0" w:space="0" w:color="auto"/>
        <w:bottom w:val="none" w:sz="0" w:space="0" w:color="auto"/>
        <w:right w:val="none" w:sz="0" w:space="0" w:color="auto"/>
      </w:divBdr>
      <w:divsChild>
        <w:div w:id="653412391">
          <w:marLeft w:val="0"/>
          <w:marRight w:val="0"/>
          <w:marTop w:val="0"/>
          <w:marBottom w:val="0"/>
          <w:divBdr>
            <w:top w:val="none" w:sz="0" w:space="0" w:color="auto"/>
            <w:left w:val="none" w:sz="0" w:space="0" w:color="auto"/>
            <w:bottom w:val="none" w:sz="0" w:space="0" w:color="auto"/>
            <w:right w:val="none" w:sz="0" w:space="0" w:color="auto"/>
          </w:divBdr>
        </w:div>
        <w:div w:id="653412394">
          <w:marLeft w:val="0"/>
          <w:marRight w:val="0"/>
          <w:marTop w:val="0"/>
          <w:marBottom w:val="0"/>
          <w:divBdr>
            <w:top w:val="none" w:sz="0" w:space="0" w:color="auto"/>
            <w:left w:val="none" w:sz="0" w:space="0" w:color="auto"/>
            <w:bottom w:val="none" w:sz="0" w:space="0" w:color="auto"/>
            <w:right w:val="none" w:sz="0" w:space="0" w:color="auto"/>
          </w:divBdr>
        </w:div>
        <w:div w:id="653412403">
          <w:marLeft w:val="0"/>
          <w:marRight w:val="0"/>
          <w:marTop w:val="0"/>
          <w:marBottom w:val="0"/>
          <w:divBdr>
            <w:top w:val="none" w:sz="0" w:space="0" w:color="auto"/>
            <w:left w:val="none" w:sz="0" w:space="0" w:color="auto"/>
            <w:bottom w:val="none" w:sz="0" w:space="0" w:color="auto"/>
            <w:right w:val="none" w:sz="0" w:space="0" w:color="auto"/>
          </w:divBdr>
        </w:div>
      </w:divsChild>
    </w:div>
    <w:div w:id="653412453">
      <w:marLeft w:val="0"/>
      <w:marRight w:val="0"/>
      <w:marTop w:val="0"/>
      <w:marBottom w:val="0"/>
      <w:divBdr>
        <w:top w:val="none" w:sz="0" w:space="0" w:color="auto"/>
        <w:left w:val="none" w:sz="0" w:space="0" w:color="auto"/>
        <w:bottom w:val="none" w:sz="0" w:space="0" w:color="auto"/>
        <w:right w:val="none" w:sz="0" w:space="0" w:color="auto"/>
      </w:divBdr>
    </w:div>
    <w:div w:id="653412454">
      <w:marLeft w:val="0"/>
      <w:marRight w:val="0"/>
      <w:marTop w:val="0"/>
      <w:marBottom w:val="0"/>
      <w:divBdr>
        <w:top w:val="none" w:sz="0" w:space="0" w:color="auto"/>
        <w:left w:val="none" w:sz="0" w:space="0" w:color="auto"/>
        <w:bottom w:val="none" w:sz="0" w:space="0" w:color="auto"/>
        <w:right w:val="none" w:sz="0" w:space="0" w:color="auto"/>
      </w:divBdr>
    </w:div>
    <w:div w:id="653412455">
      <w:marLeft w:val="0"/>
      <w:marRight w:val="0"/>
      <w:marTop w:val="0"/>
      <w:marBottom w:val="0"/>
      <w:divBdr>
        <w:top w:val="none" w:sz="0" w:space="0" w:color="auto"/>
        <w:left w:val="none" w:sz="0" w:space="0" w:color="auto"/>
        <w:bottom w:val="none" w:sz="0" w:space="0" w:color="auto"/>
        <w:right w:val="none" w:sz="0" w:space="0" w:color="auto"/>
      </w:divBdr>
    </w:div>
    <w:div w:id="653412456">
      <w:marLeft w:val="0"/>
      <w:marRight w:val="0"/>
      <w:marTop w:val="0"/>
      <w:marBottom w:val="0"/>
      <w:divBdr>
        <w:top w:val="none" w:sz="0" w:space="0" w:color="auto"/>
        <w:left w:val="none" w:sz="0" w:space="0" w:color="auto"/>
        <w:bottom w:val="none" w:sz="0" w:space="0" w:color="auto"/>
        <w:right w:val="none" w:sz="0" w:space="0" w:color="auto"/>
      </w:divBdr>
    </w:div>
    <w:div w:id="653412457">
      <w:marLeft w:val="0"/>
      <w:marRight w:val="0"/>
      <w:marTop w:val="0"/>
      <w:marBottom w:val="0"/>
      <w:divBdr>
        <w:top w:val="none" w:sz="0" w:space="0" w:color="auto"/>
        <w:left w:val="none" w:sz="0" w:space="0" w:color="auto"/>
        <w:bottom w:val="none" w:sz="0" w:space="0" w:color="auto"/>
        <w:right w:val="none" w:sz="0" w:space="0" w:color="auto"/>
      </w:divBdr>
    </w:div>
    <w:div w:id="653412458">
      <w:marLeft w:val="0"/>
      <w:marRight w:val="0"/>
      <w:marTop w:val="0"/>
      <w:marBottom w:val="0"/>
      <w:divBdr>
        <w:top w:val="none" w:sz="0" w:space="0" w:color="auto"/>
        <w:left w:val="none" w:sz="0" w:space="0" w:color="auto"/>
        <w:bottom w:val="none" w:sz="0" w:space="0" w:color="auto"/>
        <w:right w:val="none" w:sz="0" w:space="0" w:color="auto"/>
      </w:divBdr>
    </w:div>
    <w:div w:id="653412459">
      <w:marLeft w:val="0"/>
      <w:marRight w:val="0"/>
      <w:marTop w:val="0"/>
      <w:marBottom w:val="0"/>
      <w:divBdr>
        <w:top w:val="none" w:sz="0" w:space="0" w:color="auto"/>
        <w:left w:val="none" w:sz="0" w:space="0" w:color="auto"/>
        <w:bottom w:val="none" w:sz="0" w:space="0" w:color="auto"/>
        <w:right w:val="none" w:sz="0" w:space="0" w:color="auto"/>
      </w:divBdr>
    </w:div>
    <w:div w:id="653412460">
      <w:marLeft w:val="0"/>
      <w:marRight w:val="0"/>
      <w:marTop w:val="0"/>
      <w:marBottom w:val="0"/>
      <w:divBdr>
        <w:top w:val="none" w:sz="0" w:space="0" w:color="auto"/>
        <w:left w:val="none" w:sz="0" w:space="0" w:color="auto"/>
        <w:bottom w:val="none" w:sz="0" w:space="0" w:color="auto"/>
        <w:right w:val="none" w:sz="0" w:space="0" w:color="auto"/>
      </w:divBdr>
    </w:div>
    <w:div w:id="653412461">
      <w:marLeft w:val="0"/>
      <w:marRight w:val="0"/>
      <w:marTop w:val="0"/>
      <w:marBottom w:val="0"/>
      <w:divBdr>
        <w:top w:val="none" w:sz="0" w:space="0" w:color="auto"/>
        <w:left w:val="none" w:sz="0" w:space="0" w:color="auto"/>
        <w:bottom w:val="none" w:sz="0" w:space="0" w:color="auto"/>
        <w:right w:val="none" w:sz="0" w:space="0" w:color="auto"/>
      </w:divBdr>
    </w:div>
    <w:div w:id="653412462">
      <w:marLeft w:val="0"/>
      <w:marRight w:val="0"/>
      <w:marTop w:val="0"/>
      <w:marBottom w:val="0"/>
      <w:divBdr>
        <w:top w:val="none" w:sz="0" w:space="0" w:color="auto"/>
        <w:left w:val="none" w:sz="0" w:space="0" w:color="auto"/>
        <w:bottom w:val="none" w:sz="0" w:space="0" w:color="auto"/>
        <w:right w:val="none" w:sz="0" w:space="0" w:color="auto"/>
      </w:divBdr>
    </w:div>
    <w:div w:id="653412463">
      <w:marLeft w:val="0"/>
      <w:marRight w:val="0"/>
      <w:marTop w:val="0"/>
      <w:marBottom w:val="0"/>
      <w:divBdr>
        <w:top w:val="none" w:sz="0" w:space="0" w:color="auto"/>
        <w:left w:val="none" w:sz="0" w:space="0" w:color="auto"/>
        <w:bottom w:val="none" w:sz="0" w:space="0" w:color="auto"/>
        <w:right w:val="none" w:sz="0" w:space="0" w:color="auto"/>
      </w:divBdr>
    </w:div>
    <w:div w:id="653412464">
      <w:marLeft w:val="0"/>
      <w:marRight w:val="0"/>
      <w:marTop w:val="0"/>
      <w:marBottom w:val="0"/>
      <w:divBdr>
        <w:top w:val="none" w:sz="0" w:space="0" w:color="auto"/>
        <w:left w:val="none" w:sz="0" w:space="0" w:color="auto"/>
        <w:bottom w:val="none" w:sz="0" w:space="0" w:color="auto"/>
        <w:right w:val="none" w:sz="0" w:space="0" w:color="auto"/>
      </w:divBdr>
    </w:div>
    <w:div w:id="653412465">
      <w:marLeft w:val="0"/>
      <w:marRight w:val="0"/>
      <w:marTop w:val="0"/>
      <w:marBottom w:val="0"/>
      <w:divBdr>
        <w:top w:val="none" w:sz="0" w:space="0" w:color="auto"/>
        <w:left w:val="none" w:sz="0" w:space="0" w:color="auto"/>
        <w:bottom w:val="none" w:sz="0" w:space="0" w:color="auto"/>
        <w:right w:val="none" w:sz="0" w:space="0" w:color="auto"/>
      </w:divBdr>
    </w:div>
    <w:div w:id="653412466">
      <w:marLeft w:val="0"/>
      <w:marRight w:val="0"/>
      <w:marTop w:val="0"/>
      <w:marBottom w:val="0"/>
      <w:divBdr>
        <w:top w:val="none" w:sz="0" w:space="0" w:color="auto"/>
        <w:left w:val="none" w:sz="0" w:space="0" w:color="auto"/>
        <w:bottom w:val="none" w:sz="0" w:space="0" w:color="auto"/>
        <w:right w:val="none" w:sz="0" w:space="0" w:color="auto"/>
      </w:divBdr>
    </w:div>
    <w:div w:id="653412467">
      <w:marLeft w:val="0"/>
      <w:marRight w:val="0"/>
      <w:marTop w:val="0"/>
      <w:marBottom w:val="0"/>
      <w:divBdr>
        <w:top w:val="none" w:sz="0" w:space="0" w:color="auto"/>
        <w:left w:val="none" w:sz="0" w:space="0" w:color="auto"/>
        <w:bottom w:val="none" w:sz="0" w:space="0" w:color="auto"/>
        <w:right w:val="none" w:sz="0" w:space="0" w:color="auto"/>
      </w:divBdr>
    </w:div>
    <w:div w:id="653412468">
      <w:marLeft w:val="0"/>
      <w:marRight w:val="0"/>
      <w:marTop w:val="0"/>
      <w:marBottom w:val="0"/>
      <w:divBdr>
        <w:top w:val="none" w:sz="0" w:space="0" w:color="auto"/>
        <w:left w:val="none" w:sz="0" w:space="0" w:color="auto"/>
        <w:bottom w:val="none" w:sz="0" w:space="0" w:color="auto"/>
        <w:right w:val="none" w:sz="0" w:space="0" w:color="auto"/>
      </w:divBdr>
    </w:div>
    <w:div w:id="685714740">
      <w:bodyDiv w:val="1"/>
      <w:marLeft w:val="0"/>
      <w:marRight w:val="0"/>
      <w:marTop w:val="0"/>
      <w:marBottom w:val="0"/>
      <w:divBdr>
        <w:top w:val="none" w:sz="0" w:space="0" w:color="auto"/>
        <w:left w:val="none" w:sz="0" w:space="0" w:color="auto"/>
        <w:bottom w:val="none" w:sz="0" w:space="0" w:color="auto"/>
        <w:right w:val="none" w:sz="0" w:space="0" w:color="auto"/>
      </w:divBdr>
    </w:div>
    <w:div w:id="711225893">
      <w:bodyDiv w:val="1"/>
      <w:marLeft w:val="0"/>
      <w:marRight w:val="0"/>
      <w:marTop w:val="0"/>
      <w:marBottom w:val="0"/>
      <w:divBdr>
        <w:top w:val="none" w:sz="0" w:space="0" w:color="auto"/>
        <w:left w:val="none" w:sz="0" w:space="0" w:color="auto"/>
        <w:bottom w:val="none" w:sz="0" w:space="0" w:color="auto"/>
        <w:right w:val="none" w:sz="0" w:space="0" w:color="auto"/>
      </w:divBdr>
    </w:div>
    <w:div w:id="726536302">
      <w:bodyDiv w:val="1"/>
      <w:marLeft w:val="0"/>
      <w:marRight w:val="0"/>
      <w:marTop w:val="0"/>
      <w:marBottom w:val="0"/>
      <w:divBdr>
        <w:top w:val="none" w:sz="0" w:space="0" w:color="auto"/>
        <w:left w:val="none" w:sz="0" w:space="0" w:color="auto"/>
        <w:bottom w:val="none" w:sz="0" w:space="0" w:color="auto"/>
        <w:right w:val="none" w:sz="0" w:space="0" w:color="auto"/>
      </w:divBdr>
    </w:div>
    <w:div w:id="737364780">
      <w:bodyDiv w:val="1"/>
      <w:marLeft w:val="0"/>
      <w:marRight w:val="0"/>
      <w:marTop w:val="0"/>
      <w:marBottom w:val="0"/>
      <w:divBdr>
        <w:top w:val="none" w:sz="0" w:space="0" w:color="auto"/>
        <w:left w:val="none" w:sz="0" w:space="0" w:color="auto"/>
        <w:bottom w:val="none" w:sz="0" w:space="0" w:color="auto"/>
        <w:right w:val="none" w:sz="0" w:space="0" w:color="auto"/>
      </w:divBdr>
    </w:div>
    <w:div w:id="877862480">
      <w:bodyDiv w:val="1"/>
      <w:marLeft w:val="0"/>
      <w:marRight w:val="0"/>
      <w:marTop w:val="0"/>
      <w:marBottom w:val="0"/>
      <w:divBdr>
        <w:top w:val="none" w:sz="0" w:space="0" w:color="auto"/>
        <w:left w:val="none" w:sz="0" w:space="0" w:color="auto"/>
        <w:bottom w:val="none" w:sz="0" w:space="0" w:color="auto"/>
        <w:right w:val="none" w:sz="0" w:space="0" w:color="auto"/>
      </w:divBdr>
    </w:div>
    <w:div w:id="885218692">
      <w:bodyDiv w:val="1"/>
      <w:marLeft w:val="0"/>
      <w:marRight w:val="0"/>
      <w:marTop w:val="0"/>
      <w:marBottom w:val="0"/>
      <w:divBdr>
        <w:top w:val="none" w:sz="0" w:space="0" w:color="auto"/>
        <w:left w:val="none" w:sz="0" w:space="0" w:color="auto"/>
        <w:bottom w:val="none" w:sz="0" w:space="0" w:color="auto"/>
        <w:right w:val="none" w:sz="0" w:space="0" w:color="auto"/>
      </w:divBdr>
    </w:div>
    <w:div w:id="887691354">
      <w:bodyDiv w:val="1"/>
      <w:marLeft w:val="0"/>
      <w:marRight w:val="0"/>
      <w:marTop w:val="0"/>
      <w:marBottom w:val="0"/>
      <w:divBdr>
        <w:top w:val="none" w:sz="0" w:space="0" w:color="auto"/>
        <w:left w:val="none" w:sz="0" w:space="0" w:color="auto"/>
        <w:bottom w:val="none" w:sz="0" w:space="0" w:color="auto"/>
        <w:right w:val="none" w:sz="0" w:space="0" w:color="auto"/>
      </w:divBdr>
    </w:div>
    <w:div w:id="935676088">
      <w:bodyDiv w:val="1"/>
      <w:marLeft w:val="0"/>
      <w:marRight w:val="0"/>
      <w:marTop w:val="0"/>
      <w:marBottom w:val="0"/>
      <w:divBdr>
        <w:top w:val="none" w:sz="0" w:space="0" w:color="auto"/>
        <w:left w:val="none" w:sz="0" w:space="0" w:color="auto"/>
        <w:bottom w:val="none" w:sz="0" w:space="0" w:color="auto"/>
        <w:right w:val="none" w:sz="0" w:space="0" w:color="auto"/>
      </w:divBdr>
    </w:div>
    <w:div w:id="1036004366">
      <w:bodyDiv w:val="1"/>
      <w:marLeft w:val="0"/>
      <w:marRight w:val="0"/>
      <w:marTop w:val="0"/>
      <w:marBottom w:val="0"/>
      <w:divBdr>
        <w:top w:val="none" w:sz="0" w:space="0" w:color="auto"/>
        <w:left w:val="none" w:sz="0" w:space="0" w:color="auto"/>
        <w:bottom w:val="none" w:sz="0" w:space="0" w:color="auto"/>
        <w:right w:val="none" w:sz="0" w:space="0" w:color="auto"/>
      </w:divBdr>
    </w:div>
    <w:div w:id="1066415385">
      <w:bodyDiv w:val="1"/>
      <w:marLeft w:val="0"/>
      <w:marRight w:val="0"/>
      <w:marTop w:val="0"/>
      <w:marBottom w:val="0"/>
      <w:divBdr>
        <w:top w:val="none" w:sz="0" w:space="0" w:color="auto"/>
        <w:left w:val="none" w:sz="0" w:space="0" w:color="auto"/>
        <w:bottom w:val="none" w:sz="0" w:space="0" w:color="auto"/>
        <w:right w:val="none" w:sz="0" w:space="0" w:color="auto"/>
      </w:divBdr>
    </w:div>
    <w:div w:id="1098987052">
      <w:bodyDiv w:val="1"/>
      <w:marLeft w:val="0"/>
      <w:marRight w:val="0"/>
      <w:marTop w:val="0"/>
      <w:marBottom w:val="0"/>
      <w:divBdr>
        <w:top w:val="none" w:sz="0" w:space="0" w:color="auto"/>
        <w:left w:val="none" w:sz="0" w:space="0" w:color="auto"/>
        <w:bottom w:val="none" w:sz="0" w:space="0" w:color="auto"/>
        <w:right w:val="none" w:sz="0" w:space="0" w:color="auto"/>
      </w:divBdr>
    </w:div>
    <w:div w:id="1204635518">
      <w:bodyDiv w:val="1"/>
      <w:marLeft w:val="0"/>
      <w:marRight w:val="0"/>
      <w:marTop w:val="0"/>
      <w:marBottom w:val="0"/>
      <w:divBdr>
        <w:top w:val="none" w:sz="0" w:space="0" w:color="auto"/>
        <w:left w:val="none" w:sz="0" w:space="0" w:color="auto"/>
        <w:bottom w:val="none" w:sz="0" w:space="0" w:color="auto"/>
        <w:right w:val="none" w:sz="0" w:space="0" w:color="auto"/>
      </w:divBdr>
    </w:div>
    <w:div w:id="1273169462">
      <w:bodyDiv w:val="1"/>
      <w:marLeft w:val="0"/>
      <w:marRight w:val="0"/>
      <w:marTop w:val="0"/>
      <w:marBottom w:val="0"/>
      <w:divBdr>
        <w:top w:val="none" w:sz="0" w:space="0" w:color="auto"/>
        <w:left w:val="none" w:sz="0" w:space="0" w:color="auto"/>
        <w:bottom w:val="none" w:sz="0" w:space="0" w:color="auto"/>
        <w:right w:val="none" w:sz="0" w:space="0" w:color="auto"/>
      </w:divBdr>
    </w:div>
    <w:div w:id="1365325573">
      <w:bodyDiv w:val="1"/>
      <w:marLeft w:val="0"/>
      <w:marRight w:val="0"/>
      <w:marTop w:val="0"/>
      <w:marBottom w:val="0"/>
      <w:divBdr>
        <w:top w:val="none" w:sz="0" w:space="0" w:color="auto"/>
        <w:left w:val="none" w:sz="0" w:space="0" w:color="auto"/>
        <w:bottom w:val="none" w:sz="0" w:space="0" w:color="auto"/>
        <w:right w:val="none" w:sz="0" w:space="0" w:color="auto"/>
      </w:divBdr>
    </w:div>
    <w:div w:id="1496844711">
      <w:bodyDiv w:val="1"/>
      <w:marLeft w:val="0"/>
      <w:marRight w:val="0"/>
      <w:marTop w:val="0"/>
      <w:marBottom w:val="0"/>
      <w:divBdr>
        <w:top w:val="none" w:sz="0" w:space="0" w:color="auto"/>
        <w:left w:val="none" w:sz="0" w:space="0" w:color="auto"/>
        <w:bottom w:val="none" w:sz="0" w:space="0" w:color="auto"/>
        <w:right w:val="none" w:sz="0" w:space="0" w:color="auto"/>
      </w:divBdr>
    </w:div>
    <w:div w:id="1500584824">
      <w:bodyDiv w:val="1"/>
      <w:marLeft w:val="0"/>
      <w:marRight w:val="0"/>
      <w:marTop w:val="0"/>
      <w:marBottom w:val="0"/>
      <w:divBdr>
        <w:top w:val="none" w:sz="0" w:space="0" w:color="auto"/>
        <w:left w:val="none" w:sz="0" w:space="0" w:color="auto"/>
        <w:bottom w:val="none" w:sz="0" w:space="0" w:color="auto"/>
        <w:right w:val="none" w:sz="0" w:space="0" w:color="auto"/>
      </w:divBdr>
    </w:div>
    <w:div w:id="1545410965">
      <w:bodyDiv w:val="1"/>
      <w:marLeft w:val="0"/>
      <w:marRight w:val="0"/>
      <w:marTop w:val="0"/>
      <w:marBottom w:val="0"/>
      <w:divBdr>
        <w:top w:val="none" w:sz="0" w:space="0" w:color="auto"/>
        <w:left w:val="none" w:sz="0" w:space="0" w:color="auto"/>
        <w:bottom w:val="none" w:sz="0" w:space="0" w:color="auto"/>
        <w:right w:val="none" w:sz="0" w:space="0" w:color="auto"/>
      </w:divBdr>
    </w:div>
    <w:div w:id="1655523609">
      <w:bodyDiv w:val="1"/>
      <w:marLeft w:val="0"/>
      <w:marRight w:val="0"/>
      <w:marTop w:val="0"/>
      <w:marBottom w:val="0"/>
      <w:divBdr>
        <w:top w:val="none" w:sz="0" w:space="0" w:color="auto"/>
        <w:left w:val="none" w:sz="0" w:space="0" w:color="auto"/>
        <w:bottom w:val="none" w:sz="0" w:space="0" w:color="auto"/>
        <w:right w:val="none" w:sz="0" w:space="0" w:color="auto"/>
      </w:divBdr>
    </w:div>
    <w:div w:id="1720472048">
      <w:bodyDiv w:val="1"/>
      <w:marLeft w:val="0"/>
      <w:marRight w:val="0"/>
      <w:marTop w:val="0"/>
      <w:marBottom w:val="0"/>
      <w:divBdr>
        <w:top w:val="none" w:sz="0" w:space="0" w:color="auto"/>
        <w:left w:val="none" w:sz="0" w:space="0" w:color="auto"/>
        <w:bottom w:val="none" w:sz="0" w:space="0" w:color="auto"/>
        <w:right w:val="none" w:sz="0" w:space="0" w:color="auto"/>
      </w:divBdr>
    </w:div>
    <w:div w:id="1770463268">
      <w:bodyDiv w:val="1"/>
      <w:marLeft w:val="0"/>
      <w:marRight w:val="0"/>
      <w:marTop w:val="0"/>
      <w:marBottom w:val="0"/>
      <w:divBdr>
        <w:top w:val="none" w:sz="0" w:space="0" w:color="auto"/>
        <w:left w:val="none" w:sz="0" w:space="0" w:color="auto"/>
        <w:bottom w:val="none" w:sz="0" w:space="0" w:color="auto"/>
        <w:right w:val="none" w:sz="0" w:space="0" w:color="auto"/>
      </w:divBdr>
    </w:div>
    <w:div w:id="1862625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Microsoft_Excel_Worksheet2.xlsx"/><Relationship Id="rId42" Type="http://schemas.openxmlformats.org/officeDocument/2006/relationships/hyperlink" Target="http://www.bosettiegatti.eu/info/norme/statali/2014_0089.htm" TargetMode="External"/><Relationship Id="rId47" Type="http://schemas.openxmlformats.org/officeDocument/2006/relationships/package" Target="embeddings/Microsoft_Excel_Worksheet13.xlsx"/><Relationship Id="rId63" Type="http://schemas.openxmlformats.org/officeDocument/2006/relationships/package" Target="embeddings/Microsoft_Excel_Worksheet21.xlsx"/><Relationship Id="rId68" Type="http://schemas.openxmlformats.org/officeDocument/2006/relationships/hyperlink" Target="http://www.cortecostituzionale.it/actionSchedaPronuncia.do?anno=2012&amp;numero=139" TargetMode="External"/><Relationship Id="rId84" Type="http://schemas.openxmlformats.org/officeDocument/2006/relationships/package" Target="embeddings/Microsoft_Excel_Worksheet30.xlsx"/><Relationship Id="rId89" Type="http://schemas.openxmlformats.org/officeDocument/2006/relationships/footer" Target="footer1.xml"/><Relationship Id="rId16" Type="http://schemas.openxmlformats.org/officeDocument/2006/relationships/image" Target="media/image3.emf"/><Relationship Id="rId107" Type="http://schemas.openxmlformats.org/officeDocument/2006/relationships/image" Target="media/image43.emf"/><Relationship Id="rId11" Type="http://schemas.openxmlformats.org/officeDocument/2006/relationships/hyperlink" Target="https://def.finanze.it/DocTribFrontend/getAttoNormativoDetail.do?ACTION=getArticolo&amp;id=%7b1BB65A6D-37DD-42EF-80F0-7C850907FE63%7d&amp;codiceOrdinamento=200001100000000&amp;articolo=Articolo%2011" TargetMode="External"/><Relationship Id="rId32" Type="http://schemas.openxmlformats.org/officeDocument/2006/relationships/image" Target="media/image11.emf"/><Relationship Id="rId37" Type="http://schemas.openxmlformats.org/officeDocument/2006/relationships/package" Target="embeddings/Microsoft_Excel_Worksheet9.xlsx"/><Relationship Id="rId53" Type="http://schemas.openxmlformats.org/officeDocument/2006/relationships/package" Target="embeddings/Microsoft_Excel_Worksheet16.xlsx"/><Relationship Id="rId58" Type="http://schemas.openxmlformats.org/officeDocument/2006/relationships/image" Target="media/image23.emf"/><Relationship Id="rId74" Type="http://schemas.openxmlformats.org/officeDocument/2006/relationships/hyperlink" Target="http://www.normattiva.it/uri-res/N2Ls?urn:nir:stato:regio.decreto:1942-03-16;262" TargetMode="External"/><Relationship Id="rId79" Type="http://schemas.openxmlformats.org/officeDocument/2006/relationships/image" Target="media/image32.emf"/><Relationship Id="rId102" Type="http://schemas.openxmlformats.org/officeDocument/2006/relationships/package" Target="embeddings/Microsoft_Excel_Worksheet36.xlsx"/><Relationship Id="rId5" Type="http://schemas.openxmlformats.org/officeDocument/2006/relationships/webSettings" Target="webSettings.xml"/><Relationship Id="rId90" Type="http://schemas.openxmlformats.org/officeDocument/2006/relationships/footer" Target="footer2.xml"/><Relationship Id="rId95" Type="http://schemas.openxmlformats.org/officeDocument/2006/relationships/image" Target="media/image37.emf"/><Relationship Id="rId22" Type="http://schemas.openxmlformats.org/officeDocument/2006/relationships/image" Target="media/image6.emf"/><Relationship Id="rId27" Type="http://schemas.openxmlformats.org/officeDocument/2006/relationships/package" Target="embeddings/Microsoft_Excel_Worksheet5.xlsx"/><Relationship Id="rId43" Type="http://schemas.openxmlformats.org/officeDocument/2006/relationships/hyperlink" Target="http://www.bosettiegatti.eu/info/norme/statali/2015_0208_stabilita.htm" TargetMode="External"/><Relationship Id="rId48" Type="http://schemas.openxmlformats.org/officeDocument/2006/relationships/image" Target="media/image18.emf"/><Relationship Id="rId64" Type="http://schemas.openxmlformats.org/officeDocument/2006/relationships/image" Target="media/image26.emf"/><Relationship Id="rId69" Type="http://schemas.openxmlformats.org/officeDocument/2006/relationships/hyperlink" Target="http://www.corteconti.it/export/sites/portalecdc/_documenti/controllo/sez_autonomie/2013/delibera_26_2013_qmig.pdf" TargetMode="External"/><Relationship Id="rId80" Type="http://schemas.openxmlformats.org/officeDocument/2006/relationships/package" Target="embeddings/Microsoft_Excel_Worksheet28.xlsx"/><Relationship Id="rId85" Type="http://schemas.openxmlformats.org/officeDocument/2006/relationships/image" Target="media/image35.emf"/><Relationship Id="rId12" Type="http://schemas.openxmlformats.org/officeDocument/2006/relationships/hyperlink" Target="http://www.normattiva.it/uri-res/N2Ls?urn:nir:stato:decreto.legislativo:2011-06-23;118!vig=" TargetMode="External"/><Relationship Id="rId17" Type="http://schemas.openxmlformats.org/officeDocument/2006/relationships/package" Target="embeddings/Microsoft_Excel_Worksheet.xlsx"/><Relationship Id="rId33" Type="http://schemas.openxmlformats.org/officeDocument/2006/relationships/package" Target="embeddings/Microsoft_Excel_Worksheet7.xlsx"/><Relationship Id="rId38" Type="http://schemas.openxmlformats.org/officeDocument/2006/relationships/image" Target="media/image14.emf"/><Relationship Id="rId59" Type="http://schemas.openxmlformats.org/officeDocument/2006/relationships/package" Target="embeddings/Microsoft_Excel_Worksheet19.xlsx"/><Relationship Id="rId103" Type="http://schemas.openxmlformats.org/officeDocument/2006/relationships/image" Target="media/image41.emf"/><Relationship Id="rId108" Type="http://schemas.openxmlformats.org/officeDocument/2006/relationships/package" Target="embeddings/Microsoft_Excel_Worksheet39.xlsx"/><Relationship Id="rId54" Type="http://schemas.openxmlformats.org/officeDocument/2006/relationships/image" Target="media/image21.emf"/><Relationship Id="rId70" Type="http://schemas.openxmlformats.org/officeDocument/2006/relationships/image" Target="media/image28.emf"/><Relationship Id="rId75" Type="http://schemas.openxmlformats.org/officeDocument/2006/relationships/image" Target="media/image30.emf"/><Relationship Id="rId91" Type="http://schemas.openxmlformats.org/officeDocument/2006/relationships/header" Target="header3.xml"/><Relationship Id="rId96" Type="http://schemas.openxmlformats.org/officeDocument/2006/relationships/package" Target="embeddings/Microsoft_Excel_Worksheet33.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inanzalocale.interno.it/docum/studi/varie/testounico267-2000.pdf" TargetMode="External"/><Relationship Id="rId23" Type="http://schemas.openxmlformats.org/officeDocument/2006/relationships/package" Target="embeddings/Microsoft_Excel_Worksheet3.xls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package" Target="embeddings/Microsoft_Excel_Worksheet14.xlsx"/><Relationship Id="rId57" Type="http://schemas.openxmlformats.org/officeDocument/2006/relationships/package" Target="embeddings/Microsoft_Excel_Worksheet18.xlsx"/><Relationship Id="rId106" Type="http://schemas.openxmlformats.org/officeDocument/2006/relationships/package" Target="embeddings/Microsoft_Excel_Worksheet38.xlsx"/><Relationship Id="rId10" Type="http://schemas.openxmlformats.org/officeDocument/2006/relationships/hyperlink" Target="http://finanzalocale.interno.it/docum/studi/varie/testounico267-2000.pdf" TargetMode="External"/><Relationship Id="rId31" Type="http://schemas.openxmlformats.org/officeDocument/2006/relationships/oleObject" Target="embeddings/Microsoft_Excel_97-2003_Worksheet.xls"/><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Microsoft_Excel_Worksheet22.xlsx"/><Relationship Id="rId73" Type="http://schemas.openxmlformats.org/officeDocument/2006/relationships/package" Target="embeddings/Microsoft_Excel_Worksheet25.xlsx"/><Relationship Id="rId78" Type="http://schemas.openxmlformats.org/officeDocument/2006/relationships/package" Target="embeddings/Microsoft_Excel_Worksheet27.xlsx"/><Relationship Id="rId81" Type="http://schemas.openxmlformats.org/officeDocument/2006/relationships/image" Target="media/image33.emf"/><Relationship Id="rId86" Type="http://schemas.openxmlformats.org/officeDocument/2006/relationships/package" Target="embeddings/Microsoft_Excel_Worksheet31.xlsx"/><Relationship Id="rId94" Type="http://schemas.openxmlformats.org/officeDocument/2006/relationships/package" Target="embeddings/Microsoft_Excel_Worksheet32.xlsx"/><Relationship Id="rId99" Type="http://schemas.openxmlformats.org/officeDocument/2006/relationships/image" Target="media/image39.emf"/><Relationship Id="rId101"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def.finanze.it/DocTribFrontend/decodeurn?urn=urn:doctrib::DLG:2011-06-23;118" TargetMode="External"/><Relationship Id="rId18" Type="http://schemas.openxmlformats.org/officeDocument/2006/relationships/image" Target="media/image4.emf"/><Relationship Id="rId39" Type="http://schemas.openxmlformats.org/officeDocument/2006/relationships/package" Target="embeddings/Microsoft_Excel_Worksheet10.xlsx"/><Relationship Id="rId109" Type="http://schemas.openxmlformats.org/officeDocument/2006/relationships/fontTable" Target="fontTable.xml"/><Relationship Id="rId34" Type="http://schemas.openxmlformats.org/officeDocument/2006/relationships/image" Target="media/image12.emf"/><Relationship Id="rId50" Type="http://schemas.openxmlformats.org/officeDocument/2006/relationships/image" Target="media/image19.emf"/><Relationship Id="rId55" Type="http://schemas.openxmlformats.org/officeDocument/2006/relationships/package" Target="embeddings/Microsoft_Excel_Worksheet17.xlsx"/><Relationship Id="rId76" Type="http://schemas.openxmlformats.org/officeDocument/2006/relationships/package" Target="embeddings/Microsoft_Excel_Worksheet26.xlsx"/><Relationship Id="rId97" Type="http://schemas.openxmlformats.org/officeDocument/2006/relationships/image" Target="media/image38.emf"/><Relationship Id="rId104" Type="http://schemas.openxmlformats.org/officeDocument/2006/relationships/package" Target="embeddings/Microsoft_Excel_Worksheet37.xlsx"/><Relationship Id="rId7" Type="http://schemas.openxmlformats.org/officeDocument/2006/relationships/endnotes" Target="endnotes.xml"/><Relationship Id="rId71" Type="http://schemas.openxmlformats.org/officeDocument/2006/relationships/package" Target="embeddings/Microsoft_Excel_Worksheet24.xlsx"/><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package" Target="embeddings/Microsoft_Excel_Worksheet6.xlsx"/><Relationship Id="rId24" Type="http://schemas.openxmlformats.org/officeDocument/2006/relationships/image" Target="media/image7.emf"/><Relationship Id="rId40" Type="http://schemas.openxmlformats.org/officeDocument/2006/relationships/image" Target="media/image15.emf"/><Relationship Id="rId45" Type="http://schemas.openxmlformats.org/officeDocument/2006/relationships/package" Target="embeddings/Microsoft_Excel_Worksheet12.xlsx"/><Relationship Id="rId66" Type="http://schemas.openxmlformats.org/officeDocument/2006/relationships/image" Target="media/image27.emf"/><Relationship Id="rId87" Type="http://schemas.openxmlformats.org/officeDocument/2006/relationships/header" Target="header1.xml"/><Relationship Id="rId110" Type="http://schemas.openxmlformats.org/officeDocument/2006/relationships/theme" Target="theme/theme1.xml"/><Relationship Id="rId61" Type="http://schemas.openxmlformats.org/officeDocument/2006/relationships/package" Target="embeddings/Microsoft_Excel_Worksheet20.xlsx"/><Relationship Id="rId82" Type="http://schemas.openxmlformats.org/officeDocument/2006/relationships/package" Target="embeddings/Microsoft_Excel_Worksheet29.xlsx"/><Relationship Id="rId19" Type="http://schemas.openxmlformats.org/officeDocument/2006/relationships/package" Target="embeddings/Microsoft_Excel_Worksheet1.xlsx"/><Relationship Id="rId14" Type="http://schemas.openxmlformats.org/officeDocument/2006/relationships/hyperlink" Target="http://www.normattiva.it/uri-res/N2Ls?urn:nir:stato:decreto.legislativo:2011-06-23;118!vig=" TargetMode="External"/><Relationship Id="rId30" Type="http://schemas.openxmlformats.org/officeDocument/2006/relationships/image" Target="media/image10.emf"/><Relationship Id="rId35" Type="http://schemas.openxmlformats.org/officeDocument/2006/relationships/package" Target="embeddings/Microsoft_Excel_Worksheet8.xlsx"/><Relationship Id="rId56" Type="http://schemas.openxmlformats.org/officeDocument/2006/relationships/image" Target="media/image22.emf"/><Relationship Id="rId77" Type="http://schemas.openxmlformats.org/officeDocument/2006/relationships/image" Target="media/image31.emf"/><Relationship Id="rId100" Type="http://schemas.openxmlformats.org/officeDocument/2006/relationships/package" Target="embeddings/Microsoft_Excel_Worksheet35.xlsx"/><Relationship Id="rId105" Type="http://schemas.openxmlformats.org/officeDocument/2006/relationships/image" Target="media/image42.emf"/><Relationship Id="rId8" Type="http://schemas.openxmlformats.org/officeDocument/2006/relationships/image" Target="media/image1.png"/><Relationship Id="rId51" Type="http://schemas.openxmlformats.org/officeDocument/2006/relationships/package" Target="embeddings/Microsoft_Excel_Worksheet15.xlsx"/><Relationship Id="rId72" Type="http://schemas.openxmlformats.org/officeDocument/2006/relationships/image" Target="media/image29.emf"/><Relationship Id="rId93" Type="http://schemas.openxmlformats.org/officeDocument/2006/relationships/image" Target="media/image36.emf"/><Relationship Id="rId98" Type="http://schemas.openxmlformats.org/officeDocument/2006/relationships/package" Target="embeddings/Microsoft_Excel_Worksheet34.xlsx"/><Relationship Id="rId3" Type="http://schemas.openxmlformats.org/officeDocument/2006/relationships/styles" Target="styles.xml"/><Relationship Id="rId25" Type="http://schemas.openxmlformats.org/officeDocument/2006/relationships/package" Target="embeddings/Microsoft_Excel_Worksheet4.xlsx"/><Relationship Id="rId46" Type="http://schemas.openxmlformats.org/officeDocument/2006/relationships/image" Target="media/image17.emf"/><Relationship Id="rId67" Type="http://schemas.openxmlformats.org/officeDocument/2006/relationships/package" Target="embeddings/Microsoft_Excel_Worksheet23.xlsx"/><Relationship Id="rId20" Type="http://schemas.openxmlformats.org/officeDocument/2006/relationships/image" Target="media/image5.emf"/><Relationship Id="rId41" Type="http://schemas.openxmlformats.org/officeDocument/2006/relationships/package" Target="embeddings/Microsoft_Excel_Worksheet11.xlsx"/><Relationship Id="rId62" Type="http://schemas.openxmlformats.org/officeDocument/2006/relationships/image" Target="media/image25.emf"/><Relationship Id="rId83" Type="http://schemas.openxmlformats.org/officeDocument/2006/relationships/image" Target="media/image34.emf"/><Relationship Id="rId8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4C393B-6F75-48A1-AF48-306088567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13781</Words>
  <Characters>78558</Characters>
  <Application>Microsoft Office Word</Application>
  <DocSecurity>0</DocSecurity>
  <Lines>654</Lines>
  <Paragraphs>184</Paragraphs>
  <ScaleCrop>false</ScaleCrop>
  <HeadingPairs>
    <vt:vector size="2" baseType="variant">
      <vt:variant>
        <vt:lpstr>Titolo</vt:lpstr>
      </vt:variant>
      <vt:variant>
        <vt:i4>1</vt:i4>
      </vt:variant>
    </vt:vector>
  </HeadingPairs>
  <TitlesOfParts>
    <vt:vector size="1" baseType="lpstr">
      <vt:lpstr>Previsione 2019</vt:lpstr>
    </vt:vector>
  </TitlesOfParts>
  <Company>BORGHI</Company>
  <LinksUpToDate>false</LinksUpToDate>
  <CharactersWithSpaces>92155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Previsione 2019</dc:title>
  <dc:subject>Parere organo di revisione</dc:subject>
  <dc:creator>Anna De Toni</dc:creator>
  <cp:keywords>Ancrel 2019</cp:keywords>
  <dc:description/>
  <cp:lastModifiedBy>Flavia Romagna</cp:lastModifiedBy>
  <cp:revision>2</cp:revision>
  <cp:lastPrinted>2019-01-15T14:33:00Z</cp:lastPrinted>
  <dcterms:created xsi:type="dcterms:W3CDTF">2024-06-27T08:18:00Z</dcterms:created>
  <dcterms:modified xsi:type="dcterms:W3CDTF">2024-06-27T08:18:00Z</dcterms:modified>
</cp:coreProperties>
</file>