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44B9D" w14:textId="2765D5EF" w:rsidR="00A3272E" w:rsidRDefault="00A3272E" w:rsidP="00A3272E">
      <w:pPr>
        <w:pStyle w:val="Titolo"/>
      </w:pPr>
      <w:r>
        <w:rPr>
          <w:noProof/>
        </w:rPr>
        <w:drawing>
          <wp:anchor distT="0" distB="0" distL="114300" distR="114300" simplePos="0" relativeHeight="251662336" behindDoc="1" locked="0" layoutInCell="1" allowOverlap="1" wp14:anchorId="7846D6FB" wp14:editId="18244F5D">
            <wp:simplePos x="0" y="0"/>
            <wp:positionH relativeFrom="column">
              <wp:posOffset>3709670</wp:posOffset>
            </wp:positionH>
            <wp:positionV relativeFrom="paragraph">
              <wp:posOffset>284480</wp:posOffset>
            </wp:positionV>
            <wp:extent cx="1914525" cy="402590"/>
            <wp:effectExtent l="0" t="0" r="9525" b="0"/>
            <wp:wrapTight wrapText="bothSides">
              <wp:wrapPolygon edited="0">
                <wp:start x="0" y="0"/>
                <wp:lineTo x="0" y="20442"/>
                <wp:lineTo x="21493" y="20442"/>
                <wp:lineTo x="21493"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402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7AA1">
        <w:rPr>
          <w:noProof/>
        </w:rPr>
        <w:drawing>
          <wp:anchor distT="0" distB="0" distL="114300" distR="114300" simplePos="0" relativeHeight="251661312" behindDoc="0" locked="0" layoutInCell="1" allowOverlap="1" wp14:anchorId="20224590" wp14:editId="5DD358B6">
            <wp:simplePos x="0" y="0"/>
            <wp:positionH relativeFrom="column">
              <wp:posOffset>0</wp:posOffset>
            </wp:positionH>
            <wp:positionV relativeFrom="paragraph">
              <wp:posOffset>-635</wp:posOffset>
            </wp:positionV>
            <wp:extent cx="2196000" cy="744128"/>
            <wp:effectExtent l="0" t="0" r="0" b="0"/>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magine 4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196000" cy="744128"/>
                    </a:xfrm>
                    <a:prstGeom prst="rect">
                      <a:avLst/>
                    </a:prstGeom>
                  </pic:spPr>
                </pic:pic>
              </a:graphicData>
            </a:graphic>
            <wp14:sizeRelH relativeFrom="margin">
              <wp14:pctWidth>0</wp14:pctWidth>
            </wp14:sizeRelH>
            <wp14:sizeRelV relativeFrom="margin">
              <wp14:pctHeight>0</wp14:pctHeight>
            </wp14:sizeRelV>
          </wp:anchor>
        </w:drawing>
      </w:r>
      <w:r w:rsidR="00757AA1">
        <w:tab/>
      </w:r>
      <w:r w:rsidR="00757AA1">
        <w:tab/>
      </w:r>
      <w:r w:rsidR="00757AA1">
        <w:tab/>
      </w:r>
      <w:r w:rsidR="001C2FFA">
        <w:tab/>
      </w:r>
      <w:r w:rsidR="001C2FFA">
        <w:tab/>
      </w:r>
      <w:r w:rsidR="001C2FFA">
        <w:tab/>
      </w:r>
    </w:p>
    <w:p w14:paraId="358BB766" w14:textId="3D49633A" w:rsidR="009F183C" w:rsidRDefault="001C2FFA" w:rsidP="00A3272E">
      <w:pPr>
        <w:pStyle w:val="Titolo"/>
        <w:ind w:left="5672" w:firstLine="709"/>
        <w:rPr>
          <w:noProof/>
        </w:rPr>
      </w:pPr>
      <w:r>
        <w:rPr>
          <w:rFonts w:ascii="Garamond" w:hAnsi="Garamond"/>
          <w:smallCaps w:val="0"/>
          <w:noProof/>
          <w:color w:val="C00000"/>
          <w:sz w:val="36"/>
        </w:rPr>
        <mc:AlternateContent>
          <mc:Choice Requires="wps">
            <w:drawing>
              <wp:anchor distT="0" distB="0" distL="114300" distR="114300" simplePos="0" relativeHeight="251659264" behindDoc="0" locked="0" layoutInCell="1" allowOverlap="1" wp14:anchorId="6BDD7757" wp14:editId="56AFF9A8">
                <wp:simplePos x="0" y="0"/>
                <wp:positionH relativeFrom="margin">
                  <wp:align>left</wp:align>
                </wp:positionH>
                <wp:positionV relativeFrom="paragraph">
                  <wp:posOffset>396240</wp:posOffset>
                </wp:positionV>
                <wp:extent cx="5791200" cy="9525"/>
                <wp:effectExtent l="19050" t="19050" r="19050" b="28575"/>
                <wp:wrapSquare wrapText="bothSides"/>
                <wp:docPr id="2" name="Connettore diritto 1"/>
                <wp:cNvGraphicFramePr/>
                <a:graphic xmlns:a="http://schemas.openxmlformats.org/drawingml/2006/main">
                  <a:graphicData uri="http://schemas.microsoft.com/office/word/2010/wordprocessingShape">
                    <wps:wsp>
                      <wps:cNvCnPr/>
                      <wps:spPr>
                        <a:xfrm flipV="1">
                          <a:off x="0" y="0"/>
                          <a:ext cx="5791200" cy="952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411F9" id="Connettore diritto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1.2pt" to="456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" strokecolor="red" strokeweight="2.25pt">
                <w10:wrap type="square" anchorx="margin"/>
              </v:line>
            </w:pict>
          </mc:Fallback>
        </mc:AlternateContent>
      </w:r>
    </w:p>
    <w:p w14:paraId="4C079D25" w14:textId="61A423D4" w:rsidR="009F183C" w:rsidRDefault="00757AA1">
      <w:pPr>
        <w:pStyle w:val="cpv"/>
        <w:widowControl/>
        <w:spacing w:before="220"/>
        <w:jc w:val="center"/>
        <w:rPr>
          <w:rFonts w:ascii="Garamond" w:hAnsi="Garamond"/>
          <w:smallCaps/>
          <w:sz w:val="36"/>
        </w:rPr>
      </w:pPr>
      <w:r>
        <w:rPr>
          <w:rFonts w:ascii="Garamond" w:hAnsi="Garamond"/>
          <w:smallCaps/>
          <w:sz w:val="36"/>
        </w:rPr>
        <w:tab/>
      </w:r>
      <w:r>
        <w:rPr>
          <w:rFonts w:ascii="Garamond" w:hAnsi="Garamond"/>
          <w:smallCaps/>
          <w:sz w:val="36"/>
        </w:rPr>
        <w:tab/>
      </w:r>
      <w:r>
        <w:rPr>
          <w:rFonts w:ascii="Garamond" w:hAnsi="Garamond"/>
          <w:smallCaps/>
          <w:sz w:val="36"/>
        </w:rPr>
        <w:tab/>
      </w:r>
      <w:r w:rsidR="001C2FFA">
        <w:rPr>
          <w:rFonts w:ascii="Garamond" w:hAnsi="Garamond"/>
          <w:smallCaps/>
          <w:sz w:val="36"/>
        </w:rPr>
        <w:tab/>
      </w:r>
      <w:r w:rsidR="001C2FFA">
        <w:rPr>
          <w:rFonts w:ascii="Garamond" w:hAnsi="Garamond"/>
          <w:smallCaps/>
          <w:sz w:val="36"/>
        </w:rPr>
        <w:tab/>
      </w:r>
      <w:r w:rsidR="001C2FFA">
        <w:rPr>
          <w:rFonts w:ascii="Garamond" w:hAnsi="Garamond"/>
          <w:smallCaps/>
          <w:sz w:val="36"/>
        </w:rPr>
        <w:tab/>
      </w:r>
      <w:r w:rsidR="001C2FFA">
        <w:rPr>
          <w:rFonts w:ascii="Garamond" w:hAnsi="Garamond"/>
          <w:smallCaps/>
          <w:sz w:val="36"/>
        </w:rPr>
        <w:tab/>
      </w:r>
      <w:r>
        <w:rPr>
          <w:rFonts w:ascii="Garamond" w:hAnsi="Garamond"/>
          <w:smallCaps/>
          <w:sz w:val="36"/>
        </w:rPr>
        <w:t>Documento</w:t>
      </w:r>
      <w:r>
        <w:rPr>
          <w:rFonts w:ascii="Garamond" w:hAnsi="Garamond"/>
          <w:smallCaps/>
          <w:sz w:val="36"/>
        </w:rPr>
        <w:tab/>
      </w:r>
    </w:p>
    <w:p w14:paraId="5B246D28" w14:textId="77777777" w:rsidR="009F183C" w:rsidRDefault="009F183C">
      <w:pPr>
        <w:pStyle w:val="cpv"/>
        <w:widowControl/>
        <w:spacing w:before="220"/>
        <w:jc w:val="center"/>
        <w:rPr>
          <w:rFonts w:ascii="Arial" w:hAnsi="Arial" w:cs="Arial"/>
          <w:b/>
          <w:i/>
          <w:color w:val="0070C0"/>
          <w:sz w:val="32"/>
        </w:rPr>
      </w:pPr>
    </w:p>
    <w:p w14:paraId="1F7C73C5" w14:textId="77777777" w:rsidR="009F183C" w:rsidRDefault="00757AA1">
      <w:pPr>
        <w:pStyle w:val="Titolo"/>
        <w:rPr>
          <w:rFonts w:ascii="Garamond" w:hAnsi="Garamond" w:cs="ItcCenturyLight"/>
          <w:b w:val="0"/>
          <w:i/>
          <w:smallCaps w:val="0"/>
        </w:rPr>
      </w:pPr>
      <w:r>
        <w:rPr>
          <w:rFonts w:ascii="Garamond" w:hAnsi="Garamond" w:cs="ItcCenturyLight"/>
          <w:b w:val="0"/>
        </w:rPr>
        <w:t>relazione dell’organo di revisione sul rendiconto della gestione</w:t>
      </w:r>
    </w:p>
    <w:p w14:paraId="0472170D" w14:textId="77777777" w:rsidR="009F183C" w:rsidRDefault="00757AA1">
      <w:pPr>
        <w:pStyle w:val="cpv"/>
        <w:widowControl/>
        <w:spacing w:before="220"/>
        <w:jc w:val="center"/>
        <w:rPr>
          <w:rFonts w:ascii="Garamond" w:hAnsi="Garamond"/>
          <w:smallCaps/>
          <w:sz w:val="36"/>
        </w:rPr>
      </w:pPr>
      <w:r>
        <w:rPr>
          <w:rFonts w:ascii="Garamond" w:hAnsi="Garamond"/>
          <w:smallCaps/>
          <w:sz w:val="36"/>
        </w:rPr>
        <w:t>e documenti allegati</w:t>
      </w:r>
    </w:p>
    <w:p w14:paraId="27EAEFF7" w14:textId="77777777" w:rsidR="009F183C" w:rsidRDefault="009F183C">
      <w:pPr>
        <w:pStyle w:val="cpv"/>
        <w:widowControl/>
        <w:spacing w:before="220"/>
        <w:rPr>
          <w:rFonts w:ascii="Garamond" w:hAnsi="Garamond"/>
          <w:smallCaps/>
          <w:sz w:val="36"/>
        </w:rPr>
      </w:pPr>
    </w:p>
    <w:tbl>
      <w:tblPr>
        <w:tblW w:w="9322" w:type="dxa"/>
        <w:tblInd w:w="-108" w:type="dxa"/>
        <w:tblBorders>
          <w:top w:val="nil"/>
          <w:left w:val="nil"/>
          <w:bottom w:val="nil"/>
          <w:right w:val="nil"/>
        </w:tblBorders>
        <w:tblLayout w:type="fixed"/>
        <w:tblLook w:val="0000" w:firstRow="0" w:lastRow="0" w:firstColumn="0" w:lastColumn="0" w:noHBand="0" w:noVBand="0"/>
      </w:tblPr>
      <w:tblGrid>
        <w:gridCol w:w="5667"/>
        <w:gridCol w:w="3655"/>
      </w:tblGrid>
      <w:tr w:rsidR="009F183C" w14:paraId="629A10F6" w14:textId="77777777">
        <w:trPr>
          <w:trHeight w:val="1321"/>
        </w:trPr>
        <w:tc>
          <w:tcPr>
            <w:tcW w:w="5667" w:type="dxa"/>
          </w:tcPr>
          <w:p w14:paraId="7B04B0F1" w14:textId="77777777" w:rsidR="009F183C" w:rsidRDefault="009F183C">
            <w:pPr>
              <w:spacing w:after="0"/>
              <w:rPr>
                <w:rFonts w:ascii="Calibri" w:hAnsi="Calibri" w:cs="Calibri"/>
                <w:color w:val="000000"/>
                <w:sz w:val="23"/>
                <w:szCs w:val="23"/>
              </w:rPr>
            </w:pPr>
          </w:p>
          <w:p w14:paraId="7E050210" w14:textId="77777777" w:rsidR="009F183C" w:rsidRDefault="009F183C">
            <w:pPr>
              <w:spacing w:after="0"/>
              <w:rPr>
                <w:rFonts w:ascii="Calibri" w:hAnsi="Calibri" w:cs="Calibri"/>
                <w:color w:val="000000"/>
                <w:sz w:val="23"/>
                <w:szCs w:val="23"/>
              </w:rPr>
            </w:pPr>
          </w:p>
          <w:p w14:paraId="212D0B09" w14:textId="77777777" w:rsidR="009F183C" w:rsidRDefault="00757AA1">
            <w:pPr>
              <w:spacing w:after="0"/>
              <w:rPr>
                <w:rFonts w:ascii="Calibri" w:hAnsi="Calibri" w:cs="Calibri"/>
                <w:color w:val="000000"/>
                <w:sz w:val="23"/>
                <w:szCs w:val="23"/>
              </w:rPr>
            </w:pPr>
            <w:r>
              <w:rPr>
                <w:rFonts w:ascii="Calibri" w:hAnsi="Calibri" w:cs="Calibri"/>
                <w:color w:val="000000"/>
                <w:sz w:val="23"/>
                <w:szCs w:val="23"/>
              </w:rPr>
              <w:t xml:space="preserve">A cura del Gruppo di lavoro </w:t>
            </w:r>
          </w:p>
          <w:p w14:paraId="580D2F69" w14:textId="77777777" w:rsidR="009F183C" w:rsidRDefault="00757AA1">
            <w:pPr>
              <w:spacing w:after="0"/>
              <w:rPr>
                <w:rFonts w:ascii="Calibri" w:hAnsi="Calibri" w:cs="Calibri"/>
                <w:color w:val="000000"/>
                <w:sz w:val="23"/>
                <w:szCs w:val="23"/>
              </w:rPr>
            </w:pPr>
            <w:r>
              <w:rPr>
                <w:rFonts w:ascii="Calibri" w:hAnsi="Calibri" w:cs="Calibri"/>
                <w:color w:val="000000"/>
                <w:sz w:val="23"/>
                <w:szCs w:val="23"/>
              </w:rPr>
              <w:t>“</w:t>
            </w:r>
            <w:r>
              <w:rPr>
                <w:rFonts w:ascii="Calibri" w:hAnsi="Calibri" w:cs="Calibri"/>
                <w:i/>
                <w:iCs/>
                <w:color w:val="333333"/>
                <w:szCs w:val="22"/>
                <w:lang w:bidi="he-IL"/>
              </w:rPr>
              <w:t>Relazione al bilancio EELL”</w:t>
            </w:r>
          </w:p>
          <w:p w14:paraId="0CE0B281" w14:textId="77777777" w:rsidR="009F183C" w:rsidRDefault="009F183C">
            <w:pPr>
              <w:spacing w:after="0"/>
              <w:rPr>
                <w:rFonts w:ascii="Calibri" w:hAnsi="Calibri" w:cs="Calibri"/>
                <w:color w:val="000000"/>
                <w:sz w:val="23"/>
                <w:szCs w:val="23"/>
              </w:rPr>
            </w:pPr>
          </w:p>
          <w:p w14:paraId="232CACCC" w14:textId="77777777" w:rsidR="009F183C" w:rsidRDefault="009F183C">
            <w:pPr>
              <w:spacing w:after="0"/>
              <w:rPr>
                <w:rFonts w:ascii="Calibri" w:hAnsi="Calibri" w:cs="Calibri"/>
                <w:color w:val="000000"/>
                <w:sz w:val="23"/>
                <w:szCs w:val="23"/>
              </w:rPr>
            </w:pPr>
          </w:p>
          <w:p w14:paraId="03EDCEDA" w14:textId="77777777" w:rsidR="009F183C" w:rsidRDefault="009F183C">
            <w:pPr>
              <w:spacing w:after="0"/>
              <w:rPr>
                <w:rFonts w:ascii="Calibri" w:hAnsi="Calibri" w:cs="Calibri"/>
                <w:color w:val="000000"/>
                <w:sz w:val="23"/>
                <w:szCs w:val="23"/>
              </w:rPr>
            </w:pPr>
          </w:p>
          <w:p w14:paraId="55253246" w14:textId="77777777" w:rsidR="009F183C" w:rsidRDefault="00757AA1">
            <w:pPr>
              <w:spacing w:after="0"/>
              <w:rPr>
                <w:rFonts w:ascii="Calibri" w:hAnsi="Calibri" w:cs="Calibri"/>
                <w:color w:val="000000"/>
                <w:sz w:val="23"/>
                <w:szCs w:val="23"/>
              </w:rPr>
            </w:pPr>
            <w:r>
              <w:rPr>
                <w:rFonts w:ascii="Calibri" w:hAnsi="Calibri" w:cs="Calibri"/>
                <w:color w:val="000000"/>
                <w:sz w:val="23"/>
                <w:szCs w:val="23"/>
              </w:rPr>
              <w:t xml:space="preserve">Area “Economia degli Enti locali” </w:t>
            </w:r>
          </w:p>
        </w:tc>
        <w:tc>
          <w:tcPr>
            <w:tcW w:w="3655" w:type="dxa"/>
          </w:tcPr>
          <w:p w14:paraId="0F06804C" w14:textId="77777777" w:rsidR="009F183C" w:rsidRDefault="009F183C">
            <w:pPr>
              <w:spacing w:after="0"/>
              <w:rPr>
                <w:rFonts w:ascii="Calibri" w:hAnsi="Calibri" w:cs="Calibri"/>
                <w:color w:val="000000"/>
                <w:sz w:val="23"/>
                <w:szCs w:val="23"/>
              </w:rPr>
            </w:pPr>
          </w:p>
          <w:p w14:paraId="0774A76C" w14:textId="77777777" w:rsidR="009F183C" w:rsidRDefault="009F183C">
            <w:pPr>
              <w:spacing w:after="0"/>
              <w:rPr>
                <w:rFonts w:ascii="Calibri" w:hAnsi="Calibri" w:cs="Calibri"/>
                <w:color w:val="000000"/>
                <w:sz w:val="23"/>
                <w:szCs w:val="23"/>
              </w:rPr>
            </w:pPr>
          </w:p>
          <w:p w14:paraId="21479C79" w14:textId="77777777" w:rsidR="009F183C" w:rsidRDefault="00757AA1">
            <w:pPr>
              <w:spacing w:after="0"/>
              <w:rPr>
                <w:rFonts w:ascii="Calibri" w:hAnsi="Calibri" w:cs="Calibri"/>
                <w:color w:val="000000"/>
                <w:sz w:val="23"/>
                <w:szCs w:val="23"/>
              </w:rPr>
            </w:pPr>
            <w:r>
              <w:rPr>
                <w:rFonts w:ascii="Calibri" w:hAnsi="Calibri" w:cs="Calibri"/>
                <w:color w:val="000000"/>
                <w:sz w:val="23"/>
                <w:szCs w:val="23"/>
              </w:rPr>
              <w:t xml:space="preserve">CONSIGLIERI DELEGATI </w:t>
            </w:r>
          </w:p>
          <w:p w14:paraId="534A9750" w14:textId="304DA66F" w:rsidR="009F183C" w:rsidRDefault="00757AA1">
            <w:pPr>
              <w:spacing w:after="0"/>
              <w:rPr>
                <w:rFonts w:ascii="Calibri" w:hAnsi="Calibri" w:cs="Calibri"/>
                <w:color w:val="000000"/>
                <w:sz w:val="23"/>
                <w:szCs w:val="23"/>
              </w:rPr>
            </w:pPr>
            <w:r>
              <w:rPr>
                <w:rFonts w:ascii="Calibri" w:hAnsi="Calibri" w:cs="Calibri"/>
                <w:color w:val="000000"/>
                <w:sz w:val="23"/>
                <w:szCs w:val="23"/>
              </w:rPr>
              <w:t xml:space="preserve">Davide Di Russo – </w:t>
            </w:r>
            <w:r w:rsidR="00722CDB">
              <w:rPr>
                <w:rFonts w:ascii="Calibri" w:hAnsi="Calibri" w:cs="Calibri"/>
                <w:color w:val="000000"/>
                <w:sz w:val="23"/>
                <w:szCs w:val="23"/>
              </w:rPr>
              <w:t>Vicepresidente</w:t>
            </w:r>
          </w:p>
          <w:p w14:paraId="6F9BAB3B" w14:textId="77777777" w:rsidR="009F183C" w:rsidRDefault="00757AA1">
            <w:pPr>
              <w:spacing w:after="0"/>
              <w:rPr>
                <w:rFonts w:ascii="Calibri" w:hAnsi="Calibri" w:cs="Calibri"/>
                <w:color w:val="000000"/>
                <w:sz w:val="23"/>
                <w:szCs w:val="23"/>
              </w:rPr>
            </w:pPr>
            <w:r>
              <w:rPr>
                <w:rFonts w:ascii="Calibri" w:hAnsi="Calibri" w:cs="Calibri"/>
                <w:color w:val="000000"/>
                <w:sz w:val="23"/>
                <w:szCs w:val="23"/>
              </w:rPr>
              <w:t>Remigio E.M. Sequi - Consigliere</w:t>
            </w:r>
          </w:p>
          <w:p w14:paraId="4204E81A" w14:textId="77777777" w:rsidR="009F183C" w:rsidRDefault="009F183C">
            <w:pPr>
              <w:spacing w:after="0"/>
              <w:rPr>
                <w:rFonts w:ascii="Calibri" w:hAnsi="Calibri" w:cs="Calibri"/>
                <w:color w:val="000000"/>
                <w:sz w:val="23"/>
                <w:szCs w:val="23"/>
              </w:rPr>
            </w:pPr>
          </w:p>
          <w:p w14:paraId="5148F60D" w14:textId="77777777" w:rsidR="009F183C" w:rsidRDefault="009F183C">
            <w:pPr>
              <w:spacing w:after="0"/>
              <w:rPr>
                <w:rFonts w:ascii="Calibri" w:hAnsi="Calibri" w:cs="Calibri"/>
                <w:color w:val="000000"/>
                <w:sz w:val="23"/>
                <w:szCs w:val="23"/>
              </w:rPr>
            </w:pPr>
          </w:p>
          <w:p w14:paraId="77142AEF" w14:textId="77777777" w:rsidR="009F183C" w:rsidRDefault="00757AA1">
            <w:pPr>
              <w:spacing w:after="0"/>
              <w:rPr>
                <w:rFonts w:ascii="Calibri" w:hAnsi="Calibri" w:cs="Calibri"/>
                <w:color w:val="000000"/>
                <w:sz w:val="23"/>
                <w:szCs w:val="23"/>
              </w:rPr>
            </w:pPr>
            <w:r>
              <w:rPr>
                <w:rFonts w:ascii="Calibri" w:hAnsi="Calibri" w:cs="Calibri"/>
                <w:color w:val="000000"/>
                <w:sz w:val="23"/>
                <w:szCs w:val="23"/>
              </w:rPr>
              <w:t xml:space="preserve">COMPONENTI </w:t>
            </w:r>
          </w:p>
          <w:p w14:paraId="5BC00756" w14:textId="77777777" w:rsidR="009F183C" w:rsidRDefault="00757AA1">
            <w:pPr>
              <w:spacing w:after="0"/>
              <w:rPr>
                <w:rFonts w:ascii="Calibri" w:hAnsi="Calibri" w:cs="Calibri"/>
                <w:color w:val="000000"/>
                <w:sz w:val="23"/>
                <w:szCs w:val="23"/>
              </w:rPr>
            </w:pPr>
            <w:r>
              <w:rPr>
                <w:rFonts w:ascii="Calibri" w:hAnsi="Calibri" w:cs="Calibri"/>
                <w:color w:val="000000"/>
                <w:sz w:val="23"/>
                <w:szCs w:val="23"/>
              </w:rPr>
              <w:t>Antonino Borghi - Coordinatore</w:t>
            </w:r>
          </w:p>
          <w:p w14:paraId="70E65976" w14:textId="77777777" w:rsidR="009F183C" w:rsidRDefault="00757AA1">
            <w:pPr>
              <w:spacing w:after="0"/>
              <w:rPr>
                <w:rFonts w:ascii="Calibri" w:hAnsi="Calibri" w:cs="Calibri"/>
                <w:color w:val="000000"/>
                <w:sz w:val="23"/>
                <w:szCs w:val="23"/>
              </w:rPr>
            </w:pPr>
            <w:r>
              <w:rPr>
                <w:rFonts w:ascii="Calibri" w:hAnsi="Calibri" w:cs="Calibri"/>
                <w:color w:val="000000"/>
                <w:sz w:val="23"/>
                <w:szCs w:val="23"/>
              </w:rPr>
              <w:t>Elena Brunetto</w:t>
            </w:r>
          </w:p>
          <w:p w14:paraId="5003014C" w14:textId="77777777" w:rsidR="009F183C" w:rsidRDefault="00757AA1">
            <w:pPr>
              <w:spacing w:after="0"/>
              <w:rPr>
                <w:rFonts w:ascii="Calibri" w:hAnsi="Calibri" w:cs="Calibri"/>
                <w:color w:val="000000"/>
                <w:sz w:val="23"/>
                <w:szCs w:val="23"/>
              </w:rPr>
            </w:pPr>
            <w:r>
              <w:rPr>
                <w:rFonts w:ascii="Calibri" w:hAnsi="Calibri" w:cs="Calibri"/>
                <w:color w:val="000000"/>
                <w:sz w:val="23"/>
                <w:szCs w:val="23"/>
              </w:rPr>
              <w:t>Marco Castellani</w:t>
            </w:r>
          </w:p>
          <w:p w14:paraId="1E559D26" w14:textId="77777777" w:rsidR="009F183C" w:rsidRDefault="00757AA1">
            <w:pPr>
              <w:spacing w:after="0"/>
              <w:rPr>
                <w:rFonts w:ascii="Calibri" w:hAnsi="Calibri" w:cs="Calibri"/>
                <w:color w:val="000000"/>
                <w:sz w:val="23"/>
                <w:szCs w:val="23"/>
              </w:rPr>
            </w:pPr>
            <w:r>
              <w:rPr>
                <w:rFonts w:ascii="Calibri" w:hAnsi="Calibri" w:cs="Calibri"/>
                <w:color w:val="000000"/>
                <w:sz w:val="23"/>
                <w:szCs w:val="23"/>
              </w:rPr>
              <w:t>Marco Catalano</w:t>
            </w:r>
          </w:p>
          <w:p w14:paraId="557A7ACB" w14:textId="77777777" w:rsidR="009F183C" w:rsidRDefault="00757AA1">
            <w:pPr>
              <w:spacing w:after="0"/>
              <w:rPr>
                <w:rFonts w:ascii="Calibri" w:hAnsi="Calibri" w:cs="Calibri"/>
                <w:color w:val="000000"/>
                <w:sz w:val="23"/>
                <w:szCs w:val="23"/>
              </w:rPr>
            </w:pPr>
            <w:r>
              <w:rPr>
                <w:rFonts w:ascii="Calibri" w:hAnsi="Calibri" w:cs="Calibri"/>
                <w:color w:val="000000"/>
                <w:sz w:val="23"/>
                <w:szCs w:val="23"/>
              </w:rPr>
              <w:t>Maurizio Delfino</w:t>
            </w:r>
          </w:p>
          <w:p w14:paraId="56C59C3B" w14:textId="77777777" w:rsidR="009F183C" w:rsidRDefault="00757AA1">
            <w:pPr>
              <w:spacing w:after="0"/>
              <w:rPr>
                <w:rFonts w:ascii="Calibri" w:hAnsi="Calibri" w:cs="Calibri"/>
                <w:color w:val="000000"/>
                <w:sz w:val="23"/>
                <w:szCs w:val="23"/>
              </w:rPr>
            </w:pPr>
            <w:r>
              <w:rPr>
                <w:rFonts w:ascii="Calibri" w:hAnsi="Calibri" w:cs="Calibri"/>
                <w:color w:val="000000"/>
                <w:sz w:val="23"/>
                <w:szCs w:val="23"/>
              </w:rPr>
              <w:t>Giuseppe Munafò</w:t>
            </w:r>
          </w:p>
          <w:p w14:paraId="76075F25" w14:textId="77777777" w:rsidR="009F183C" w:rsidRDefault="00757AA1">
            <w:pPr>
              <w:spacing w:after="0"/>
              <w:rPr>
                <w:rFonts w:ascii="Calibri" w:hAnsi="Calibri" w:cs="Calibri"/>
                <w:color w:val="000000"/>
                <w:sz w:val="23"/>
                <w:szCs w:val="23"/>
              </w:rPr>
            </w:pPr>
            <w:r>
              <w:rPr>
                <w:rFonts w:ascii="Calibri" w:hAnsi="Calibri" w:cs="Calibri"/>
                <w:color w:val="000000"/>
                <w:sz w:val="23"/>
                <w:szCs w:val="23"/>
              </w:rPr>
              <w:t>Gabriella Nardelli</w:t>
            </w:r>
          </w:p>
          <w:p w14:paraId="13D9F4DF" w14:textId="77777777" w:rsidR="009F183C" w:rsidRDefault="009F183C">
            <w:pPr>
              <w:spacing w:after="0"/>
              <w:rPr>
                <w:rFonts w:ascii="Calibri" w:hAnsi="Calibri" w:cs="Calibri"/>
                <w:color w:val="000000"/>
                <w:sz w:val="23"/>
                <w:szCs w:val="23"/>
              </w:rPr>
            </w:pPr>
          </w:p>
          <w:p w14:paraId="2B93CE2E" w14:textId="77777777" w:rsidR="009F183C" w:rsidRDefault="00757AA1">
            <w:pPr>
              <w:spacing w:after="0"/>
              <w:rPr>
                <w:rFonts w:ascii="Calibri" w:hAnsi="Calibri" w:cs="Calibri"/>
                <w:color w:val="000000"/>
                <w:sz w:val="23"/>
                <w:szCs w:val="23"/>
              </w:rPr>
            </w:pPr>
            <w:r>
              <w:rPr>
                <w:rFonts w:ascii="Calibri" w:hAnsi="Calibri" w:cs="Calibri"/>
                <w:color w:val="000000"/>
                <w:sz w:val="23"/>
                <w:szCs w:val="23"/>
              </w:rPr>
              <w:t>RICERCATRICE</w:t>
            </w:r>
          </w:p>
          <w:p w14:paraId="605972E8" w14:textId="77777777" w:rsidR="009F183C" w:rsidRDefault="00757AA1">
            <w:pPr>
              <w:spacing w:after="0"/>
              <w:rPr>
                <w:rFonts w:ascii="Calibri" w:hAnsi="Calibri" w:cs="Calibri"/>
                <w:color w:val="000000"/>
                <w:sz w:val="23"/>
                <w:szCs w:val="23"/>
              </w:rPr>
            </w:pPr>
            <w:r>
              <w:rPr>
                <w:rFonts w:ascii="Calibri" w:hAnsi="Calibri" w:cs="Calibri"/>
                <w:color w:val="000000"/>
                <w:sz w:val="23"/>
                <w:szCs w:val="23"/>
              </w:rPr>
              <w:t>Anna De Toni</w:t>
            </w:r>
          </w:p>
        </w:tc>
      </w:tr>
      <w:tr w:rsidR="009F183C" w14:paraId="439EA2CD" w14:textId="77777777">
        <w:trPr>
          <w:trHeight w:val="1321"/>
        </w:trPr>
        <w:tc>
          <w:tcPr>
            <w:tcW w:w="5667" w:type="dxa"/>
          </w:tcPr>
          <w:p w14:paraId="4B898FAC" w14:textId="77777777" w:rsidR="009F183C" w:rsidRDefault="009F183C">
            <w:pPr>
              <w:rPr>
                <w:rFonts w:ascii="Calibri" w:hAnsi="Calibri" w:cs="Calibri"/>
                <w:color w:val="000000"/>
                <w:sz w:val="23"/>
                <w:szCs w:val="23"/>
              </w:rPr>
            </w:pPr>
          </w:p>
        </w:tc>
        <w:tc>
          <w:tcPr>
            <w:tcW w:w="3655" w:type="dxa"/>
          </w:tcPr>
          <w:p w14:paraId="77599F4F" w14:textId="77777777" w:rsidR="009F183C" w:rsidRDefault="00757AA1">
            <w:pPr>
              <w:rPr>
                <w:rFonts w:ascii="Calibri" w:hAnsi="Calibri" w:cs="Calibri"/>
                <w:color w:val="000000"/>
                <w:sz w:val="24"/>
                <w:szCs w:val="24"/>
              </w:rPr>
            </w:pPr>
            <w:r>
              <w:rPr>
                <w:rFonts w:ascii="Calibri" w:hAnsi="Calibri" w:cs="Calibri"/>
                <w:color w:val="000000"/>
                <w:sz w:val="24"/>
                <w:szCs w:val="24"/>
              </w:rPr>
              <w:tab/>
            </w:r>
          </w:p>
          <w:p w14:paraId="44419422" w14:textId="77777777" w:rsidR="009F183C" w:rsidRDefault="009F183C">
            <w:pPr>
              <w:rPr>
                <w:rFonts w:ascii="Calibri" w:hAnsi="Calibri" w:cs="Calibri"/>
                <w:color w:val="000000"/>
                <w:sz w:val="24"/>
                <w:szCs w:val="24"/>
              </w:rPr>
            </w:pPr>
          </w:p>
          <w:p w14:paraId="22DCAEB3" w14:textId="77777777" w:rsidR="009F183C" w:rsidRDefault="009F183C">
            <w:pPr>
              <w:rPr>
                <w:rFonts w:ascii="Calibri" w:hAnsi="Calibri" w:cs="Calibri"/>
                <w:color w:val="000000"/>
                <w:sz w:val="26"/>
                <w:szCs w:val="26"/>
              </w:rPr>
            </w:pPr>
          </w:p>
          <w:p w14:paraId="0726D469" w14:textId="77777777" w:rsidR="009F183C" w:rsidRDefault="009F183C">
            <w:pPr>
              <w:rPr>
                <w:rFonts w:ascii="Calibri" w:hAnsi="Calibri" w:cs="Calibri"/>
                <w:color w:val="000000"/>
                <w:sz w:val="26"/>
                <w:szCs w:val="26"/>
              </w:rPr>
            </w:pPr>
          </w:p>
          <w:p w14:paraId="77AF6947" w14:textId="77777777" w:rsidR="009F183C" w:rsidRDefault="009F183C">
            <w:pPr>
              <w:rPr>
                <w:rFonts w:ascii="Calibri" w:hAnsi="Calibri" w:cs="Calibri"/>
                <w:color w:val="000000"/>
                <w:sz w:val="26"/>
                <w:szCs w:val="26"/>
              </w:rPr>
            </w:pPr>
          </w:p>
          <w:p w14:paraId="1F66BE48" w14:textId="08564511" w:rsidR="009F183C" w:rsidRDefault="00366BA7" w:rsidP="00366BA7">
            <w:pPr>
              <w:rPr>
                <w:rFonts w:ascii="Calibri" w:hAnsi="Calibri" w:cs="Calibri"/>
                <w:color w:val="000000"/>
                <w:sz w:val="23"/>
                <w:szCs w:val="23"/>
              </w:rPr>
            </w:pPr>
            <w:r>
              <w:rPr>
                <w:rFonts w:ascii="Calibri" w:hAnsi="Calibri" w:cs="Calibri"/>
                <w:color w:val="000000"/>
                <w:sz w:val="26"/>
                <w:szCs w:val="26"/>
              </w:rPr>
              <w:t>Marz</w:t>
            </w:r>
            <w:r w:rsidR="00757AA1">
              <w:rPr>
                <w:rFonts w:ascii="Calibri" w:hAnsi="Calibri" w:cs="Calibri"/>
                <w:color w:val="000000"/>
                <w:sz w:val="26"/>
                <w:szCs w:val="26"/>
              </w:rPr>
              <w:t>o 2018</w:t>
            </w:r>
          </w:p>
        </w:tc>
      </w:tr>
    </w:tbl>
    <w:p w14:paraId="37D879BA" w14:textId="77777777" w:rsidR="009F183C" w:rsidRDefault="009F183C">
      <w:pPr>
        <w:pStyle w:val="cpv"/>
        <w:widowControl/>
        <w:spacing w:before="220"/>
        <w:jc w:val="center"/>
        <w:rPr>
          <w:rFonts w:ascii="Arial" w:hAnsi="Arial" w:cs="Arial"/>
          <w:b/>
          <w:i/>
          <w:color w:val="0070C0"/>
          <w:sz w:val="32"/>
        </w:rPr>
      </w:pPr>
    </w:p>
    <w:p w14:paraId="06C29397" w14:textId="77777777" w:rsidR="009F183C" w:rsidRDefault="009F183C">
      <w:pPr>
        <w:pStyle w:val="cpv"/>
        <w:widowControl/>
        <w:spacing w:before="220"/>
        <w:jc w:val="center"/>
        <w:rPr>
          <w:rFonts w:ascii="Arial" w:hAnsi="Arial" w:cs="Arial"/>
          <w:b/>
          <w:i/>
          <w:color w:val="0070C0"/>
          <w:sz w:val="32"/>
        </w:rPr>
      </w:pPr>
    </w:p>
    <w:p w14:paraId="71A4B21D" w14:textId="77777777" w:rsidR="009F183C" w:rsidRDefault="009F183C">
      <w:pPr>
        <w:pStyle w:val="cpv"/>
        <w:widowControl/>
        <w:spacing w:before="220"/>
        <w:jc w:val="center"/>
        <w:rPr>
          <w:rFonts w:ascii="Arial" w:hAnsi="Arial" w:cs="Arial"/>
          <w:b/>
          <w:i/>
          <w:color w:val="0070C0"/>
          <w:sz w:val="32"/>
        </w:rPr>
      </w:pPr>
    </w:p>
    <w:p w14:paraId="5651ED75" w14:textId="77777777" w:rsidR="00757AA1" w:rsidRDefault="00757AA1">
      <w:pPr>
        <w:pStyle w:val="cpv"/>
        <w:widowControl/>
        <w:spacing w:before="220"/>
        <w:jc w:val="center"/>
        <w:rPr>
          <w:rFonts w:ascii="Arial" w:hAnsi="Arial" w:cs="Arial"/>
          <w:b/>
          <w:i/>
          <w:color w:val="0070C0"/>
          <w:sz w:val="32"/>
        </w:rPr>
      </w:pPr>
    </w:p>
    <w:p w14:paraId="200F8323" w14:textId="77777777" w:rsidR="009F183C" w:rsidRDefault="00757AA1">
      <w:pPr>
        <w:pStyle w:val="cpv"/>
        <w:widowControl/>
        <w:spacing w:before="220"/>
        <w:jc w:val="center"/>
        <w:rPr>
          <w:rFonts w:ascii="Arial" w:hAnsi="Arial" w:cs="Arial"/>
          <w:b/>
          <w:i/>
          <w:sz w:val="32"/>
        </w:rPr>
      </w:pPr>
      <w:r>
        <w:rPr>
          <w:rFonts w:ascii="Arial" w:hAnsi="Arial" w:cs="Arial"/>
          <w:b/>
          <w:i/>
          <w:sz w:val="32"/>
        </w:rPr>
        <w:t>Premessa</w:t>
      </w:r>
    </w:p>
    <w:p w14:paraId="0E26A332" w14:textId="77777777" w:rsidR="009F183C" w:rsidRDefault="00757AA1">
      <w:pPr>
        <w:pStyle w:val="cpv"/>
        <w:widowControl/>
        <w:spacing w:before="220"/>
        <w:rPr>
          <w:rFonts w:ascii="Arial" w:hAnsi="Arial" w:cs="Arial"/>
          <w:i/>
          <w:sz w:val="22"/>
          <w:szCs w:val="22"/>
        </w:rPr>
      </w:pPr>
      <w:r>
        <w:rPr>
          <w:rFonts w:ascii="Arial" w:hAnsi="Arial" w:cs="Arial"/>
          <w:i/>
          <w:sz w:val="22"/>
          <w:szCs w:val="22"/>
        </w:rPr>
        <w:t xml:space="preserve">  </w:t>
      </w:r>
    </w:p>
    <w:p w14:paraId="7B4F6198" w14:textId="2D967B67" w:rsidR="009F183C" w:rsidRDefault="00757AA1">
      <w:pPr>
        <w:pStyle w:val="cpv"/>
        <w:widowControl/>
        <w:spacing w:before="220"/>
        <w:rPr>
          <w:rFonts w:ascii="Arial" w:hAnsi="Arial" w:cs="Arial"/>
          <w:i/>
          <w:color w:val="0070C0"/>
          <w:sz w:val="22"/>
          <w:szCs w:val="22"/>
        </w:rPr>
      </w:pPr>
      <w:r>
        <w:rPr>
          <w:rFonts w:ascii="Arial" w:hAnsi="Arial" w:cs="Arial"/>
          <w:i/>
          <w:color w:val="0070C0"/>
          <w:sz w:val="22"/>
          <w:szCs w:val="22"/>
        </w:rPr>
        <w:t>Lo schema di relazione che viene presentato è predisposto nel rispetto della parte II “Ordinamento finanziario e contabile del D.</w:t>
      </w:r>
      <w:r w:rsidR="00722CDB">
        <w:rPr>
          <w:rFonts w:ascii="Arial" w:hAnsi="Arial" w:cs="Arial"/>
          <w:i/>
          <w:color w:val="0070C0"/>
          <w:sz w:val="22"/>
          <w:szCs w:val="22"/>
        </w:rPr>
        <w:t xml:space="preserve"> </w:t>
      </w:r>
      <w:r>
        <w:rPr>
          <w:rFonts w:ascii="Arial" w:hAnsi="Arial" w:cs="Arial"/>
          <w:i/>
          <w:color w:val="0070C0"/>
          <w:sz w:val="22"/>
          <w:szCs w:val="22"/>
        </w:rPr>
        <w:t>Lgs.18/8/2000 n.267 (TUEL) e dei principi contabili generali allegati al D. Lgs. 118/2011.</w:t>
      </w:r>
    </w:p>
    <w:p w14:paraId="2F5FF968" w14:textId="77777777" w:rsidR="009F183C" w:rsidRDefault="00757AA1">
      <w:pPr>
        <w:pStyle w:val="cpv"/>
        <w:widowControl/>
        <w:spacing w:before="220"/>
        <w:rPr>
          <w:rFonts w:ascii="Arial" w:hAnsi="Arial" w:cs="Arial"/>
          <w:i/>
          <w:color w:val="0070C0"/>
          <w:sz w:val="22"/>
          <w:szCs w:val="22"/>
        </w:rPr>
      </w:pPr>
      <w:r>
        <w:rPr>
          <w:rFonts w:ascii="Arial" w:hAnsi="Arial" w:cs="Arial"/>
          <w:i/>
          <w:color w:val="0070C0"/>
          <w:sz w:val="22"/>
          <w:szCs w:val="22"/>
        </w:rPr>
        <w:t>Per la formulazione della relazione e per l’esercizio delle sue funzioni l’organo di revisione può avvalersi dei primi tre principi di vigilanza e controllo emanati dal CNDCEC.</w:t>
      </w:r>
    </w:p>
    <w:p w14:paraId="0FEFE7EC" w14:textId="77777777" w:rsidR="009F183C" w:rsidRDefault="00757AA1">
      <w:pPr>
        <w:pStyle w:val="cpv"/>
        <w:widowControl/>
        <w:spacing w:before="220"/>
        <w:rPr>
          <w:rFonts w:ascii="Arial" w:hAnsi="Arial" w:cs="Arial"/>
          <w:i/>
          <w:color w:val="0070C0"/>
          <w:sz w:val="22"/>
          <w:szCs w:val="22"/>
        </w:rPr>
      </w:pPr>
      <w:r>
        <w:rPr>
          <w:rFonts w:ascii="Arial" w:hAnsi="Arial" w:cs="Arial"/>
          <w:i/>
          <w:color w:val="0070C0"/>
          <w:sz w:val="22"/>
          <w:szCs w:val="22"/>
        </w:rPr>
        <w:t>Lo schema di relazione tiene conto delle norme emanate fino al 31/12/2017.</w:t>
      </w:r>
    </w:p>
    <w:p w14:paraId="01A0F3BF" w14:textId="77777777" w:rsidR="009F183C" w:rsidRDefault="009F183C">
      <w:pPr>
        <w:pStyle w:val="Titolo"/>
        <w:jc w:val="both"/>
        <w:rPr>
          <w:rFonts w:cs="Arial"/>
          <w:b w:val="0"/>
          <w:i/>
          <w:smallCaps w:val="0"/>
          <w:color w:val="0070C0"/>
          <w:sz w:val="22"/>
          <w:szCs w:val="22"/>
        </w:rPr>
      </w:pPr>
    </w:p>
    <w:p w14:paraId="16B3A3E8" w14:textId="77777777" w:rsidR="009F183C" w:rsidRDefault="00757AA1">
      <w:pPr>
        <w:pStyle w:val="Titolo"/>
        <w:jc w:val="both"/>
        <w:rPr>
          <w:rFonts w:cs="Arial"/>
          <w:b w:val="0"/>
          <w:i/>
          <w:smallCaps w:val="0"/>
          <w:color w:val="0070C0"/>
          <w:sz w:val="22"/>
          <w:szCs w:val="22"/>
        </w:rPr>
      </w:pPr>
      <w:r>
        <w:rPr>
          <w:rFonts w:cs="Arial"/>
          <w:b w:val="0"/>
          <w:i/>
          <w:smallCaps w:val="0"/>
          <w:color w:val="0070C0"/>
          <w:sz w:val="22"/>
          <w:szCs w:val="22"/>
        </w:rPr>
        <w:t xml:space="preserve">Il documento è composto di un testo word con traccia della relazione dell’organo di revisione corredato da commenti in corsivetto e in colore azzurro e da tabelle in formato excel. </w:t>
      </w:r>
    </w:p>
    <w:p w14:paraId="04A3B3A2" w14:textId="77777777" w:rsidR="009F183C" w:rsidRDefault="00757AA1">
      <w:pPr>
        <w:pStyle w:val="Titolo"/>
        <w:jc w:val="both"/>
        <w:rPr>
          <w:rFonts w:cs="Arial"/>
          <w:b w:val="0"/>
          <w:i/>
          <w:smallCaps w:val="0"/>
          <w:color w:val="0070C0"/>
          <w:sz w:val="22"/>
          <w:szCs w:val="22"/>
        </w:rPr>
      </w:pPr>
      <w:r>
        <w:rPr>
          <w:rFonts w:cs="Arial"/>
          <w:b w:val="0"/>
          <w:i/>
          <w:smallCaps w:val="0"/>
          <w:color w:val="0070C0"/>
          <w:sz w:val="22"/>
          <w:szCs w:val="22"/>
        </w:rPr>
        <w:t>Il documento costituisce soltanto una traccia per la formazione della relazione da parte dell’organo di revisione, il quale resta esclusivo responsabile nei rapporti con tutti i soggetti dello stesso destinatari.</w:t>
      </w:r>
    </w:p>
    <w:p w14:paraId="172EFD3F" w14:textId="77777777" w:rsidR="009F183C" w:rsidRDefault="00757AA1">
      <w:pPr>
        <w:pStyle w:val="Titolo"/>
        <w:jc w:val="both"/>
        <w:rPr>
          <w:rFonts w:cs="Arial"/>
          <w:b w:val="0"/>
          <w:i/>
          <w:smallCaps w:val="0"/>
          <w:color w:val="0070C0"/>
          <w:sz w:val="22"/>
          <w:szCs w:val="22"/>
        </w:rPr>
      </w:pPr>
      <w:r>
        <w:rPr>
          <w:rFonts w:cs="Arial"/>
          <w:b w:val="0"/>
          <w:i/>
          <w:smallCaps w:val="0"/>
          <w:color w:val="0070C0"/>
          <w:sz w:val="22"/>
          <w:szCs w:val="22"/>
        </w:rPr>
        <w:t xml:space="preserve">Si declina ogni responsabilità per eventuali errori nel contenuto del testo della relazione ovvero nella formazione delle tabelle excel. </w:t>
      </w:r>
    </w:p>
    <w:p w14:paraId="00B61C3D" w14:textId="77777777" w:rsidR="009F183C" w:rsidRDefault="009F183C">
      <w:pPr>
        <w:pStyle w:val="cpv"/>
        <w:widowControl/>
        <w:spacing w:before="220"/>
        <w:rPr>
          <w:rFonts w:ascii="Arial" w:hAnsi="Arial" w:cs="Arial"/>
          <w:i/>
          <w:color w:val="0070C0"/>
          <w:sz w:val="22"/>
          <w:szCs w:val="22"/>
        </w:rPr>
      </w:pPr>
    </w:p>
    <w:p w14:paraId="656610C9" w14:textId="77777777" w:rsidR="009F183C" w:rsidRDefault="009F183C">
      <w:pPr>
        <w:pStyle w:val="Titolo"/>
        <w:rPr>
          <w:b w:val="0"/>
          <w:i/>
          <w:sz w:val="40"/>
        </w:rPr>
      </w:pPr>
    </w:p>
    <w:p w14:paraId="179ECF32" w14:textId="77777777" w:rsidR="009F183C" w:rsidRDefault="009F183C">
      <w:pPr>
        <w:pStyle w:val="Titolo"/>
        <w:rPr>
          <w:b w:val="0"/>
          <w:i/>
          <w:sz w:val="40"/>
        </w:rPr>
      </w:pPr>
    </w:p>
    <w:p w14:paraId="427F622B" w14:textId="77777777" w:rsidR="009F183C" w:rsidRDefault="009F183C">
      <w:pPr>
        <w:pStyle w:val="Titolo"/>
      </w:pPr>
    </w:p>
    <w:p w14:paraId="2BE5DD85" w14:textId="77777777" w:rsidR="009F183C" w:rsidRDefault="009F183C">
      <w:pPr>
        <w:pStyle w:val="Titolo"/>
      </w:pPr>
    </w:p>
    <w:p w14:paraId="2C6FFF40" w14:textId="77777777" w:rsidR="009F183C" w:rsidRDefault="009F183C">
      <w:pPr>
        <w:pStyle w:val="Titolo"/>
      </w:pPr>
    </w:p>
    <w:p w14:paraId="5F9FFC1C" w14:textId="77777777" w:rsidR="009F183C" w:rsidRDefault="009F183C">
      <w:pPr>
        <w:pStyle w:val="Titolo"/>
      </w:pPr>
    </w:p>
    <w:p w14:paraId="1797B16A" w14:textId="77777777" w:rsidR="009F183C" w:rsidRDefault="009F183C">
      <w:pPr>
        <w:pStyle w:val="Titolo"/>
      </w:pPr>
    </w:p>
    <w:p w14:paraId="317DF0EC" w14:textId="77777777" w:rsidR="009F183C" w:rsidRDefault="009F183C">
      <w:pPr>
        <w:pStyle w:val="Titolo"/>
      </w:pPr>
    </w:p>
    <w:p w14:paraId="4790572A" w14:textId="77777777" w:rsidR="009F183C" w:rsidRDefault="009F183C">
      <w:pPr>
        <w:pStyle w:val="Titolo"/>
      </w:pPr>
    </w:p>
    <w:p w14:paraId="7CCA7D10" w14:textId="77777777" w:rsidR="009F183C" w:rsidRDefault="00757AA1">
      <w:pPr>
        <w:pStyle w:val="Titolo"/>
      </w:pPr>
      <w:r>
        <w:lastRenderedPageBreak/>
        <w:t>Comune di __________________________</w:t>
      </w:r>
    </w:p>
    <w:p w14:paraId="7F2CC4F9" w14:textId="77777777" w:rsidR="009F183C" w:rsidRDefault="009F183C">
      <w:pPr>
        <w:jc w:val="center"/>
        <w:rPr>
          <w:rFonts w:ascii="Palatino Linotype" w:hAnsi="Palatino Linotype"/>
        </w:rPr>
      </w:pPr>
    </w:p>
    <w:p w14:paraId="738D6F87" w14:textId="77777777" w:rsidR="009F183C" w:rsidRDefault="00757AA1">
      <w:pPr>
        <w:jc w:val="center"/>
        <w:rPr>
          <w:rFonts w:ascii="Palatino Linotype" w:hAnsi="Palatino Linotype"/>
          <w:sz w:val="32"/>
          <w:szCs w:val="32"/>
        </w:rPr>
      </w:pPr>
      <w:r>
        <w:rPr>
          <w:rFonts w:ascii="Palatino Linotype" w:hAnsi="Palatino Linotype"/>
          <w:sz w:val="32"/>
          <w:szCs w:val="32"/>
        </w:rPr>
        <w:t>Provincia di ____________________</w:t>
      </w:r>
    </w:p>
    <w:p w14:paraId="13FC7D9D" w14:textId="77777777" w:rsidR="009F183C" w:rsidRDefault="009F183C">
      <w:pPr>
        <w:rPr>
          <w:rFonts w:ascii="Palatino Linotype" w:hAnsi="Palatino Linotype"/>
        </w:rPr>
      </w:pPr>
    </w:p>
    <w:p w14:paraId="586BB558" w14:textId="77777777" w:rsidR="009F183C" w:rsidRDefault="009F183C"/>
    <w:p w14:paraId="3718CB7C" w14:textId="77777777" w:rsidR="009F183C" w:rsidRDefault="009F183C"/>
    <w:tbl>
      <w:tblPr>
        <w:tblpPr w:leftFromText="187" w:rightFromText="187" w:vertAnchor="text" w:horzAnchor="margin" w:tblpXSpec="right" w:tblpY="138"/>
        <w:tblW w:w="4822" w:type="pct"/>
        <w:tblCellMar>
          <w:top w:w="216" w:type="dxa"/>
          <w:left w:w="216" w:type="dxa"/>
          <w:bottom w:w="216" w:type="dxa"/>
          <w:right w:w="216" w:type="dxa"/>
        </w:tblCellMar>
        <w:tblLook w:val="04A0" w:firstRow="1" w:lastRow="0" w:firstColumn="1" w:lastColumn="0" w:noHBand="0" w:noVBand="1"/>
      </w:tblPr>
      <w:tblGrid>
        <w:gridCol w:w="4736"/>
        <w:gridCol w:w="3603"/>
      </w:tblGrid>
      <w:tr w:rsidR="009F183C" w14:paraId="379EA591" w14:textId="77777777">
        <w:tc>
          <w:tcPr>
            <w:tcW w:w="4991" w:type="dxa"/>
            <w:tcBorders>
              <w:bottom w:val="single" w:sz="18" w:space="0" w:color="808080"/>
              <w:right w:val="single" w:sz="18" w:space="0" w:color="808080"/>
            </w:tcBorders>
            <w:vAlign w:val="center"/>
          </w:tcPr>
          <w:p w14:paraId="4D4317B5" w14:textId="77777777" w:rsidR="009F183C" w:rsidRDefault="00757AA1">
            <w:pPr>
              <w:jc w:val="center"/>
              <w:rPr>
                <w:rFonts w:ascii="Palatino Linotype" w:hAnsi="Palatino Linotype" w:cs="Arial"/>
                <w:b/>
                <w:sz w:val="52"/>
                <w:szCs w:val="52"/>
              </w:rPr>
            </w:pPr>
            <w:r>
              <w:rPr>
                <w:rFonts w:ascii="Palatino Linotype" w:hAnsi="Palatino Linotype" w:cs="Arial"/>
                <w:b/>
                <w:sz w:val="52"/>
                <w:szCs w:val="52"/>
              </w:rPr>
              <w:t>Relazione dell’organo di revisione</w:t>
            </w:r>
          </w:p>
          <w:p w14:paraId="21F1556B" w14:textId="77777777" w:rsidR="009F183C" w:rsidRDefault="009F183C">
            <w:pPr>
              <w:rPr>
                <w:rFonts w:ascii="Palatino Linotype" w:hAnsi="Palatino Linotype" w:cs="Arial"/>
                <w:b/>
                <w:i/>
                <w:sz w:val="36"/>
                <w:szCs w:val="36"/>
              </w:rPr>
            </w:pPr>
          </w:p>
          <w:p w14:paraId="4266BB78" w14:textId="77777777" w:rsidR="009F183C" w:rsidRDefault="00757AA1">
            <w:pPr>
              <w:numPr>
                <w:ilvl w:val="0"/>
                <w:numId w:val="22"/>
              </w:numPr>
              <w:rPr>
                <w:rFonts w:ascii="Palatino Linotype" w:hAnsi="Palatino Linotype" w:cs="Arial"/>
                <w:i/>
                <w:sz w:val="36"/>
                <w:szCs w:val="36"/>
              </w:rPr>
            </w:pPr>
            <w:r>
              <w:rPr>
                <w:rFonts w:ascii="Palatino Linotype" w:hAnsi="Palatino Linotype" w:cs="Arial"/>
                <w:i/>
                <w:sz w:val="36"/>
                <w:szCs w:val="36"/>
              </w:rPr>
              <w:t>sulla proposta di deliberazione consiliare del rendiconto della gestione</w:t>
            </w:r>
          </w:p>
          <w:p w14:paraId="7A32BD03" w14:textId="77777777" w:rsidR="009F183C" w:rsidRDefault="00757AA1">
            <w:pPr>
              <w:numPr>
                <w:ilvl w:val="0"/>
                <w:numId w:val="22"/>
              </w:numPr>
              <w:rPr>
                <w:rFonts w:ascii="Palatino Linotype" w:hAnsi="Palatino Linotype" w:cs="Arial"/>
                <w:i/>
                <w:sz w:val="36"/>
                <w:szCs w:val="36"/>
              </w:rPr>
            </w:pPr>
            <w:r>
              <w:rPr>
                <w:rFonts w:ascii="Palatino Linotype" w:hAnsi="Palatino Linotype" w:cs="Arial"/>
                <w:i/>
                <w:sz w:val="36"/>
                <w:szCs w:val="36"/>
              </w:rPr>
              <w:t xml:space="preserve">sullo schema di rendiconto </w:t>
            </w:r>
          </w:p>
        </w:tc>
        <w:tc>
          <w:tcPr>
            <w:tcW w:w="3757" w:type="dxa"/>
            <w:tcBorders>
              <w:left w:val="single" w:sz="18" w:space="0" w:color="808080"/>
              <w:bottom w:val="single" w:sz="18" w:space="0" w:color="808080"/>
            </w:tcBorders>
            <w:vAlign w:val="center"/>
          </w:tcPr>
          <w:p w14:paraId="078A14CE" w14:textId="77777777" w:rsidR="009F183C" w:rsidRDefault="00757AA1">
            <w:pPr>
              <w:pStyle w:val="Nessunaspaziatura"/>
              <w:jc w:val="center"/>
              <w:rPr>
                <w:rFonts w:ascii="Palatino Linotype" w:hAnsi="Palatino Linotype"/>
                <w:sz w:val="100"/>
                <w:szCs w:val="100"/>
              </w:rPr>
            </w:pPr>
            <w:r>
              <w:rPr>
                <w:rFonts w:ascii="Palatino Linotype" w:hAnsi="Palatino Linotype"/>
                <w:sz w:val="100"/>
                <w:szCs w:val="100"/>
              </w:rPr>
              <w:t>anno</w:t>
            </w:r>
          </w:p>
          <w:p w14:paraId="574CC7ED" w14:textId="77777777" w:rsidR="009F183C" w:rsidRDefault="00757AA1">
            <w:pPr>
              <w:pStyle w:val="Nessunaspaziatura"/>
              <w:jc w:val="center"/>
              <w:rPr>
                <w:rFonts w:ascii="Palatino Linotype" w:hAnsi="Palatino Linotype"/>
                <w:color w:val="4F81BD"/>
                <w:sz w:val="100"/>
                <w:szCs w:val="100"/>
                <w:lang w:eastAsia="it-IT"/>
              </w:rPr>
            </w:pPr>
            <w:r>
              <w:rPr>
                <w:rFonts w:ascii="Palatino Linotype" w:hAnsi="Palatino Linotype"/>
                <w:sz w:val="100"/>
                <w:szCs w:val="100"/>
              </w:rPr>
              <w:t>2017</w:t>
            </w:r>
          </w:p>
        </w:tc>
      </w:tr>
    </w:tbl>
    <w:p w14:paraId="5C4276AD" w14:textId="77777777" w:rsidR="009F183C" w:rsidRDefault="009F183C"/>
    <w:p w14:paraId="7CCFC43A" w14:textId="77777777" w:rsidR="009F183C" w:rsidRDefault="009F183C">
      <w:pPr>
        <w:jc w:val="center"/>
        <w:rPr>
          <w:rFonts w:ascii="Garamond" w:hAnsi="Garamond"/>
          <w:b/>
          <w:sz w:val="24"/>
        </w:rPr>
      </w:pPr>
    </w:p>
    <w:p w14:paraId="49A7EF2A" w14:textId="77777777" w:rsidR="009F183C" w:rsidRDefault="009F183C">
      <w:pPr>
        <w:jc w:val="center"/>
        <w:rPr>
          <w:rFonts w:ascii="Garamond" w:hAnsi="Garamond"/>
          <w:b/>
          <w:sz w:val="24"/>
        </w:rPr>
      </w:pPr>
    </w:p>
    <w:p w14:paraId="4A8EEF1B" w14:textId="77777777" w:rsidR="009F183C" w:rsidRDefault="00757AA1">
      <w:pPr>
        <w:pStyle w:val="Titolo"/>
        <w:framePr w:hSpace="187" w:wrap="auto" w:vAnchor="text" w:hAnchor="page" w:x="1299" w:y="527"/>
        <w:ind w:left="4536"/>
        <w:rPr>
          <w:rFonts w:ascii="Garamond" w:hAnsi="Garamond"/>
          <w:b w:val="0"/>
          <w:sz w:val="24"/>
        </w:rPr>
      </w:pPr>
      <w:r>
        <w:rPr>
          <w:rFonts w:ascii="Garamond" w:hAnsi="Garamond"/>
          <w:b w:val="0"/>
          <w:sz w:val="24"/>
        </w:rPr>
        <w:t>L’ORGANO DI REVISIONE</w:t>
      </w:r>
    </w:p>
    <w:p w14:paraId="6877B845" w14:textId="77777777" w:rsidR="009F183C" w:rsidRDefault="00757AA1">
      <w:pPr>
        <w:pStyle w:val="Titolo"/>
        <w:framePr w:hSpace="187" w:wrap="auto" w:vAnchor="text" w:hAnchor="page" w:x="1299" w:y="527"/>
        <w:ind w:left="4536"/>
        <w:rPr>
          <w:rFonts w:ascii="Garamond" w:hAnsi="Garamond"/>
          <w:b w:val="0"/>
          <w:sz w:val="24"/>
        </w:rPr>
      </w:pPr>
      <w:r>
        <w:rPr>
          <w:rFonts w:ascii="Garamond" w:hAnsi="Garamond"/>
          <w:b w:val="0"/>
          <w:sz w:val="24"/>
        </w:rPr>
        <w:t>_________________</w:t>
      </w:r>
    </w:p>
    <w:p w14:paraId="53E52A9F" w14:textId="77777777" w:rsidR="009F183C" w:rsidRDefault="00757AA1">
      <w:pPr>
        <w:pStyle w:val="Titolo"/>
        <w:framePr w:hSpace="187" w:wrap="auto" w:vAnchor="text" w:hAnchor="page" w:x="1299" w:y="527"/>
        <w:ind w:left="4536"/>
        <w:rPr>
          <w:rFonts w:ascii="Garamond" w:hAnsi="Garamond"/>
          <w:b w:val="0"/>
          <w:sz w:val="24"/>
        </w:rPr>
      </w:pPr>
      <w:r>
        <w:rPr>
          <w:rFonts w:ascii="Garamond" w:hAnsi="Garamond"/>
          <w:b w:val="0"/>
          <w:sz w:val="24"/>
        </w:rPr>
        <w:t>_________________</w:t>
      </w:r>
    </w:p>
    <w:p w14:paraId="19A103C2" w14:textId="77777777" w:rsidR="009F183C" w:rsidRDefault="00757AA1">
      <w:pPr>
        <w:pStyle w:val="Titolo"/>
        <w:framePr w:hSpace="187" w:wrap="auto" w:vAnchor="text" w:hAnchor="page" w:x="1299" w:y="527"/>
        <w:ind w:left="4536"/>
        <w:rPr>
          <w:rFonts w:ascii="Garamond" w:hAnsi="Garamond"/>
          <w:b w:val="0"/>
          <w:sz w:val="24"/>
        </w:rPr>
      </w:pPr>
      <w:r>
        <w:rPr>
          <w:rFonts w:ascii="Garamond" w:hAnsi="Garamond"/>
          <w:b w:val="0"/>
          <w:sz w:val="24"/>
        </w:rPr>
        <w:t>_________________</w:t>
      </w:r>
    </w:p>
    <w:p w14:paraId="5119F5D4" w14:textId="77777777" w:rsidR="009F183C" w:rsidRDefault="00757AA1">
      <w:pPr>
        <w:widowControl/>
        <w:overflowPunct/>
        <w:autoSpaceDE/>
        <w:autoSpaceDN/>
        <w:adjustRightInd/>
        <w:spacing w:after="0"/>
        <w:jc w:val="left"/>
        <w:textAlignment w:val="auto"/>
      </w:pPr>
      <w:r>
        <w:br w:type="page"/>
      </w:r>
    </w:p>
    <w:sdt>
      <w:sdtPr>
        <w:rPr>
          <w:rFonts w:ascii="Arial" w:eastAsia="Times New Roman" w:hAnsi="Arial" w:cs="Times New Roman"/>
          <w:color w:val="auto"/>
          <w:sz w:val="22"/>
          <w:szCs w:val="20"/>
        </w:rPr>
        <w:id w:val="-1102723575"/>
        <w:docPartObj>
          <w:docPartGallery w:val="Table of Contents"/>
          <w:docPartUnique/>
        </w:docPartObj>
      </w:sdtPr>
      <w:sdtEndPr>
        <w:rPr>
          <w:b/>
          <w:bCs/>
        </w:rPr>
      </w:sdtEndPr>
      <w:sdtContent>
        <w:p w14:paraId="6BF8A360" w14:textId="77777777" w:rsidR="009F183C" w:rsidRDefault="00757AA1">
          <w:pPr>
            <w:pStyle w:val="Titolosommario"/>
          </w:pPr>
          <w:r>
            <w:t>Sommario</w:t>
          </w:r>
        </w:p>
        <w:p w14:paraId="2DD57741" w14:textId="77777777" w:rsidR="00766AA6" w:rsidRDefault="00757AA1">
          <w:pPr>
            <w:pStyle w:val="Sommario1"/>
            <w:tabs>
              <w:tab w:val="right" w:leader="dot" w:pos="8637"/>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507691934" w:history="1">
            <w:r w:rsidR="00766AA6" w:rsidRPr="002968F9">
              <w:rPr>
                <w:rStyle w:val="Collegamentoipertestuale"/>
                <w:noProof/>
              </w:rPr>
              <w:t>INTRODUZIONE</w:t>
            </w:r>
            <w:r w:rsidR="00766AA6">
              <w:rPr>
                <w:noProof/>
                <w:webHidden/>
              </w:rPr>
              <w:tab/>
            </w:r>
            <w:r w:rsidR="00766AA6">
              <w:rPr>
                <w:noProof/>
                <w:webHidden/>
              </w:rPr>
              <w:fldChar w:fldCharType="begin"/>
            </w:r>
            <w:r w:rsidR="00766AA6">
              <w:rPr>
                <w:noProof/>
                <w:webHidden/>
              </w:rPr>
              <w:instrText xml:space="preserve"> PAGEREF _Toc507691934 \h </w:instrText>
            </w:r>
            <w:r w:rsidR="00766AA6">
              <w:rPr>
                <w:noProof/>
                <w:webHidden/>
              </w:rPr>
            </w:r>
            <w:r w:rsidR="00766AA6">
              <w:rPr>
                <w:noProof/>
                <w:webHidden/>
              </w:rPr>
              <w:fldChar w:fldCharType="separate"/>
            </w:r>
            <w:r w:rsidR="00CC268C">
              <w:rPr>
                <w:noProof/>
                <w:webHidden/>
              </w:rPr>
              <w:t>6</w:t>
            </w:r>
            <w:r w:rsidR="00766AA6">
              <w:rPr>
                <w:noProof/>
                <w:webHidden/>
              </w:rPr>
              <w:fldChar w:fldCharType="end"/>
            </w:r>
          </w:hyperlink>
        </w:p>
        <w:p w14:paraId="714CBF91" w14:textId="77777777" w:rsidR="00766AA6" w:rsidRDefault="00000000">
          <w:pPr>
            <w:pStyle w:val="Sommario1"/>
            <w:tabs>
              <w:tab w:val="right" w:leader="dot" w:pos="8637"/>
            </w:tabs>
            <w:rPr>
              <w:rFonts w:asciiTheme="minorHAnsi" w:eastAsiaTheme="minorEastAsia" w:hAnsiTheme="minorHAnsi" w:cstheme="minorBidi"/>
              <w:noProof/>
              <w:szCs w:val="22"/>
            </w:rPr>
          </w:pPr>
          <w:hyperlink w:anchor="_Toc507691935" w:history="1">
            <w:r w:rsidR="00766AA6" w:rsidRPr="002968F9">
              <w:rPr>
                <w:rStyle w:val="Collegamentoipertestuale"/>
                <w:noProof/>
              </w:rPr>
              <w:t>CONTO DEL BILANCIO</w:t>
            </w:r>
            <w:r w:rsidR="00766AA6">
              <w:rPr>
                <w:noProof/>
                <w:webHidden/>
              </w:rPr>
              <w:tab/>
            </w:r>
            <w:r w:rsidR="00766AA6">
              <w:rPr>
                <w:noProof/>
                <w:webHidden/>
              </w:rPr>
              <w:fldChar w:fldCharType="begin"/>
            </w:r>
            <w:r w:rsidR="00766AA6">
              <w:rPr>
                <w:noProof/>
                <w:webHidden/>
              </w:rPr>
              <w:instrText xml:space="preserve"> PAGEREF _Toc507691935 \h </w:instrText>
            </w:r>
            <w:r w:rsidR="00766AA6">
              <w:rPr>
                <w:noProof/>
                <w:webHidden/>
              </w:rPr>
            </w:r>
            <w:r w:rsidR="00766AA6">
              <w:rPr>
                <w:noProof/>
                <w:webHidden/>
              </w:rPr>
              <w:fldChar w:fldCharType="separate"/>
            </w:r>
            <w:r w:rsidR="00CC268C">
              <w:rPr>
                <w:noProof/>
                <w:webHidden/>
              </w:rPr>
              <w:t>8</w:t>
            </w:r>
            <w:r w:rsidR="00766AA6">
              <w:rPr>
                <w:noProof/>
                <w:webHidden/>
              </w:rPr>
              <w:fldChar w:fldCharType="end"/>
            </w:r>
          </w:hyperlink>
        </w:p>
        <w:p w14:paraId="285E1E68" w14:textId="77777777" w:rsidR="00766AA6" w:rsidRDefault="00000000">
          <w:pPr>
            <w:pStyle w:val="Sommario2"/>
            <w:rPr>
              <w:rFonts w:asciiTheme="minorHAnsi" w:eastAsiaTheme="minorEastAsia" w:hAnsiTheme="minorHAnsi" w:cstheme="minorBidi"/>
              <w:szCs w:val="22"/>
            </w:rPr>
          </w:pPr>
          <w:hyperlink w:anchor="_Toc507691936" w:history="1">
            <w:r w:rsidR="00766AA6" w:rsidRPr="002968F9">
              <w:rPr>
                <w:rStyle w:val="Collegamentoipertestuale"/>
              </w:rPr>
              <w:t>Verifiche preliminari</w:t>
            </w:r>
            <w:r w:rsidR="00766AA6">
              <w:rPr>
                <w:webHidden/>
              </w:rPr>
              <w:tab/>
            </w:r>
            <w:r w:rsidR="00766AA6">
              <w:rPr>
                <w:webHidden/>
              </w:rPr>
              <w:fldChar w:fldCharType="begin"/>
            </w:r>
            <w:r w:rsidR="00766AA6">
              <w:rPr>
                <w:webHidden/>
              </w:rPr>
              <w:instrText xml:space="preserve"> PAGEREF _Toc507691936 \h </w:instrText>
            </w:r>
            <w:r w:rsidR="00766AA6">
              <w:rPr>
                <w:webHidden/>
              </w:rPr>
            </w:r>
            <w:r w:rsidR="00766AA6">
              <w:rPr>
                <w:webHidden/>
              </w:rPr>
              <w:fldChar w:fldCharType="separate"/>
            </w:r>
            <w:r w:rsidR="00CC268C">
              <w:rPr>
                <w:webHidden/>
              </w:rPr>
              <w:t>8</w:t>
            </w:r>
            <w:r w:rsidR="00766AA6">
              <w:rPr>
                <w:webHidden/>
              </w:rPr>
              <w:fldChar w:fldCharType="end"/>
            </w:r>
          </w:hyperlink>
        </w:p>
        <w:p w14:paraId="3DC131A8" w14:textId="77777777" w:rsidR="00766AA6" w:rsidRDefault="00000000">
          <w:pPr>
            <w:pStyle w:val="Sommario2"/>
            <w:rPr>
              <w:rFonts w:asciiTheme="minorHAnsi" w:eastAsiaTheme="minorEastAsia" w:hAnsiTheme="minorHAnsi" w:cstheme="minorBidi"/>
              <w:szCs w:val="22"/>
            </w:rPr>
          </w:pPr>
          <w:hyperlink w:anchor="_Toc507691937" w:history="1">
            <w:r w:rsidR="00766AA6" w:rsidRPr="002968F9">
              <w:rPr>
                <w:rStyle w:val="Collegamentoipertestuale"/>
              </w:rPr>
              <w:t>Gestione Finanziaria</w:t>
            </w:r>
            <w:r w:rsidR="00766AA6">
              <w:rPr>
                <w:webHidden/>
              </w:rPr>
              <w:tab/>
            </w:r>
            <w:r w:rsidR="00766AA6">
              <w:rPr>
                <w:webHidden/>
              </w:rPr>
              <w:fldChar w:fldCharType="begin"/>
            </w:r>
            <w:r w:rsidR="00766AA6">
              <w:rPr>
                <w:webHidden/>
              </w:rPr>
              <w:instrText xml:space="preserve"> PAGEREF _Toc507691937 \h </w:instrText>
            </w:r>
            <w:r w:rsidR="00766AA6">
              <w:rPr>
                <w:webHidden/>
              </w:rPr>
            </w:r>
            <w:r w:rsidR="00766AA6">
              <w:rPr>
                <w:webHidden/>
              </w:rPr>
              <w:fldChar w:fldCharType="separate"/>
            </w:r>
            <w:r w:rsidR="00CC268C">
              <w:rPr>
                <w:webHidden/>
              </w:rPr>
              <w:t>9</w:t>
            </w:r>
            <w:r w:rsidR="00766AA6">
              <w:rPr>
                <w:webHidden/>
              </w:rPr>
              <w:fldChar w:fldCharType="end"/>
            </w:r>
          </w:hyperlink>
        </w:p>
        <w:p w14:paraId="379AC483" w14:textId="77777777" w:rsidR="00766AA6" w:rsidRDefault="00000000">
          <w:pPr>
            <w:pStyle w:val="Sommario2"/>
            <w:rPr>
              <w:rFonts w:asciiTheme="minorHAnsi" w:eastAsiaTheme="minorEastAsia" w:hAnsiTheme="minorHAnsi" w:cstheme="minorBidi"/>
              <w:szCs w:val="22"/>
            </w:rPr>
          </w:pPr>
          <w:hyperlink w:anchor="_Toc507691938" w:history="1">
            <w:r w:rsidR="00766AA6" w:rsidRPr="002968F9">
              <w:rPr>
                <w:rStyle w:val="Collegamentoipertestuale"/>
              </w:rPr>
              <w:t>Risultati della gestione</w:t>
            </w:r>
            <w:r w:rsidR="00766AA6">
              <w:rPr>
                <w:webHidden/>
              </w:rPr>
              <w:tab/>
            </w:r>
            <w:r w:rsidR="00766AA6">
              <w:rPr>
                <w:webHidden/>
              </w:rPr>
              <w:fldChar w:fldCharType="begin"/>
            </w:r>
            <w:r w:rsidR="00766AA6">
              <w:rPr>
                <w:webHidden/>
              </w:rPr>
              <w:instrText xml:space="preserve"> PAGEREF _Toc507691938 \h </w:instrText>
            </w:r>
            <w:r w:rsidR="00766AA6">
              <w:rPr>
                <w:webHidden/>
              </w:rPr>
            </w:r>
            <w:r w:rsidR="00766AA6">
              <w:rPr>
                <w:webHidden/>
              </w:rPr>
              <w:fldChar w:fldCharType="separate"/>
            </w:r>
            <w:r w:rsidR="00CC268C">
              <w:rPr>
                <w:webHidden/>
              </w:rPr>
              <w:t>9</w:t>
            </w:r>
            <w:r w:rsidR="00766AA6">
              <w:rPr>
                <w:webHidden/>
              </w:rPr>
              <w:fldChar w:fldCharType="end"/>
            </w:r>
          </w:hyperlink>
        </w:p>
        <w:p w14:paraId="47719E32" w14:textId="77777777" w:rsidR="00766AA6" w:rsidRDefault="00000000" w:rsidP="00EF15C6">
          <w:pPr>
            <w:pStyle w:val="Sommario3"/>
            <w:tabs>
              <w:tab w:val="right" w:leader="dot" w:pos="8637"/>
            </w:tabs>
            <w:ind w:left="0"/>
            <w:rPr>
              <w:rFonts w:asciiTheme="minorHAnsi" w:eastAsiaTheme="minorEastAsia" w:hAnsiTheme="minorHAnsi" w:cstheme="minorBidi"/>
              <w:noProof/>
              <w:szCs w:val="22"/>
            </w:rPr>
          </w:pPr>
          <w:hyperlink w:anchor="_Toc507691939" w:history="1">
            <w:r w:rsidR="00766AA6" w:rsidRPr="002968F9">
              <w:rPr>
                <w:rStyle w:val="Collegamentoipertestuale"/>
                <w:noProof/>
              </w:rPr>
              <w:t>Fondo di cassa</w:t>
            </w:r>
            <w:r w:rsidR="00766AA6">
              <w:rPr>
                <w:noProof/>
                <w:webHidden/>
              </w:rPr>
              <w:tab/>
            </w:r>
            <w:r w:rsidR="00766AA6">
              <w:rPr>
                <w:noProof/>
                <w:webHidden/>
              </w:rPr>
              <w:fldChar w:fldCharType="begin"/>
            </w:r>
            <w:r w:rsidR="00766AA6">
              <w:rPr>
                <w:noProof/>
                <w:webHidden/>
              </w:rPr>
              <w:instrText xml:space="preserve"> PAGEREF _Toc507691939 \h </w:instrText>
            </w:r>
            <w:r w:rsidR="00766AA6">
              <w:rPr>
                <w:noProof/>
                <w:webHidden/>
              </w:rPr>
            </w:r>
            <w:r w:rsidR="00766AA6">
              <w:rPr>
                <w:noProof/>
                <w:webHidden/>
              </w:rPr>
              <w:fldChar w:fldCharType="separate"/>
            </w:r>
            <w:r w:rsidR="00CC268C">
              <w:rPr>
                <w:noProof/>
                <w:webHidden/>
              </w:rPr>
              <w:t>9</w:t>
            </w:r>
            <w:r w:rsidR="00766AA6">
              <w:rPr>
                <w:noProof/>
                <w:webHidden/>
              </w:rPr>
              <w:fldChar w:fldCharType="end"/>
            </w:r>
          </w:hyperlink>
        </w:p>
        <w:p w14:paraId="6CCEBE60" w14:textId="77777777" w:rsidR="00766AA6" w:rsidRDefault="00000000" w:rsidP="00EF15C6">
          <w:pPr>
            <w:pStyle w:val="Sommario3"/>
            <w:tabs>
              <w:tab w:val="right" w:leader="dot" w:pos="8637"/>
            </w:tabs>
            <w:ind w:left="0"/>
            <w:rPr>
              <w:rFonts w:asciiTheme="minorHAnsi" w:eastAsiaTheme="minorEastAsia" w:hAnsiTheme="minorHAnsi" w:cstheme="minorBidi"/>
              <w:noProof/>
              <w:szCs w:val="22"/>
            </w:rPr>
          </w:pPr>
          <w:hyperlink w:anchor="_Toc507691940" w:history="1">
            <w:r w:rsidR="00766AA6" w:rsidRPr="002968F9">
              <w:rPr>
                <w:rStyle w:val="Collegamentoipertestuale"/>
                <w:noProof/>
              </w:rPr>
              <w:t>Risultato della gestione di competenza</w:t>
            </w:r>
            <w:r w:rsidR="00766AA6">
              <w:rPr>
                <w:noProof/>
                <w:webHidden/>
              </w:rPr>
              <w:tab/>
            </w:r>
            <w:r w:rsidR="00766AA6">
              <w:rPr>
                <w:noProof/>
                <w:webHidden/>
              </w:rPr>
              <w:fldChar w:fldCharType="begin"/>
            </w:r>
            <w:r w:rsidR="00766AA6">
              <w:rPr>
                <w:noProof/>
                <w:webHidden/>
              </w:rPr>
              <w:instrText xml:space="preserve"> PAGEREF _Toc507691940 \h </w:instrText>
            </w:r>
            <w:r w:rsidR="00766AA6">
              <w:rPr>
                <w:noProof/>
                <w:webHidden/>
              </w:rPr>
            </w:r>
            <w:r w:rsidR="00766AA6">
              <w:rPr>
                <w:noProof/>
                <w:webHidden/>
              </w:rPr>
              <w:fldChar w:fldCharType="separate"/>
            </w:r>
            <w:r w:rsidR="00CC268C">
              <w:rPr>
                <w:noProof/>
                <w:webHidden/>
              </w:rPr>
              <w:t>11</w:t>
            </w:r>
            <w:r w:rsidR="00766AA6">
              <w:rPr>
                <w:noProof/>
                <w:webHidden/>
              </w:rPr>
              <w:fldChar w:fldCharType="end"/>
            </w:r>
          </w:hyperlink>
        </w:p>
        <w:p w14:paraId="526A5D63" w14:textId="77777777" w:rsidR="00766AA6" w:rsidRDefault="00000000" w:rsidP="00EF15C6">
          <w:pPr>
            <w:pStyle w:val="Sommario3"/>
            <w:tabs>
              <w:tab w:val="right" w:leader="dot" w:pos="8637"/>
            </w:tabs>
            <w:ind w:left="0"/>
            <w:rPr>
              <w:rFonts w:asciiTheme="minorHAnsi" w:eastAsiaTheme="minorEastAsia" w:hAnsiTheme="minorHAnsi" w:cstheme="minorBidi"/>
              <w:noProof/>
              <w:szCs w:val="22"/>
            </w:rPr>
          </w:pPr>
          <w:hyperlink w:anchor="_Toc507691941" w:history="1">
            <w:r w:rsidR="00766AA6" w:rsidRPr="002968F9">
              <w:rPr>
                <w:rStyle w:val="Collegamentoipertestuale"/>
                <w:noProof/>
              </w:rPr>
              <w:t>Risultato di amministrazione</w:t>
            </w:r>
            <w:r w:rsidR="00766AA6">
              <w:rPr>
                <w:noProof/>
                <w:webHidden/>
              </w:rPr>
              <w:tab/>
            </w:r>
            <w:r w:rsidR="00766AA6">
              <w:rPr>
                <w:noProof/>
                <w:webHidden/>
              </w:rPr>
              <w:fldChar w:fldCharType="begin"/>
            </w:r>
            <w:r w:rsidR="00766AA6">
              <w:rPr>
                <w:noProof/>
                <w:webHidden/>
              </w:rPr>
              <w:instrText xml:space="preserve"> PAGEREF _Toc507691941 \h </w:instrText>
            </w:r>
            <w:r w:rsidR="00766AA6">
              <w:rPr>
                <w:noProof/>
                <w:webHidden/>
              </w:rPr>
            </w:r>
            <w:r w:rsidR="00766AA6">
              <w:rPr>
                <w:noProof/>
                <w:webHidden/>
              </w:rPr>
              <w:fldChar w:fldCharType="separate"/>
            </w:r>
            <w:r w:rsidR="00CC268C">
              <w:rPr>
                <w:noProof/>
                <w:webHidden/>
              </w:rPr>
              <w:t>17</w:t>
            </w:r>
            <w:r w:rsidR="00766AA6">
              <w:rPr>
                <w:noProof/>
                <w:webHidden/>
              </w:rPr>
              <w:fldChar w:fldCharType="end"/>
            </w:r>
          </w:hyperlink>
        </w:p>
        <w:p w14:paraId="558D8A30" w14:textId="77777777" w:rsidR="00766AA6" w:rsidRDefault="00000000">
          <w:pPr>
            <w:pStyle w:val="Sommario1"/>
            <w:tabs>
              <w:tab w:val="right" w:leader="dot" w:pos="8637"/>
            </w:tabs>
            <w:rPr>
              <w:rFonts w:asciiTheme="minorHAnsi" w:eastAsiaTheme="minorEastAsia" w:hAnsiTheme="minorHAnsi" w:cstheme="minorBidi"/>
              <w:noProof/>
              <w:szCs w:val="22"/>
            </w:rPr>
          </w:pPr>
          <w:hyperlink w:anchor="_Toc507691942" w:history="1">
            <w:r w:rsidR="00766AA6" w:rsidRPr="002968F9">
              <w:rPr>
                <w:rStyle w:val="Collegamentoipertestuale"/>
                <w:noProof/>
              </w:rPr>
              <w:t>VERIFICA CONGRUITA’ FONDI</w:t>
            </w:r>
            <w:r w:rsidR="00766AA6">
              <w:rPr>
                <w:noProof/>
                <w:webHidden/>
              </w:rPr>
              <w:tab/>
            </w:r>
            <w:r w:rsidR="00766AA6">
              <w:rPr>
                <w:noProof/>
                <w:webHidden/>
              </w:rPr>
              <w:fldChar w:fldCharType="begin"/>
            </w:r>
            <w:r w:rsidR="00766AA6">
              <w:rPr>
                <w:noProof/>
                <w:webHidden/>
              </w:rPr>
              <w:instrText xml:space="preserve"> PAGEREF _Toc507691942 \h </w:instrText>
            </w:r>
            <w:r w:rsidR="00766AA6">
              <w:rPr>
                <w:noProof/>
                <w:webHidden/>
              </w:rPr>
            </w:r>
            <w:r w:rsidR="00766AA6">
              <w:rPr>
                <w:noProof/>
                <w:webHidden/>
              </w:rPr>
              <w:fldChar w:fldCharType="separate"/>
            </w:r>
            <w:r w:rsidR="00CC268C">
              <w:rPr>
                <w:noProof/>
                <w:webHidden/>
              </w:rPr>
              <w:t>21</w:t>
            </w:r>
            <w:r w:rsidR="00766AA6">
              <w:rPr>
                <w:noProof/>
                <w:webHidden/>
              </w:rPr>
              <w:fldChar w:fldCharType="end"/>
            </w:r>
          </w:hyperlink>
        </w:p>
        <w:p w14:paraId="31FB2A81" w14:textId="77777777" w:rsidR="00766AA6" w:rsidRDefault="00000000">
          <w:pPr>
            <w:pStyle w:val="Sommario2"/>
            <w:rPr>
              <w:rFonts w:asciiTheme="minorHAnsi" w:eastAsiaTheme="minorEastAsia" w:hAnsiTheme="minorHAnsi" w:cstheme="minorBidi"/>
              <w:szCs w:val="22"/>
            </w:rPr>
          </w:pPr>
          <w:hyperlink w:anchor="_Toc507691943" w:history="1">
            <w:r w:rsidR="00766AA6" w:rsidRPr="002968F9">
              <w:rPr>
                <w:rStyle w:val="Collegamentoipertestuale"/>
              </w:rPr>
              <w:t>Fondo Pluriennale vincolato</w:t>
            </w:r>
            <w:r w:rsidR="00766AA6">
              <w:rPr>
                <w:webHidden/>
              </w:rPr>
              <w:tab/>
            </w:r>
            <w:r w:rsidR="00766AA6">
              <w:rPr>
                <w:webHidden/>
              </w:rPr>
              <w:fldChar w:fldCharType="begin"/>
            </w:r>
            <w:r w:rsidR="00766AA6">
              <w:rPr>
                <w:webHidden/>
              </w:rPr>
              <w:instrText xml:space="preserve"> PAGEREF _Toc507691943 \h </w:instrText>
            </w:r>
            <w:r w:rsidR="00766AA6">
              <w:rPr>
                <w:webHidden/>
              </w:rPr>
            </w:r>
            <w:r w:rsidR="00766AA6">
              <w:rPr>
                <w:webHidden/>
              </w:rPr>
              <w:fldChar w:fldCharType="separate"/>
            </w:r>
            <w:r w:rsidR="00CC268C">
              <w:rPr>
                <w:webHidden/>
              </w:rPr>
              <w:t>21</w:t>
            </w:r>
            <w:r w:rsidR="00766AA6">
              <w:rPr>
                <w:webHidden/>
              </w:rPr>
              <w:fldChar w:fldCharType="end"/>
            </w:r>
          </w:hyperlink>
        </w:p>
        <w:p w14:paraId="0B9A7341" w14:textId="77777777" w:rsidR="00766AA6" w:rsidRDefault="00000000">
          <w:pPr>
            <w:pStyle w:val="Sommario2"/>
            <w:rPr>
              <w:rFonts w:asciiTheme="minorHAnsi" w:eastAsiaTheme="minorEastAsia" w:hAnsiTheme="minorHAnsi" w:cstheme="minorBidi"/>
              <w:szCs w:val="22"/>
            </w:rPr>
          </w:pPr>
          <w:hyperlink w:anchor="_Toc507691944" w:history="1">
            <w:r w:rsidR="00766AA6" w:rsidRPr="002968F9">
              <w:rPr>
                <w:rStyle w:val="Collegamentoipertestuale"/>
              </w:rPr>
              <w:t>Fondo crediti di dubbia esigibilità</w:t>
            </w:r>
            <w:r w:rsidR="00766AA6">
              <w:rPr>
                <w:webHidden/>
              </w:rPr>
              <w:tab/>
            </w:r>
            <w:r w:rsidR="00766AA6">
              <w:rPr>
                <w:webHidden/>
              </w:rPr>
              <w:fldChar w:fldCharType="begin"/>
            </w:r>
            <w:r w:rsidR="00766AA6">
              <w:rPr>
                <w:webHidden/>
              </w:rPr>
              <w:instrText xml:space="preserve"> PAGEREF _Toc507691944 \h </w:instrText>
            </w:r>
            <w:r w:rsidR="00766AA6">
              <w:rPr>
                <w:webHidden/>
              </w:rPr>
            </w:r>
            <w:r w:rsidR="00766AA6">
              <w:rPr>
                <w:webHidden/>
              </w:rPr>
              <w:fldChar w:fldCharType="separate"/>
            </w:r>
            <w:r w:rsidR="00CC268C">
              <w:rPr>
                <w:webHidden/>
              </w:rPr>
              <w:t>22</w:t>
            </w:r>
            <w:r w:rsidR="00766AA6">
              <w:rPr>
                <w:webHidden/>
              </w:rPr>
              <w:fldChar w:fldCharType="end"/>
            </w:r>
          </w:hyperlink>
        </w:p>
        <w:p w14:paraId="3F4436AA" w14:textId="77777777" w:rsidR="00766AA6" w:rsidRDefault="00000000">
          <w:pPr>
            <w:pStyle w:val="Sommario2"/>
            <w:rPr>
              <w:rFonts w:asciiTheme="minorHAnsi" w:eastAsiaTheme="minorEastAsia" w:hAnsiTheme="minorHAnsi" w:cstheme="minorBidi"/>
              <w:szCs w:val="22"/>
            </w:rPr>
          </w:pPr>
          <w:hyperlink w:anchor="_Toc507691945" w:history="1">
            <w:r w:rsidR="00766AA6" w:rsidRPr="002968F9">
              <w:rPr>
                <w:rStyle w:val="Collegamentoipertestuale"/>
              </w:rPr>
              <w:t>Fondi spese e rischi futuri</w:t>
            </w:r>
            <w:r w:rsidR="00766AA6">
              <w:rPr>
                <w:webHidden/>
              </w:rPr>
              <w:tab/>
            </w:r>
            <w:r w:rsidR="00766AA6">
              <w:rPr>
                <w:webHidden/>
              </w:rPr>
              <w:fldChar w:fldCharType="begin"/>
            </w:r>
            <w:r w:rsidR="00766AA6">
              <w:rPr>
                <w:webHidden/>
              </w:rPr>
              <w:instrText xml:space="preserve"> PAGEREF _Toc507691945 \h </w:instrText>
            </w:r>
            <w:r w:rsidR="00766AA6">
              <w:rPr>
                <w:webHidden/>
              </w:rPr>
            </w:r>
            <w:r w:rsidR="00766AA6">
              <w:rPr>
                <w:webHidden/>
              </w:rPr>
              <w:fldChar w:fldCharType="separate"/>
            </w:r>
            <w:r w:rsidR="00CC268C">
              <w:rPr>
                <w:webHidden/>
              </w:rPr>
              <w:t>23</w:t>
            </w:r>
            <w:r w:rsidR="00766AA6">
              <w:rPr>
                <w:webHidden/>
              </w:rPr>
              <w:fldChar w:fldCharType="end"/>
            </w:r>
          </w:hyperlink>
        </w:p>
        <w:p w14:paraId="36F1FE7C" w14:textId="77777777" w:rsidR="00766AA6" w:rsidRDefault="00000000">
          <w:pPr>
            <w:pStyle w:val="Sommario1"/>
            <w:tabs>
              <w:tab w:val="right" w:leader="dot" w:pos="8637"/>
            </w:tabs>
            <w:rPr>
              <w:rFonts w:asciiTheme="minorHAnsi" w:eastAsiaTheme="minorEastAsia" w:hAnsiTheme="minorHAnsi" w:cstheme="minorBidi"/>
              <w:noProof/>
              <w:szCs w:val="22"/>
            </w:rPr>
          </w:pPr>
          <w:hyperlink w:anchor="_Toc507691946" w:history="1">
            <w:r w:rsidR="00766AA6" w:rsidRPr="002968F9">
              <w:rPr>
                <w:rStyle w:val="Collegamentoipertestuale"/>
                <w:noProof/>
              </w:rPr>
              <w:t>VERIFICA OBIETTIVI DI FINANZA PUBBLICA</w:t>
            </w:r>
            <w:r w:rsidR="00766AA6">
              <w:rPr>
                <w:noProof/>
                <w:webHidden/>
              </w:rPr>
              <w:tab/>
            </w:r>
            <w:r w:rsidR="00766AA6">
              <w:rPr>
                <w:noProof/>
                <w:webHidden/>
              </w:rPr>
              <w:fldChar w:fldCharType="begin"/>
            </w:r>
            <w:r w:rsidR="00766AA6">
              <w:rPr>
                <w:noProof/>
                <w:webHidden/>
              </w:rPr>
              <w:instrText xml:space="preserve"> PAGEREF _Toc507691946 \h </w:instrText>
            </w:r>
            <w:r w:rsidR="00766AA6">
              <w:rPr>
                <w:noProof/>
                <w:webHidden/>
              </w:rPr>
            </w:r>
            <w:r w:rsidR="00766AA6">
              <w:rPr>
                <w:noProof/>
                <w:webHidden/>
              </w:rPr>
              <w:fldChar w:fldCharType="separate"/>
            </w:r>
            <w:r w:rsidR="00CC268C">
              <w:rPr>
                <w:noProof/>
                <w:webHidden/>
              </w:rPr>
              <w:t>24</w:t>
            </w:r>
            <w:r w:rsidR="00766AA6">
              <w:rPr>
                <w:noProof/>
                <w:webHidden/>
              </w:rPr>
              <w:fldChar w:fldCharType="end"/>
            </w:r>
          </w:hyperlink>
        </w:p>
        <w:p w14:paraId="6E9F5832" w14:textId="77777777" w:rsidR="00766AA6" w:rsidRDefault="00000000">
          <w:pPr>
            <w:pStyle w:val="Sommario1"/>
            <w:tabs>
              <w:tab w:val="right" w:leader="dot" w:pos="8637"/>
            </w:tabs>
            <w:rPr>
              <w:rFonts w:asciiTheme="minorHAnsi" w:eastAsiaTheme="minorEastAsia" w:hAnsiTheme="minorHAnsi" w:cstheme="minorBidi"/>
              <w:noProof/>
              <w:szCs w:val="22"/>
            </w:rPr>
          </w:pPr>
          <w:hyperlink w:anchor="_Toc507691948" w:history="1">
            <w:r w:rsidR="00766AA6" w:rsidRPr="002968F9">
              <w:rPr>
                <w:rStyle w:val="Collegamentoipertestuale"/>
                <w:noProof/>
              </w:rPr>
              <w:t>VERIFICA RISPETTO VINCOLI IN MATERIA DI CONTENIMENTO DELLE SPESE</w:t>
            </w:r>
            <w:r w:rsidR="00766AA6">
              <w:rPr>
                <w:noProof/>
                <w:webHidden/>
              </w:rPr>
              <w:tab/>
            </w:r>
            <w:r w:rsidR="00766AA6">
              <w:rPr>
                <w:noProof/>
                <w:webHidden/>
              </w:rPr>
              <w:fldChar w:fldCharType="begin"/>
            </w:r>
            <w:r w:rsidR="00766AA6">
              <w:rPr>
                <w:noProof/>
                <w:webHidden/>
              </w:rPr>
              <w:instrText xml:space="preserve"> PAGEREF _Toc507691948 \h </w:instrText>
            </w:r>
            <w:r w:rsidR="00766AA6">
              <w:rPr>
                <w:noProof/>
                <w:webHidden/>
              </w:rPr>
            </w:r>
            <w:r w:rsidR="00766AA6">
              <w:rPr>
                <w:noProof/>
                <w:webHidden/>
              </w:rPr>
              <w:fldChar w:fldCharType="separate"/>
            </w:r>
            <w:r w:rsidR="00CC268C">
              <w:rPr>
                <w:noProof/>
                <w:webHidden/>
              </w:rPr>
              <w:t>33</w:t>
            </w:r>
            <w:r w:rsidR="00766AA6">
              <w:rPr>
                <w:noProof/>
                <w:webHidden/>
              </w:rPr>
              <w:fldChar w:fldCharType="end"/>
            </w:r>
          </w:hyperlink>
        </w:p>
        <w:p w14:paraId="72075E89" w14:textId="77777777" w:rsidR="00766AA6" w:rsidRDefault="00000000">
          <w:pPr>
            <w:pStyle w:val="Sommario1"/>
            <w:tabs>
              <w:tab w:val="right" w:leader="dot" w:pos="8637"/>
            </w:tabs>
            <w:rPr>
              <w:rFonts w:asciiTheme="minorHAnsi" w:eastAsiaTheme="minorEastAsia" w:hAnsiTheme="minorHAnsi" w:cstheme="minorBidi"/>
              <w:noProof/>
              <w:szCs w:val="22"/>
            </w:rPr>
          </w:pPr>
          <w:hyperlink w:anchor="_Toc507691949" w:history="1">
            <w:r w:rsidR="00766AA6" w:rsidRPr="002968F9">
              <w:rPr>
                <w:rStyle w:val="Collegamentoipertestuale"/>
                <w:noProof/>
              </w:rPr>
              <w:t>ANALISI INDEBITAMENTO E GESTIONE DEL DEBITO</w:t>
            </w:r>
            <w:r w:rsidR="00766AA6">
              <w:rPr>
                <w:noProof/>
                <w:webHidden/>
              </w:rPr>
              <w:tab/>
            </w:r>
            <w:r w:rsidR="00766AA6">
              <w:rPr>
                <w:noProof/>
                <w:webHidden/>
              </w:rPr>
              <w:fldChar w:fldCharType="begin"/>
            </w:r>
            <w:r w:rsidR="00766AA6">
              <w:rPr>
                <w:noProof/>
                <w:webHidden/>
              </w:rPr>
              <w:instrText xml:space="preserve"> PAGEREF _Toc507691949 \h </w:instrText>
            </w:r>
            <w:r w:rsidR="00766AA6">
              <w:rPr>
                <w:noProof/>
                <w:webHidden/>
              </w:rPr>
            </w:r>
            <w:r w:rsidR="00766AA6">
              <w:rPr>
                <w:noProof/>
                <w:webHidden/>
              </w:rPr>
              <w:fldChar w:fldCharType="separate"/>
            </w:r>
            <w:r w:rsidR="00CC268C">
              <w:rPr>
                <w:noProof/>
                <w:webHidden/>
              </w:rPr>
              <w:t>36</w:t>
            </w:r>
            <w:r w:rsidR="00766AA6">
              <w:rPr>
                <w:noProof/>
                <w:webHidden/>
              </w:rPr>
              <w:fldChar w:fldCharType="end"/>
            </w:r>
          </w:hyperlink>
        </w:p>
        <w:p w14:paraId="1FC2AF06" w14:textId="77777777" w:rsidR="00766AA6" w:rsidRDefault="00000000">
          <w:pPr>
            <w:pStyle w:val="Sommario1"/>
            <w:tabs>
              <w:tab w:val="right" w:leader="dot" w:pos="8637"/>
            </w:tabs>
            <w:rPr>
              <w:rFonts w:asciiTheme="minorHAnsi" w:eastAsiaTheme="minorEastAsia" w:hAnsiTheme="minorHAnsi" w:cstheme="minorBidi"/>
              <w:noProof/>
              <w:szCs w:val="22"/>
            </w:rPr>
          </w:pPr>
          <w:hyperlink w:anchor="_Toc507691950" w:history="1">
            <w:r w:rsidR="00766AA6" w:rsidRPr="002968F9">
              <w:rPr>
                <w:rStyle w:val="Collegamentoipertestuale"/>
                <w:noProof/>
              </w:rPr>
              <w:t>ANALISI DELLA GESTIONE DEI RESIDUI</w:t>
            </w:r>
            <w:r w:rsidR="00766AA6">
              <w:rPr>
                <w:noProof/>
                <w:webHidden/>
              </w:rPr>
              <w:tab/>
            </w:r>
            <w:r w:rsidR="00766AA6">
              <w:rPr>
                <w:noProof/>
                <w:webHidden/>
              </w:rPr>
              <w:fldChar w:fldCharType="begin"/>
            </w:r>
            <w:r w:rsidR="00766AA6">
              <w:rPr>
                <w:noProof/>
                <w:webHidden/>
              </w:rPr>
              <w:instrText xml:space="preserve"> PAGEREF _Toc507691950 \h </w:instrText>
            </w:r>
            <w:r w:rsidR="00766AA6">
              <w:rPr>
                <w:noProof/>
                <w:webHidden/>
              </w:rPr>
            </w:r>
            <w:r w:rsidR="00766AA6">
              <w:rPr>
                <w:noProof/>
                <w:webHidden/>
              </w:rPr>
              <w:fldChar w:fldCharType="separate"/>
            </w:r>
            <w:r w:rsidR="00CC268C">
              <w:rPr>
                <w:noProof/>
                <w:webHidden/>
              </w:rPr>
              <w:t>38</w:t>
            </w:r>
            <w:r w:rsidR="00766AA6">
              <w:rPr>
                <w:noProof/>
                <w:webHidden/>
              </w:rPr>
              <w:fldChar w:fldCharType="end"/>
            </w:r>
          </w:hyperlink>
        </w:p>
        <w:p w14:paraId="0AC13966" w14:textId="77777777" w:rsidR="00766AA6" w:rsidRDefault="00000000">
          <w:pPr>
            <w:pStyle w:val="Sommario1"/>
            <w:tabs>
              <w:tab w:val="right" w:leader="dot" w:pos="8637"/>
            </w:tabs>
            <w:rPr>
              <w:rFonts w:asciiTheme="minorHAnsi" w:eastAsiaTheme="minorEastAsia" w:hAnsiTheme="minorHAnsi" w:cstheme="minorBidi"/>
              <w:noProof/>
              <w:szCs w:val="22"/>
            </w:rPr>
          </w:pPr>
          <w:hyperlink w:anchor="_Toc507691951" w:history="1">
            <w:r w:rsidR="00766AA6" w:rsidRPr="002968F9">
              <w:rPr>
                <w:rStyle w:val="Collegamentoipertestuale"/>
                <w:noProof/>
              </w:rPr>
              <w:t>ANALISI E VALUTAZIONE DEI DEBITI FUORI BILANCIO</w:t>
            </w:r>
            <w:r w:rsidR="00766AA6">
              <w:rPr>
                <w:noProof/>
                <w:webHidden/>
              </w:rPr>
              <w:tab/>
            </w:r>
            <w:r w:rsidR="00766AA6">
              <w:rPr>
                <w:noProof/>
                <w:webHidden/>
              </w:rPr>
              <w:fldChar w:fldCharType="begin"/>
            </w:r>
            <w:r w:rsidR="00766AA6">
              <w:rPr>
                <w:noProof/>
                <w:webHidden/>
              </w:rPr>
              <w:instrText xml:space="preserve"> PAGEREF _Toc507691951 \h </w:instrText>
            </w:r>
            <w:r w:rsidR="00766AA6">
              <w:rPr>
                <w:noProof/>
                <w:webHidden/>
              </w:rPr>
            </w:r>
            <w:r w:rsidR="00766AA6">
              <w:rPr>
                <w:noProof/>
                <w:webHidden/>
              </w:rPr>
              <w:fldChar w:fldCharType="separate"/>
            </w:r>
            <w:r w:rsidR="00CC268C">
              <w:rPr>
                <w:noProof/>
                <w:webHidden/>
              </w:rPr>
              <w:t>40</w:t>
            </w:r>
            <w:r w:rsidR="00766AA6">
              <w:rPr>
                <w:noProof/>
                <w:webHidden/>
              </w:rPr>
              <w:fldChar w:fldCharType="end"/>
            </w:r>
          </w:hyperlink>
        </w:p>
        <w:p w14:paraId="31C3A4B8" w14:textId="77777777" w:rsidR="00766AA6" w:rsidRDefault="00000000">
          <w:pPr>
            <w:pStyle w:val="Sommario1"/>
            <w:tabs>
              <w:tab w:val="right" w:leader="dot" w:pos="8637"/>
            </w:tabs>
            <w:rPr>
              <w:rFonts w:asciiTheme="minorHAnsi" w:eastAsiaTheme="minorEastAsia" w:hAnsiTheme="minorHAnsi" w:cstheme="minorBidi"/>
              <w:noProof/>
              <w:szCs w:val="22"/>
            </w:rPr>
          </w:pPr>
          <w:hyperlink w:anchor="_Toc507691952" w:history="1">
            <w:r w:rsidR="00766AA6" w:rsidRPr="002968F9">
              <w:rPr>
                <w:rStyle w:val="Collegamentoipertestuale"/>
                <w:noProof/>
              </w:rPr>
              <w:t>RAPPORTI CON ORGANISMI PARTECIPATI</w:t>
            </w:r>
            <w:r w:rsidR="00766AA6">
              <w:rPr>
                <w:noProof/>
                <w:webHidden/>
              </w:rPr>
              <w:tab/>
            </w:r>
            <w:r w:rsidR="00766AA6">
              <w:rPr>
                <w:noProof/>
                <w:webHidden/>
              </w:rPr>
              <w:fldChar w:fldCharType="begin"/>
            </w:r>
            <w:r w:rsidR="00766AA6">
              <w:rPr>
                <w:noProof/>
                <w:webHidden/>
              </w:rPr>
              <w:instrText xml:space="preserve"> PAGEREF _Toc507691952 \h </w:instrText>
            </w:r>
            <w:r w:rsidR="00766AA6">
              <w:rPr>
                <w:noProof/>
                <w:webHidden/>
              </w:rPr>
            </w:r>
            <w:r w:rsidR="00766AA6">
              <w:rPr>
                <w:noProof/>
                <w:webHidden/>
              </w:rPr>
              <w:fldChar w:fldCharType="separate"/>
            </w:r>
            <w:r w:rsidR="00CC268C">
              <w:rPr>
                <w:noProof/>
                <w:webHidden/>
              </w:rPr>
              <w:t>41</w:t>
            </w:r>
            <w:r w:rsidR="00766AA6">
              <w:rPr>
                <w:noProof/>
                <w:webHidden/>
              </w:rPr>
              <w:fldChar w:fldCharType="end"/>
            </w:r>
          </w:hyperlink>
        </w:p>
        <w:p w14:paraId="3992F632" w14:textId="77777777" w:rsidR="00766AA6" w:rsidRDefault="00000000">
          <w:pPr>
            <w:pStyle w:val="Sommario1"/>
            <w:tabs>
              <w:tab w:val="right" w:leader="dot" w:pos="8637"/>
            </w:tabs>
            <w:rPr>
              <w:rFonts w:asciiTheme="minorHAnsi" w:eastAsiaTheme="minorEastAsia" w:hAnsiTheme="minorHAnsi" w:cstheme="minorBidi"/>
              <w:noProof/>
              <w:szCs w:val="22"/>
            </w:rPr>
          </w:pPr>
          <w:hyperlink w:anchor="_Toc507691953" w:history="1">
            <w:r w:rsidR="00766AA6" w:rsidRPr="002968F9">
              <w:rPr>
                <w:rStyle w:val="Collegamentoipertestuale"/>
                <w:noProof/>
              </w:rPr>
              <w:t>TEMPESTIVITA’ PAGAMENTI E COMUNICAZIONE RITARDI</w:t>
            </w:r>
            <w:r w:rsidR="00766AA6">
              <w:rPr>
                <w:noProof/>
                <w:webHidden/>
              </w:rPr>
              <w:tab/>
            </w:r>
            <w:r w:rsidR="00766AA6">
              <w:rPr>
                <w:noProof/>
                <w:webHidden/>
              </w:rPr>
              <w:fldChar w:fldCharType="begin"/>
            </w:r>
            <w:r w:rsidR="00766AA6">
              <w:rPr>
                <w:noProof/>
                <w:webHidden/>
              </w:rPr>
              <w:instrText xml:space="preserve"> PAGEREF _Toc507691953 \h </w:instrText>
            </w:r>
            <w:r w:rsidR="00766AA6">
              <w:rPr>
                <w:noProof/>
                <w:webHidden/>
              </w:rPr>
            </w:r>
            <w:r w:rsidR="00766AA6">
              <w:rPr>
                <w:noProof/>
                <w:webHidden/>
              </w:rPr>
              <w:fldChar w:fldCharType="separate"/>
            </w:r>
            <w:r w:rsidR="00CC268C">
              <w:rPr>
                <w:noProof/>
                <w:webHidden/>
              </w:rPr>
              <w:t>45</w:t>
            </w:r>
            <w:r w:rsidR="00766AA6">
              <w:rPr>
                <w:noProof/>
                <w:webHidden/>
              </w:rPr>
              <w:fldChar w:fldCharType="end"/>
            </w:r>
          </w:hyperlink>
        </w:p>
        <w:p w14:paraId="55FB9D5A" w14:textId="77777777" w:rsidR="00766AA6" w:rsidRDefault="00000000">
          <w:pPr>
            <w:pStyle w:val="Sommario1"/>
            <w:tabs>
              <w:tab w:val="right" w:leader="dot" w:pos="8637"/>
            </w:tabs>
            <w:rPr>
              <w:rFonts w:asciiTheme="minorHAnsi" w:eastAsiaTheme="minorEastAsia" w:hAnsiTheme="minorHAnsi" w:cstheme="minorBidi"/>
              <w:noProof/>
              <w:szCs w:val="22"/>
            </w:rPr>
          </w:pPr>
          <w:hyperlink w:anchor="_Toc507691954" w:history="1">
            <w:r w:rsidR="00766AA6" w:rsidRPr="002968F9">
              <w:rPr>
                <w:rStyle w:val="Collegamentoipertestuale"/>
                <w:noProof/>
              </w:rPr>
              <w:t>PARAMETRI DI RISCONTRO DELLA SITUAZIONE DI DEFICITARIETA’ STRUTTURALE</w:t>
            </w:r>
            <w:r w:rsidR="00766AA6">
              <w:rPr>
                <w:noProof/>
                <w:webHidden/>
              </w:rPr>
              <w:tab/>
            </w:r>
            <w:r w:rsidR="00766AA6">
              <w:rPr>
                <w:noProof/>
                <w:webHidden/>
              </w:rPr>
              <w:fldChar w:fldCharType="begin"/>
            </w:r>
            <w:r w:rsidR="00766AA6">
              <w:rPr>
                <w:noProof/>
                <w:webHidden/>
              </w:rPr>
              <w:instrText xml:space="preserve"> PAGEREF _Toc507691954 \h </w:instrText>
            </w:r>
            <w:r w:rsidR="00766AA6">
              <w:rPr>
                <w:noProof/>
                <w:webHidden/>
              </w:rPr>
            </w:r>
            <w:r w:rsidR="00766AA6">
              <w:rPr>
                <w:noProof/>
                <w:webHidden/>
              </w:rPr>
              <w:fldChar w:fldCharType="separate"/>
            </w:r>
            <w:r w:rsidR="00CC268C">
              <w:rPr>
                <w:noProof/>
                <w:webHidden/>
              </w:rPr>
              <w:t>46</w:t>
            </w:r>
            <w:r w:rsidR="00766AA6">
              <w:rPr>
                <w:noProof/>
                <w:webHidden/>
              </w:rPr>
              <w:fldChar w:fldCharType="end"/>
            </w:r>
          </w:hyperlink>
        </w:p>
        <w:p w14:paraId="30D06096" w14:textId="77777777" w:rsidR="00766AA6" w:rsidRDefault="00000000">
          <w:pPr>
            <w:pStyle w:val="Sommario1"/>
            <w:tabs>
              <w:tab w:val="right" w:leader="dot" w:pos="8637"/>
            </w:tabs>
            <w:rPr>
              <w:rFonts w:asciiTheme="minorHAnsi" w:eastAsiaTheme="minorEastAsia" w:hAnsiTheme="minorHAnsi" w:cstheme="minorBidi"/>
              <w:noProof/>
              <w:szCs w:val="22"/>
            </w:rPr>
          </w:pPr>
          <w:hyperlink w:anchor="_Toc507691955" w:history="1">
            <w:r w:rsidR="00766AA6" w:rsidRPr="002968F9">
              <w:rPr>
                <w:rStyle w:val="Collegamentoipertestuale"/>
                <w:noProof/>
              </w:rPr>
              <w:t>RESA DEL CONTO DEGLI AGENTI CONTABILI</w:t>
            </w:r>
            <w:r w:rsidR="00766AA6">
              <w:rPr>
                <w:noProof/>
                <w:webHidden/>
              </w:rPr>
              <w:tab/>
            </w:r>
            <w:r w:rsidR="00766AA6">
              <w:rPr>
                <w:noProof/>
                <w:webHidden/>
              </w:rPr>
              <w:fldChar w:fldCharType="begin"/>
            </w:r>
            <w:r w:rsidR="00766AA6">
              <w:rPr>
                <w:noProof/>
                <w:webHidden/>
              </w:rPr>
              <w:instrText xml:space="preserve"> PAGEREF _Toc507691955 \h </w:instrText>
            </w:r>
            <w:r w:rsidR="00766AA6">
              <w:rPr>
                <w:noProof/>
                <w:webHidden/>
              </w:rPr>
            </w:r>
            <w:r w:rsidR="00766AA6">
              <w:rPr>
                <w:noProof/>
                <w:webHidden/>
              </w:rPr>
              <w:fldChar w:fldCharType="separate"/>
            </w:r>
            <w:r w:rsidR="00CC268C">
              <w:rPr>
                <w:noProof/>
                <w:webHidden/>
              </w:rPr>
              <w:t>46</w:t>
            </w:r>
            <w:r w:rsidR="00766AA6">
              <w:rPr>
                <w:noProof/>
                <w:webHidden/>
              </w:rPr>
              <w:fldChar w:fldCharType="end"/>
            </w:r>
          </w:hyperlink>
        </w:p>
        <w:p w14:paraId="45161AA1" w14:textId="77777777" w:rsidR="00766AA6" w:rsidRDefault="00000000">
          <w:pPr>
            <w:pStyle w:val="Sommario1"/>
            <w:tabs>
              <w:tab w:val="right" w:leader="dot" w:pos="8637"/>
            </w:tabs>
            <w:rPr>
              <w:rFonts w:asciiTheme="minorHAnsi" w:eastAsiaTheme="minorEastAsia" w:hAnsiTheme="minorHAnsi" w:cstheme="minorBidi"/>
              <w:noProof/>
              <w:szCs w:val="22"/>
            </w:rPr>
          </w:pPr>
          <w:hyperlink w:anchor="_Toc507691956" w:history="1">
            <w:r w:rsidR="00766AA6" w:rsidRPr="002968F9">
              <w:rPr>
                <w:rStyle w:val="Collegamentoipertestuale"/>
                <w:noProof/>
              </w:rPr>
              <w:t>CONTO ECONOMICO</w:t>
            </w:r>
            <w:r w:rsidR="00766AA6">
              <w:rPr>
                <w:noProof/>
                <w:webHidden/>
              </w:rPr>
              <w:tab/>
            </w:r>
            <w:r w:rsidR="00766AA6">
              <w:rPr>
                <w:noProof/>
                <w:webHidden/>
              </w:rPr>
              <w:fldChar w:fldCharType="begin"/>
            </w:r>
            <w:r w:rsidR="00766AA6">
              <w:rPr>
                <w:noProof/>
                <w:webHidden/>
              </w:rPr>
              <w:instrText xml:space="preserve"> PAGEREF _Toc507691956 \h </w:instrText>
            </w:r>
            <w:r w:rsidR="00766AA6">
              <w:rPr>
                <w:noProof/>
                <w:webHidden/>
              </w:rPr>
            </w:r>
            <w:r w:rsidR="00766AA6">
              <w:rPr>
                <w:noProof/>
                <w:webHidden/>
              </w:rPr>
              <w:fldChar w:fldCharType="separate"/>
            </w:r>
            <w:r w:rsidR="00CC268C">
              <w:rPr>
                <w:noProof/>
                <w:webHidden/>
              </w:rPr>
              <w:t>47</w:t>
            </w:r>
            <w:r w:rsidR="00766AA6">
              <w:rPr>
                <w:noProof/>
                <w:webHidden/>
              </w:rPr>
              <w:fldChar w:fldCharType="end"/>
            </w:r>
          </w:hyperlink>
        </w:p>
        <w:p w14:paraId="7C087EE8" w14:textId="77777777" w:rsidR="00766AA6" w:rsidRDefault="00000000">
          <w:pPr>
            <w:pStyle w:val="Sommario1"/>
            <w:tabs>
              <w:tab w:val="right" w:leader="dot" w:pos="8637"/>
            </w:tabs>
            <w:rPr>
              <w:rFonts w:asciiTheme="minorHAnsi" w:eastAsiaTheme="minorEastAsia" w:hAnsiTheme="minorHAnsi" w:cstheme="minorBidi"/>
              <w:noProof/>
              <w:szCs w:val="22"/>
            </w:rPr>
          </w:pPr>
          <w:hyperlink w:anchor="_Toc507691957" w:history="1">
            <w:r w:rsidR="00766AA6" w:rsidRPr="002968F9">
              <w:rPr>
                <w:rStyle w:val="Collegamentoipertestuale"/>
                <w:noProof/>
              </w:rPr>
              <w:t>STATO PATRIMONIALE</w:t>
            </w:r>
            <w:r w:rsidR="00766AA6">
              <w:rPr>
                <w:noProof/>
                <w:webHidden/>
              </w:rPr>
              <w:tab/>
            </w:r>
            <w:r w:rsidR="00766AA6">
              <w:rPr>
                <w:noProof/>
                <w:webHidden/>
              </w:rPr>
              <w:fldChar w:fldCharType="begin"/>
            </w:r>
            <w:r w:rsidR="00766AA6">
              <w:rPr>
                <w:noProof/>
                <w:webHidden/>
              </w:rPr>
              <w:instrText xml:space="preserve"> PAGEREF _Toc507691957 \h </w:instrText>
            </w:r>
            <w:r w:rsidR="00766AA6">
              <w:rPr>
                <w:noProof/>
                <w:webHidden/>
              </w:rPr>
            </w:r>
            <w:r w:rsidR="00766AA6">
              <w:rPr>
                <w:noProof/>
                <w:webHidden/>
              </w:rPr>
              <w:fldChar w:fldCharType="separate"/>
            </w:r>
            <w:r w:rsidR="00CC268C">
              <w:rPr>
                <w:noProof/>
                <w:webHidden/>
              </w:rPr>
              <w:t>48</w:t>
            </w:r>
            <w:r w:rsidR="00766AA6">
              <w:rPr>
                <w:noProof/>
                <w:webHidden/>
              </w:rPr>
              <w:fldChar w:fldCharType="end"/>
            </w:r>
          </w:hyperlink>
        </w:p>
        <w:p w14:paraId="6CF9841D" w14:textId="77777777" w:rsidR="00766AA6" w:rsidRDefault="00000000">
          <w:pPr>
            <w:pStyle w:val="Sommario1"/>
            <w:tabs>
              <w:tab w:val="right" w:leader="dot" w:pos="8637"/>
            </w:tabs>
            <w:rPr>
              <w:rFonts w:asciiTheme="minorHAnsi" w:eastAsiaTheme="minorEastAsia" w:hAnsiTheme="minorHAnsi" w:cstheme="minorBidi"/>
              <w:noProof/>
              <w:szCs w:val="22"/>
            </w:rPr>
          </w:pPr>
          <w:hyperlink w:anchor="_Toc507691958" w:history="1">
            <w:r w:rsidR="00766AA6" w:rsidRPr="002968F9">
              <w:rPr>
                <w:rStyle w:val="Collegamentoipertestuale"/>
                <w:noProof/>
              </w:rPr>
              <w:t>RELAZIONE DELLA GIUNTA AL RENDICONTO</w:t>
            </w:r>
            <w:r w:rsidR="00766AA6">
              <w:rPr>
                <w:noProof/>
                <w:webHidden/>
              </w:rPr>
              <w:tab/>
            </w:r>
            <w:r w:rsidR="00766AA6">
              <w:rPr>
                <w:noProof/>
                <w:webHidden/>
              </w:rPr>
              <w:fldChar w:fldCharType="begin"/>
            </w:r>
            <w:r w:rsidR="00766AA6">
              <w:rPr>
                <w:noProof/>
                <w:webHidden/>
              </w:rPr>
              <w:instrText xml:space="preserve"> PAGEREF _Toc507691958 \h </w:instrText>
            </w:r>
            <w:r w:rsidR="00766AA6">
              <w:rPr>
                <w:noProof/>
                <w:webHidden/>
              </w:rPr>
            </w:r>
            <w:r w:rsidR="00766AA6">
              <w:rPr>
                <w:noProof/>
                <w:webHidden/>
              </w:rPr>
              <w:fldChar w:fldCharType="separate"/>
            </w:r>
            <w:r w:rsidR="00CC268C">
              <w:rPr>
                <w:noProof/>
                <w:webHidden/>
              </w:rPr>
              <w:t>52</w:t>
            </w:r>
            <w:r w:rsidR="00766AA6">
              <w:rPr>
                <w:noProof/>
                <w:webHidden/>
              </w:rPr>
              <w:fldChar w:fldCharType="end"/>
            </w:r>
          </w:hyperlink>
        </w:p>
        <w:p w14:paraId="3B4E33DD" w14:textId="77777777" w:rsidR="00766AA6" w:rsidRDefault="00000000">
          <w:pPr>
            <w:pStyle w:val="Sommario1"/>
            <w:tabs>
              <w:tab w:val="right" w:leader="dot" w:pos="8637"/>
            </w:tabs>
            <w:rPr>
              <w:rFonts w:asciiTheme="minorHAnsi" w:eastAsiaTheme="minorEastAsia" w:hAnsiTheme="minorHAnsi" w:cstheme="minorBidi"/>
              <w:noProof/>
              <w:szCs w:val="22"/>
            </w:rPr>
          </w:pPr>
          <w:hyperlink w:anchor="_Toc507691959" w:history="1">
            <w:r w:rsidR="00766AA6" w:rsidRPr="002968F9">
              <w:rPr>
                <w:rStyle w:val="Collegamentoipertestuale"/>
                <w:noProof/>
              </w:rPr>
              <w:t>IRREGOLARITA’ NON SANATE, RILIEVI, CONSIDERAZIONI E PROPOSTE</w:t>
            </w:r>
            <w:r w:rsidR="00766AA6">
              <w:rPr>
                <w:noProof/>
                <w:webHidden/>
              </w:rPr>
              <w:tab/>
            </w:r>
            <w:r w:rsidR="00766AA6">
              <w:rPr>
                <w:noProof/>
                <w:webHidden/>
              </w:rPr>
              <w:fldChar w:fldCharType="begin"/>
            </w:r>
            <w:r w:rsidR="00766AA6">
              <w:rPr>
                <w:noProof/>
                <w:webHidden/>
              </w:rPr>
              <w:instrText xml:space="preserve"> PAGEREF _Toc507691959 \h </w:instrText>
            </w:r>
            <w:r w:rsidR="00766AA6">
              <w:rPr>
                <w:noProof/>
                <w:webHidden/>
              </w:rPr>
            </w:r>
            <w:r w:rsidR="00766AA6">
              <w:rPr>
                <w:noProof/>
                <w:webHidden/>
              </w:rPr>
              <w:fldChar w:fldCharType="separate"/>
            </w:r>
            <w:r w:rsidR="00CC268C">
              <w:rPr>
                <w:noProof/>
                <w:webHidden/>
              </w:rPr>
              <w:t>52</w:t>
            </w:r>
            <w:r w:rsidR="00766AA6">
              <w:rPr>
                <w:noProof/>
                <w:webHidden/>
              </w:rPr>
              <w:fldChar w:fldCharType="end"/>
            </w:r>
          </w:hyperlink>
        </w:p>
        <w:p w14:paraId="42286B58" w14:textId="77777777" w:rsidR="00766AA6" w:rsidRDefault="00000000">
          <w:pPr>
            <w:pStyle w:val="Sommario1"/>
            <w:tabs>
              <w:tab w:val="right" w:leader="dot" w:pos="8637"/>
            </w:tabs>
            <w:rPr>
              <w:rFonts w:asciiTheme="minorHAnsi" w:eastAsiaTheme="minorEastAsia" w:hAnsiTheme="minorHAnsi" w:cstheme="minorBidi"/>
              <w:noProof/>
              <w:szCs w:val="22"/>
            </w:rPr>
          </w:pPr>
          <w:hyperlink w:anchor="_Toc507691960" w:history="1">
            <w:r w:rsidR="00766AA6" w:rsidRPr="002968F9">
              <w:rPr>
                <w:rStyle w:val="Collegamentoipertestuale"/>
                <w:noProof/>
              </w:rPr>
              <w:t>CONCLUSIONI</w:t>
            </w:r>
            <w:r w:rsidR="00766AA6">
              <w:rPr>
                <w:noProof/>
                <w:webHidden/>
              </w:rPr>
              <w:tab/>
            </w:r>
            <w:r w:rsidR="00766AA6">
              <w:rPr>
                <w:noProof/>
                <w:webHidden/>
              </w:rPr>
              <w:fldChar w:fldCharType="begin"/>
            </w:r>
            <w:r w:rsidR="00766AA6">
              <w:rPr>
                <w:noProof/>
                <w:webHidden/>
              </w:rPr>
              <w:instrText xml:space="preserve"> PAGEREF _Toc507691960 \h </w:instrText>
            </w:r>
            <w:r w:rsidR="00766AA6">
              <w:rPr>
                <w:noProof/>
                <w:webHidden/>
              </w:rPr>
            </w:r>
            <w:r w:rsidR="00766AA6">
              <w:rPr>
                <w:noProof/>
                <w:webHidden/>
              </w:rPr>
              <w:fldChar w:fldCharType="separate"/>
            </w:r>
            <w:r w:rsidR="00CC268C">
              <w:rPr>
                <w:noProof/>
                <w:webHidden/>
              </w:rPr>
              <w:t>55</w:t>
            </w:r>
            <w:r w:rsidR="00766AA6">
              <w:rPr>
                <w:noProof/>
                <w:webHidden/>
              </w:rPr>
              <w:fldChar w:fldCharType="end"/>
            </w:r>
          </w:hyperlink>
        </w:p>
        <w:p w14:paraId="4D81705D" w14:textId="226182F2" w:rsidR="009F183C" w:rsidRDefault="00757AA1">
          <w:r>
            <w:rPr>
              <w:b/>
              <w:bCs/>
            </w:rPr>
            <w:fldChar w:fldCharType="end"/>
          </w:r>
        </w:p>
      </w:sdtContent>
    </w:sdt>
    <w:p w14:paraId="79C071FA" w14:textId="77777777" w:rsidR="009F183C" w:rsidRDefault="009F183C"/>
    <w:p w14:paraId="66E18DFC" w14:textId="77777777" w:rsidR="009F183C" w:rsidRDefault="00757AA1">
      <w:pPr>
        <w:widowControl/>
        <w:overflowPunct/>
        <w:autoSpaceDE/>
        <w:autoSpaceDN/>
        <w:adjustRightInd/>
        <w:spacing w:after="0"/>
        <w:jc w:val="left"/>
        <w:textAlignment w:val="auto"/>
      </w:pPr>
      <w:r>
        <w:br w:type="page"/>
      </w:r>
    </w:p>
    <w:p w14:paraId="7610FAA6" w14:textId="77777777" w:rsidR="009F183C" w:rsidRDefault="009F183C">
      <w:pPr>
        <w:widowControl/>
        <w:overflowPunct/>
        <w:autoSpaceDE/>
        <w:autoSpaceDN/>
        <w:adjustRightInd/>
        <w:spacing w:after="0"/>
        <w:jc w:val="left"/>
        <w:textAlignment w:val="auto"/>
      </w:pPr>
    </w:p>
    <w:p w14:paraId="046CA70C" w14:textId="77777777" w:rsidR="009F183C" w:rsidRDefault="009F183C">
      <w:pPr>
        <w:widowControl/>
        <w:overflowPunct/>
        <w:autoSpaceDE/>
        <w:autoSpaceDN/>
        <w:adjustRightInd/>
        <w:spacing w:after="0"/>
        <w:jc w:val="left"/>
        <w:textAlignment w:val="auto"/>
      </w:pPr>
    </w:p>
    <w:p w14:paraId="57512AD6" w14:textId="77777777" w:rsidR="009F183C" w:rsidRDefault="00757AA1">
      <w:pPr>
        <w:pStyle w:val="cpv"/>
        <w:widowControl/>
        <w:spacing w:before="220"/>
        <w:jc w:val="center"/>
        <w:rPr>
          <w:rFonts w:ascii="Palatino Linotype" w:hAnsi="Palatino Linotype" w:cs="Arial"/>
          <w:b/>
          <w:sz w:val="32"/>
        </w:rPr>
      </w:pPr>
      <w:r>
        <w:rPr>
          <w:rFonts w:ascii="Palatino Linotype" w:hAnsi="Palatino Linotype" w:cs="Arial"/>
          <w:b/>
          <w:sz w:val="32"/>
        </w:rPr>
        <w:t>Comune di ____________________________</w:t>
      </w:r>
    </w:p>
    <w:p w14:paraId="5FE5256A" w14:textId="77777777" w:rsidR="009F183C" w:rsidRDefault="00757AA1">
      <w:pPr>
        <w:pStyle w:val="cpv"/>
        <w:widowControl/>
        <w:spacing w:after="240"/>
        <w:jc w:val="center"/>
        <w:rPr>
          <w:rFonts w:ascii="Palatino Linotype" w:hAnsi="Palatino Linotype" w:cs="Arial"/>
          <w:b/>
          <w:sz w:val="32"/>
          <w:szCs w:val="32"/>
        </w:rPr>
      </w:pPr>
      <w:r>
        <w:rPr>
          <w:rFonts w:ascii="Palatino Linotype" w:hAnsi="Palatino Linotype" w:cs="Arial"/>
          <w:b/>
          <w:sz w:val="32"/>
          <w:szCs w:val="32"/>
        </w:rPr>
        <w:t>Organo di revisione</w:t>
      </w:r>
    </w:p>
    <w:p w14:paraId="74D92CE5" w14:textId="77777777" w:rsidR="009F183C" w:rsidRDefault="00757AA1">
      <w:pPr>
        <w:pStyle w:val="cpv"/>
        <w:widowControl/>
        <w:jc w:val="center"/>
        <w:rPr>
          <w:rFonts w:ascii="Palatino Linotype" w:hAnsi="Palatino Linotype" w:cs="Arial"/>
          <w:b/>
          <w:sz w:val="24"/>
        </w:rPr>
      </w:pPr>
      <w:r>
        <w:rPr>
          <w:rFonts w:ascii="Palatino Linotype" w:hAnsi="Palatino Linotype" w:cs="Arial"/>
          <w:b/>
          <w:sz w:val="24"/>
        </w:rPr>
        <w:t>Verbale n. ____ del _______________</w:t>
      </w:r>
    </w:p>
    <w:p w14:paraId="4A9C41C8" w14:textId="77777777" w:rsidR="009F183C" w:rsidRDefault="009F183C">
      <w:pPr>
        <w:pStyle w:val="LIV2"/>
        <w:widowControl/>
        <w:spacing w:before="0" w:after="120" w:line="360" w:lineRule="auto"/>
        <w:jc w:val="center"/>
        <w:rPr>
          <w:rFonts w:ascii="Palatino Linotype" w:hAnsi="Palatino Linotype" w:cs="Arial"/>
          <w:sz w:val="24"/>
          <w:szCs w:val="24"/>
        </w:rPr>
      </w:pPr>
    </w:p>
    <w:p w14:paraId="67946168" w14:textId="77777777" w:rsidR="009F183C" w:rsidRDefault="00757AA1">
      <w:pPr>
        <w:pStyle w:val="LIV2"/>
        <w:widowControl/>
        <w:spacing w:before="0" w:after="120" w:line="360" w:lineRule="auto"/>
        <w:jc w:val="center"/>
        <w:rPr>
          <w:rFonts w:ascii="Palatino Linotype" w:hAnsi="Palatino Linotype" w:cs="Arial"/>
          <w:sz w:val="24"/>
          <w:szCs w:val="24"/>
        </w:rPr>
      </w:pPr>
      <w:r>
        <w:rPr>
          <w:rFonts w:ascii="Palatino Linotype" w:hAnsi="Palatino Linotype" w:cs="Arial"/>
          <w:sz w:val="24"/>
          <w:szCs w:val="24"/>
        </w:rPr>
        <w:t>RELAZIONE SUL RENDICONTO 2017</w:t>
      </w:r>
    </w:p>
    <w:p w14:paraId="4269C51F" w14:textId="77777777" w:rsidR="009F183C" w:rsidRDefault="00757AA1">
      <w:pPr>
        <w:pStyle w:val="cpv"/>
        <w:widowControl/>
        <w:tabs>
          <w:tab w:val="left" w:pos="6652"/>
        </w:tabs>
        <w:spacing w:before="0" w:after="120" w:line="240" w:lineRule="auto"/>
        <w:rPr>
          <w:rFonts w:ascii="Palatino Linotype" w:hAnsi="Palatino Linotype"/>
          <w:sz w:val="24"/>
          <w:szCs w:val="24"/>
        </w:rPr>
      </w:pPr>
      <w:r>
        <w:rPr>
          <w:rFonts w:ascii="Palatino Linotype" w:hAnsi="Palatino Linotype"/>
          <w:sz w:val="24"/>
          <w:szCs w:val="24"/>
        </w:rPr>
        <w:t>L’organo di revisione ha esaminato lo schema di rendiconto dell’esercizio finanziario per l’anno 2017, unitamente agli allegati di legge, e la proposta di deliberazione consiliare del rendiconto della gestione 2017 operando ai sensi e nel rispetto:</w:t>
      </w:r>
    </w:p>
    <w:p w14:paraId="6EBC1724" w14:textId="3C85EA5C" w:rsidR="009F183C" w:rsidRDefault="00757AA1">
      <w:pPr>
        <w:pStyle w:val="cpv"/>
        <w:widowControl/>
        <w:numPr>
          <w:ilvl w:val="0"/>
          <w:numId w:val="17"/>
        </w:numPr>
        <w:tabs>
          <w:tab w:val="clear" w:pos="0"/>
          <w:tab w:val="clear" w:pos="1418"/>
          <w:tab w:val="clear" w:pos="2835"/>
          <w:tab w:val="clear" w:pos="4252"/>
        </w:tabs>
        <w:spacing w:before="0" w:after="120" w:line="240" w:lineRule="auto"/>
        <w:ind w:left="426" w:hanging="426"/>
        <w:rPr>
          <w:rFonts w:ascii="Palatino Linotype" w:hAnsi="Palatino Linotype"/>
          <w:sz w:val="24"/>
          <w:szCs w:val="24"/>
        </w:rPr>
      </w:pPr>
      <w:r>
        <w:rPr>
          <w:rFonts w:ascii="Palatino Linotype" w:hAnsi="Palatino Linotype"/>
          <w:sz w:val="24"/>
          <w:szCs w:val="24"/>
        </w:rPr>
        <w:t xml:space="preserve">del </w:t>
      </w:r>
      <w:r w:rsidR="00722CDB">
        <w:rPr>
          <w:rFonts w:ascii="Palatino Linotype" w:hAnsi="Palatino Linotype"/>
          <w:sz w:val="24"/>
          <w:szCs w:val="24"/>
        </w:rPr>
        <w:t>D.lgs.</w:t>
      </w:r>
      <w:r>
        <w:rPr>
          <w:rFonts w:ascii="Palatino Linotype" w:hAnsi="Palatino Linotype"/>
          <w:sz w:val="24"/>
          <w:szCs w:val="24"/>
        </w:rPr>
        <w:t xml:space="preserve"> 18 agosto 2000, n. 267 «Testo unico delle leggi sull'ordinamento degli enti locali»;</w:t>
      </w:r>
    </w:p>
    <w:p w14:paraId="40D0BAF6" w14:textId="77777777" w:rsidR="009F183C" w:rsidRDefault="00757AA1">
      <w:pPr>
        <w:pStyle w:val="cpv"/>
        <w:widowControl/>
        <w:numPr>
          <w:ilvl w:val="0"/>
          <w:numId w:val="17"/>
        </w:numPr>
        <w:tabs>
          <w:tab w:val="clear" w:pos="0"/>
          <w:tab w:val="clear" w:pos="1418"/>
          <w:tab w:val="clear" w:pos="2835"/>
          <w:tab w:val="clear" w:pos="4252"/>
        </w:tabs>
        <w:spacing w:before="0" w:after="120" w:line="240" w:lineRule="auto"/>
        <w:ind w:left="426" w:hanging="426"/>
        <w:rPr>
          <w:rFonts w:ascii="Palatino Linotype" w:hAnsi="Palatino Linotype"/>
          <w:sz w:val="24"/>
          <w:szCs w:val="24"/>
        </w:rPr>
      </w:pPr>
      <w:r>
        <w:rPr>
          <w:rFonts w:ascii="Palatino Linotype" w:hAnsi="Palatino Linotype"/>
          <w:sz w:val="24"/>
          <w:szCs w:val="24"/>
        </w:rPr>
        <w:t>del D.lgs. 23 giugno 2011 n.118 e dei principi contabili 4/2 e 4/3;</w:t>
      </w:r>
    </w:p>
    <w:p w14:paraId="22A14503" w14:textId="77777777" w:rsidR="009F183C" w:rsidRDefault="00757AA1">
      <w:pPr>
        <w:pStyle w:val="cpv"/>
        <w:widowControl/>
        <w:numPr>
          <w:ilvl w:val="0"/>
          <w:numId w:val="17"/>
        </w:numPr>
        <w:tabs>
          <w:tab w:val="clear" w:pos="0"/>
          <w:tab w:val="clear" w:pos="1418"/>
          <w:tab w:val="clear" w:pos="2835"/>
          <w:tab w:val="clear" w:pos="4252"/>
        </w:tabs>
        <w:spacing w:before="0" w:after="120" w:line="240" w:lineRule="auto"/>
        <w:ind w:left="426" w:hanging="426"/>
        <w:rPr>
          <w:rFonts w:ascii="Palatino Linotype" w:hAnsi="Palatino Linotype"/>
          <w:sz w:val="24"/>
          <w:szCs w:val="24"/>
        </w:rPr>
      </w:pPr>
      <w:r>
        <w:rPr>
          <w:rFonts w:ascii="Palatino Linotype" w:hAnsi="Palatino Linotype"/>
          <w:sz w:val="24"/>
          <w:szCs w:val="24"/>
        </w:rPr>
        <w:t>degli schemi di rendiconto di cui all’allegato 10 al d.lgs.118/2011;</w:t>
      </w:r>
    </w:p>
    <w:p w14:paraId="1FE14F2C" w14:textId="77777777" w:rsidR="009F183C" w:rsidRDefault="00757AA1">
      <w:pPr>
        <w:pStyle w:val="sottocpv1"/>
        <w:widowControl/>
        <w:numPr>
          <w:ilvl w:val="0"/>
          <w:numId w:val="17"/>
        </w:numPr>
        <w:tabs>
          <w:tab w:val="clear" w:pos="341"/>
          <w:tab w:val="clear" w:pos="1759"/>
          <w:tab w:val="clear" w:pos="3176"/>
          <w:tab w:val="clear" w:pos="4593"/>
        </w:tabs>
        <w:spacing w:before="0" w:after="120" w:line="240" w:lineRule="auto"/>
        <w:ind w:left="426" w:hanging="426"/>
        <w:rPr>
          <w:rFonts w:ascii="Palatino Linotype" w:hAnsi="Palatino Linotype" w:cs="Arial"/>
          <w:sz w:val="24"/>
          <w:szCs w:val="24"/>
        </w:rPr>
      </w:pPr>
      <w:r>
        <w:rPr>
          <w:rFonts w:ascii="Palatino Linotype" w:hAnsi="Palatino Linotype" w:cs="Arial"/>
          <w:sz w:val="24"/>
          <w:szCs w:val="24"/>
        </w:rPr>
        <w:t>dello statuto comunale e del regolamento di contabilità;</w:t>
      </w:r>
    </w:p>
    <w:p w14:paraId="21A6FE9D" w14:textId="77777777" w:rsidR="009F183C" w:rsidRDefault="00757AA1">
      <w:pPr>
        <w:pStyle w:val="sottocpv1"/>
        <w:widowControl/>
        <w:numPr>
          <w:ilvl w:val="0"/>
          <w:numId w:val="17"/>
        </w:numPr>
        <w:tabs>
          <w:tab w:val="clear" w:pos="341"/>
          <w:tab w:val="clear" w:pos="1759"/>
          <w:tab w:val="clear" w:pos="3176"/>
          <w:tab w:val="clear" w:pos="4593"/>
        </w:tabs>
        <w:spacing w:before="0" w:after="120" w:line="240" w:lineRule="auto"/>
        <w:ind w:left="426" w:hanging="426"/>
        <w:rPr>
          <w:rFonts w:ascii="Palatino Linotype" w:hAnsi="Palatino Linotype" w:cs="Arial"/>
          <w:sz w:val="24"/>
          <w:szCs w:val="24"/>
        </w:rPr>
      </w:pPr>
      <w:r>
        <w:rPr>
          <w:rFonts w:ascii="Palatino Linotype" w:hAnsi="Palatino Linotype" w:cs="Arial"/>
          <w:sz w:val="24"/>
          <w:szCs w:val="24"/>
        </w:rPr>
        <w:t>dei principi di vigilanza e controllo dell’organo di revisione degli enti locali approvati dal Consiglio nazionale dei dottori commercialisti ed esperti contabili;</w:t>
      </w:r>
    </w:p>
    <w:p w14:paraId="1E828648" w14:textId="77777777" w:rsidR="009F183C" w:rsidRDefault="00757AA1">
      <w:pPr>
        <w:pStyle w:val="CPVC"/>
        <w:widowControl/>
        <w:spacing w:before="0" w:after="120" w:line="240" w:lineRule="auto"/>
        <w:rPr>
          <w:rFonts w:ascii="Palatino Linotype" w:hAnsi="Palatino Linotype" w:cs="Arial"/>
          <w:i/>
          <w:sz w:val="24"/>
          <w:szCs w:val="24"/>
        </w:rPr>
      </w:pPr>
      <w:r>
        <w:rPr>
          <w:rFonts w:ascii="Palatino Linotype" w:hAnsi="Palatino Linotype" w:cs="Arial"/>
          <w:b/>
          <w:color w:val="0070C0"/>
          <w:sz w:val="24"/>
          <w:szCs w:val="24"/>
        </w:rPr>
        <w:t>approva</w:t>
      </w:r>
      <w:r>
        <w:rPr>
          <w:rFonts w:ascii="Palatino Linotype" w:hAnsi="Palatino Linotype" w:cs="Arial"/>
          <w:sz w:val="24"/>
          <w:szCs w:val="24"/>
        </w:rPr>
        <w:t xml:space="preserve"> </w:t>
      </w:r>
      <w:r>
        <w:rPr>
          <w:rFonts w:ascii="Palatino Linotype" w:hAnsi="Palatino Linotype" w:cs="Arial"/>
          <w:b/>
          <w:color w:val="0070C0"/>
          <w:sz w:val="24"/>
          <w:szCs w:val="24"/>
        </w:rPr>
        <w:t>o presenta</w:t>
      </w:r>
    </w:p>
    <w:p w14:paraId="1066494F" w14:textId="77777777" w:rsidR="009F183C" w:rsidRDefault="00757AA1">
      <w:pPr>
        <w:pStyle w:val="cpv"/>
        <w:widowControl/>
        <w:spacing w:before="0" w:after="120" w:line="240" w:lineRule="auto"/>
        <w:rPr>
          <w:rFonts w:ascii="Palatino Linotype" w:hAnsi="Palatino Linotype" w:cs="Arial"/>
          <w:sz w:val="24"/>
          <w:szCs w:val="24"/>
        </w:rPr>
      </w:pPr>
      <w:r>
        <w:rPr>
          <w:rFonts w:ascii="Palatino Linotype" w:hAnsi="Palatino Linotype" w:cs="Arial"/>
          <w:sz w:val="24"/>
          <w:szCs w:val="24"/>
        </w:rPr>
        <w:t>l'allegata relazione sulla proposta di deliberazione consiliare del rendiconto della gestione e sullo schema di rendiconto per l’esercizio finanziario 2017 del Comune di ……………. che forma parte integrante e sostanziale del presente verbale.</w:t>
      </w:r>
    </w:p>
    <w:p w14:paraId="3F170450" w14:textId="77777777" w:rsidR="009F183C" w:rsidRDefault="009F183C">
      <w:pPr>
        <w:pStyle w:val="cpv"/>
        <w:widowControl/>
        <w:spacing w:before="0" w:after="120" w:line="240" w:lineRule="auto"/>
        <w:rPr>
          <w:rFonts w:ascii="Palatino Linotype" w:hAnsi="Palatino Linotype" w:cs="Arial"/>
          <w:sz w:val="24"/>
          <w:szCs w:val="24"/>
        </w:rPr>
      </w:pPr>
    </w:p>
    <w:p w14:paraId="710D35C5" w14:textId="77777777" w:rsidR="009F183C" w:rsidRDefault="00757AA1">
      <w:pPr>
        <w:pStyle w:val="cpv"/>
        <w:widowControl/>
        <w:spacing w:before="0" w:after="120" w:line="240" w:lineRule="auto"/>
        <w:rPr>
          <w:rFonts w:ascii="Palatino Linotype" w:hAnsi="Palatino Linotype" w:cs="Arial"/>
          <w:sz w:val="24"/>
          <w:szCs w:val="24"/>
        </w:rPr>
      </w:pPr>
      <w:r>
        <w:rPr>
          <w:rFonts w:ascii="Palatino Linotype" w:hAnsi="Palatino Linotype" w:cs="Arial"/>
          <w:sz w:val="24"/>
          <w:szCs w:val="24"/>
        </w:rPr>
        <w:t>______________, lì _______________</w:t>
      </w:r>
      <w:r>
        <w:rPr>
          <w:rFonts w:ascii="Palatino Linotype" w:hAnsi="Palatino Linotype" w:cs="Arial"/>
          <w:sz w:val="24"/>
          <w:szCs w:val="24"/>
        </w:rPr>
        <w:tab/>
      </w:r>
    </w:p>
    <w:p w14:paraId="22D4B610" w14:textId="77777777" w:rsidR="009F183C" w:rsidRDefault="00757AA1">
      <w:pPr>
        <w:pStyle w:val="cpv"/>
        <w:widowControl/>
        <w:spacing w:before="0" w:after="120" w:line="240" w:lineRule="auto"/>
        <w:jc w:val="right"/>
        <w:rPr>
          <w:rFonts w:ascii="Palatino Linotype" w:hAnsi="Palatino Linotype" w:cs="Arial"/>
          <w:sz w:val="24"/>
          <w:szCs w:val="24"/>
        </w:rPr>
      </w:pPr>
      <w:r>
        <w:rPr>
          <w:rFonts w:ascii="Palatino Linotype" w:hAnsi="Palatino Linotype" w:cs="Arial"/>
          <w:sz w:val="24"/>
          <w:szCs w:val="24"/>
        </w:rPr>
        <w:t>L’organo di revisione</w:t>
      </w:r>
    </w:p>
    <w:p w14:paraId="55594214" w14:textId="77777777" w:rsidR="009F183C" w:rsidRDefault="00757AA1">
      <w:pPr>
        <w:pStyle w:val="cpv"/>
        <w:widowControl/>
        <w:spacing w:after="240"/>
        <w:jc w:val="center"/>
        <w:rPr>
          <w:rFonts w:cs="Arial"/>
          <w:b/>
        </w:rPr>
      </w:pPr>
      <w:r>
        <w:rPr>
          <w:rFonts w:ascii="Arial" w:hAnsi="Arial" w:cs="Arial"/>
        </w:rPr>
        <w:br w:type="page"/>
      </w:r>
    </w:p>
    <w:p w14:paraId="5C48D0EE" w14:textId="77777777" w:rsidR="009F183C" w:rsidRDefault="00757AA1">
      <w:pPr>
        <w:pStyle w:val="Titolo1"/>
        <w:shd w:val="clear" w:color="auto" w:fill="D6E3BC" w:themeFill="accent3" w:themeFillTint="66"/>
      </w:pPr>
      <w:bookmarkStart w:id="0" w:name="_Toc379377452"/>
      <w:bookmarkStart w:id="1" w:name="_Toc507691934"/>
      <w:r>
        <w:lastRenderedPageBreak/>
        <w:t>INTRODUZIONE</w:t>
      </w:r>
      <w:bookmarkEnd w:id="0"/>
      <w:bookmarkEnd w:id="1"/>
    </w:p>
    <w:p w14:paraId="7084283A" w14:textId="77777777" w:rsidR="009F183C" w:rsidRDefault="00757AA1">
      <w:pPr>
        <w:tabs>
          <w:tab w:val="left" w:pos="1275"/>
          <w:tab w:val="left" w:pos="1560"/>
          <w:tab w:val="left" w:leader="dot" w:pos="8789"/>
          <w:tab w:val="right" w:pos="9639"/>
        </w:tabs>
        <w:rPr>
          <w:rFonts w:cs="Arial"/>
          <w:sz w:val="16"/>
          <w:szCs w:val="16"/>
        </w:rPr>
      </w:pPr>
      <w:r>
        <w:rPr>
          <w:rFonts w:cs="Arial"/>
          <w:sz w:val="16"/>
          <w:szCs w:val="16"/>
        </w:rPr>
        <w:t xml:space="preserve"> </w:t>
      </w:r>
    </w:p>
    <w:p w14:paraId="19083D3F" w14:textId="77777777" w:rsidR="009F183C" w:rsidRDefault="00757AA1">
      <w:pPr>
        <w:numPr>
          <w:ilvl w:val="12"/>
          <w:numId w:val="0"/>
        </w:numPr>
        <w:rPr>
          <w:rFonts w:cs="Arial"/>
          <w:sz w:val="20"/>
        </w:rPr>
      </w:pPr>
      <w:r>
        <w:rPr>
          <w:rFonts w:cs="Arial"/>
          <w:b/>
          <w:sz w:val="20"/>
        </w:rPr>
        <w:t>I sottoscritti / Il sottoscritto</w:t>
      </w:r>
      <w:r>
        <w:rPr>
          <w:rFonts w:cs="Arial"/>
          <w:sz w:val="20"/>
        </w:rPr>
        <w:t xml:space="preserve"> __________________, __________________, _________________, </w:t>
      </w:r>
      <w:r>
        <w:rPr>
          <w:rFonts w:cs="Arial"/>
          <w:b/>
          <w:sz w:val="20"/>
        </w:rPr>
        <w:t xml:space="preserve">revisori / revisore nominati / nominato </w:t>
      </w:r>
      <w:r>
        <w:rPr>
          <w:rFonts w:cs="Arial"/>
          <w:sz w:val="20"/>
        </w:rPr>
        <w:t>con delibera dell’organo consiliare n. _____ del __.__._____;</w:t>
      </w:r>
    </w:p>
    <w:p w14:paraId="6C225D3F" w14:textId="77777777" w:rsidR="009F183C" w:rsidRDefault="00757AA1">
      <w:pPr>
        <w:numPr>
          <w:ilvl w:val="0"/>
          <w:numId w:val="1"/>
        </w:numPr>
        <w:ind w:left="284" w:hanging="284"/>
        <w:rPr>
          <w:rFonts w:cs="Arial"/>
          <w:sz w:val="20"/>
        </w:rPr>
      </w:pPr>
      <w:r>
        <w:rPr>
          <w:rFonts w:cs="Arial"/>
          <w:sz w:val="20"/>
        </w:rPr>
        <w:t>ricevuta in data ……….2018 la proposta di delibera consiliare e lo schema del rendiconto per l’esercizio 2017, approvati con delibera della giunta comunale n. ……..del ……..2018, completi dei seguenti documenti obbligatori ai sensi del Decreto Legislativo 18 agosto 2000, n. 267 (Testo unico delle leggi sull'ordinamento degli enti locali – di seguito TUEL):</w:t>
      </w:r>
    </w:p>
    <w:p w14:paraId="7D601F09" w14:textId="77777777" w:rsidR="009F183C" w:rsidRDefault="00757AA1">
      <w:pPr>
        <w:numPr>
          <w:ilvl w:val="0"/>
          <w:numId w:val="2"/>
        </w:numPr>
        <w:spacing w:after="0"/>
        <w:rPr>
          <w:rFonts w:cs="Arial"/>
          <w:sz w:val="20"/>
        </w:rPr>
      </w:pPr>
      <w:r>
        <w:rPr>
          <w:rFonts w:cs="Arial"/>
          <w:sz w:val="20"/>
        </w:rPr>
        <w:t>Conto del bilancio;</w:t>
      </w:r>
    </w:p>
    <w:p w14:paraId="6B93A4DD" w14:textId="77777777" w:rsidR="009F183C" w:rsidRDefault="00757AA1">
      <w:pPr>
        <w:numPr>
          <w:ilvl w:val="0"/>
          <w:numId w:val="2"/>
        </w:numPr>
        <w:spacing w:after="0"/>
        <w:rPr>
          <w:rFonts w:cs="Arial"/>
          <w:sz w:val="18"/>
          <w:szCs w:val="18"/>
        </w:rPr>
      </w:pPr>
      <w:r>
        <w:rPr>
          <w:rFonts w:cs="Arial"/>
          <w:sz w:val="20"/>
        </w:rPr>
        <w:t xml:space="preserve">Conto economico </w:t>
      </w:r>
    </w:p>
    <w:p w14:paraId="1A289139" w14:textId="77777777" w:rsidR="009F183C" w:rsidRDefault="00757AA1">
      <w:pPr>
        <w:numPr>
          <w:ilvl w:val="0"/>
          <w:numId w:val="2"/>
        </w:numPr>
        <w:spacing w:after="0"/>
        <w:rPr>
          <w:rFonts w:cs="Arial"/>
          <w:sz w:val="20"/>
        </w:rPr>
      </w:pPr>
      <w:r>
        <w:rPr>
          <w:rFonts w:cs="Arial"/>
          <w:sz w:val="20"/>
        </w:rPr>
        <w:t xml:space="preserve">Stato patrimoniale; </w:t>
      </w:r>
    </w:p>
    <w:p w14:paraId="2157F094" w14:textId="77777777" w:rsidR="009F183C" w:rsidRDefault="009F183C">
      <w:pPr>
        <w:spacing w:after="0"/>
        <w:ind w:left="567"/>
        <w:rPr>
          <w:rFonts w:cs="Arial"/>
          <w:sz w:val="20"/>
        </w:rPr>
      </w:pPr>
    </w:p>
    <w:p w14:paraId="45B5326F" w14:textId="77777777" w:rsidR="009F183C" w:rsidRDefault="00757AA1">
      <w:pPr>
        <w:spacing w:before="120"/>
        <w:ind w:left="284"/>
        <w:rPr>
          <w:rFonts w:cs="Arial"/>
          <w:sz w:val="20"/>
        </w:rPr>
      </w:pPr>
      <w:r>
        <w:rPr>
          <w:rFonts w:cs="Arial"/>
          <w:sz w:val="20"/>
        </w:rPr>
        <w:t>e corredati dai seguenti allegati disposti dalla legge e necessari per il controllo:</w:t>
      </w:r>
    </w:p>
    <w:p w14:paraId="535CAFE7" w14:textId="77777777" w:rsidR="009F183C" w:rsidRDefault="00757AA1">
      <w:pPr>
        <w:numPr>
          <w:ilvl w:val="0"/>
          <w:numId w:val="3"/>
        </w:numPr>
        <w:tabs>
          <w:tab w:val="left" w:pos="709"/>
        </w:tabs>
        <w:rPr>
          <w:rFonts w:cs="Arial"/>
          <w:sz w:val="20"/>
        </w:rPr>
      </w:pPr>
      <w:r>
        <w:rPr>
          <w:rFonts w:cs="Arial"/>
          <w:sz w:val="20"/>
        </w:rPr>
        <w:t>la relazione sulla gestione dell’organo esecutivo con allegato l’indicatore annuale di tempestività dei pagamenti;</w:t>
      </w:r>
    </w:p>
    <w:p w14:paraId="25D51A1F" w14:textId="77777777" w:rsidR="009F183C" w:rsidRDefault="00757AA1">
      <w:pPr>
        <w:numPr>
          <w:ilvl w:val="0"/>
          <w:numId w:val="3"/>
        </w:numPr>
        <w:tabs>
          <w:tab w:val="left" w:pos="709"/>
        </w:tabs>
        <w:rPr>
          <w:rFonts w:cs="Arial"/>
          <w:sz w:val="20"/>
        </w:rPr>
      </w:pPr>
      <w:r>
        <w:rPr>
          <w:rFonts w:cs="Arial"/>
          <w:sz w:val="20"/>
        </w:rPr>
        <w:t>la delibera dell’organo esecutivo di riaccertamento ordinario dei residui attivi e passivi;</w:t>
      </w:r>
    </w:p>
    <w:p w14:paraId="7B57CBA2" w14:textId="77777777" w:rsidR="009F183C" w:rsidRDefault="00757AA1">
      <w:pPr>
        <w:numPr>
          <w:ilvl w:val="0"/>
          <w:numId w:val="3"/>
        </w:numPr>
        <w:tabs>
          <w:tab w:val="left" w:pos="709"/>
        </w:tabs>
        <w:rPr>
          <w:rFonts w:cs="Arial"/>
          <w:sz w:val="20"/>
        </w:rPr>
      </w:pPr>
      <w:r>
        <w:rPr>
          <w:rFonts w:cs="Arial"/>
          <w:sz w:val="20"/>
        </w:rPr>
        <w:t>il conto del tesoriere (art. 226 TUEL);</w:t>
      </w:r>
    </w:p>
    <w:p w14:paraId="722C04C7" w14:textId="77777777" w:rsidR="009F183C" w:rsidRDefault="00757AA1">
      <w:pPr>
        <w:numPr>
          <w:ilvl w:val="0"/>
          <w:numId w:val="3"/>
        </w:numPr>
        <w:tabs>
          <w:tab w:val="left" w:pos="709"/>
        </w:tabs>
        <w:rPr>
          <w:rFonts w:cs="Arial"/>
          <w:sz w:val="20"/>
        </w:rPr>
      </w:pPr>
      <w:r>
        <w:rPr>
          <w:rFonts w:cs="Arial"/>
          <w:sz w:val="20"/>
        </w:rPr>
        <w:t>il conto degli agenti contabili interni ed esterni (art. 233 TUEL);</w:t>
      </w:r>
    </w:p>
    <w:p w14:paraId="1DC03B1C" w14:textId="77777777" w:rsidR="009F183C" w:rsidRDefault="00757AA1">
      <w:pPr>
        <w:pStyle w:val="Paragrafoelenco"/>
        <w:widowControl/>
        <w:numPr>
          <w:ilvl w:val="0"/>
          <w:numId w:val="3"/>
        </w:numPr>
        <w:overflowPunct/>
        <w:autoSpaceDE/>
        <w:autoSpaceDN/>
        <w:adjustRightInd/>
        <w:spacing w:after="0"/>
        <w:textAlignment w:val="auto"/>
        <w:rPr>
          <w:rFonts w:cs="Arial"/>
          <w:sz w:val="20"/>
        </w:rPr>
      </w:pPr>
      <w:r>
        <w:rPr>
          <w:rFonts w:cs="Arial"/>
          <w:sz w:val="20"/>
        </w:rPr>
        <w:t>il prospetto dimostrativo del risultato di gestione e di amministrazione;</w:t>
      </w:r>
    </w:p>
    <w:p w14:paraId="72A85B8A" w14:textId="77777777" w:rsidR="009F183C" w:rsidRDefault="009F183C">
      <w:pPr>
        <w:pStyle w:val="Paragrafoelenco"/>
        <w:widowControl/>
        <w:overflowPunct/>
        <w:autoSpaceDE/>
        <w:autoSpaceDN/>
        <w:adjustRightInd/>
        <w:spacing w:after="0"/>
        <w:ind w:left="709"/>
        <w:textAlignment w:val="auto"/>
        <w:rPr>
          <w:rFonts w:cs="Arial"/>
          <w:sz w:val="20"/>
        </w:rPr>
      </w:pPr>
    </w:p>
    <w:p w14:paraId="3FCCAA14" w14:textId="77777777" w:rsidR="009F183C" w:rsidRDefault="00757AA1">
      <w:pPr>
        <w:pStyle w:val="Paragrafoelenco"/>
        <w:widowControl/>
        <w:numPr>
          <w:ilvl w:val="0"/>
          <w:numId w:val="3"/>
        </w:numPr>
        <w:overflowPunct/>
        <w:autoSpaceDE/>
        <w:autoSpaceDN/>
        <w:adjustRightInd/>
        <w:spacing w:after="0"/>
        <w:textAlignment w:val="auto"/>
        <w:rPr>
          <w:rFonts w:cs="Arial"/>
          <w:sz w:val="20"/>
        </w:rPr>
      </w:pPr>
      <w:r>
        <w:rPr>
          <w:rFonts w:cs="Arial"/>
          <w:sz w:val="20"/>
        </w:rPr>
        <w:t>il prospetto concernente la composizione, per missioni e programmi, del fondo pluriennale vincolato;</w:t>
      </w:r>
    </w:p>
    <w:p w14:paraId="29A59F4D" w14:textId="77777777" w:rsidR="009F183C" w:rsidRDefault="009F183C">
      <w:pPr>
        <w:pStyle w:val="Paragrafoelenco"/>
        <w:widowControl/>
        <w:overflowPunct/>
        <w:autoSpaceDE/>
        <w:autoSpaceDN/>
        <w:adjustRightInd/>
        <w:spacing w:after="0"/>
        <w:ind w:left="709"/>
        <w:textAlignment w:val="auto"/>
        <w:rPr>
          <w:rFonts w:cs="Arial"/>
          <w:sz w:val="20"/>
        </w:rPr>
      </w:pPr>
    </w:p>
    <w:p w14:paraId="51DD253D" w14:textId="77777777" w:rsidR="009F183C" w:rsidRDefault="00757AA1">
      <w:pPr>
        <w:pStyle w:val="Paragrafoelenco"/>
        <w:widowControl/>
        <w:numPr>
          <w:ilvl w:val="0"/>
          <w:numId w:val="3"/>
        </w:numPr>
        <w:overflowPunct/>
        <w:autoSpaceDE/>
        <w:autoSpaceDN/>
        <w:adjustRightInd/>
        <w:spacing w:after="0"/>
        <w:textAlignment w:val="auto"/>
        <w:rPr>
          <w:rFonts w:cs="Arial"/>
          <w:sz w:val="20"/>
        </w:rPr>
      </w:pPr>
      <w:r>
        <w:rPr>
          <w:rFonts w:cs="Arial"/>
          <w:sz w:val="20"/>
        </w:rPr>
        <w:t>il prospetto concernente la composizione del fondo crediti di dubbia esigibilità;</w:t>
      </w:r>
    </w:p>
    <w:p w14:paraId="2BEA6DF4" w14:textId="77777777" w:rsidR="009F183C" w:rsidRDefault="009F183C">
      <w:pPr>
        <w:pStyle w:val="Paragrafoelenco"/>
        <w:widowControl/>
        <w:overflowPunct/>
        <w:autoSpaceDE/>
        <w:autoSpaceDN/>
        <w:adjustRightInd/>
        <w:spacing w:after="0"/>
        <w:ind w:left="709"/>
        <w:textAlignment w:val="auto"/>
        <w:rPr>
          <w:rFonts w:cs="Arial"/>
          <w:sz w:val="20"/>
        </w:rPr>
      </w:pPr>
    </w:p>
    <w:p w14:paraId="5B88E67B" w14:textId="77777777" w:rsidR="009F183C" w:rsidRDefault="00757AA1">
      <w:pPr>
        <w:pStyle w:val="Paragrafoelenco"/>
        <w:widowControl/>
        <w:numPr>
          <w:ilvl w:val="0"/>
          <w:numId w:val="3"/>
        </w:numPr>
        <w:overflowPunct/>
        <w:autoSpaceDE/>
        <w:autoSpaceDN/>
        <w:adjustRightInd/>
        <w:spacing w:after="0"/>
        <w:textAlignment w:val="auto"/>
        <w:rPr>
          <w:rFonts w:cs="Arial"/>
          <w:sz w:val="20"/>
        </w:rPr>
      </w:pPr>
      <w:r>
        <w:rPr>
          <w:rFonts w:cs="Arial"/>
          <w:sz w:val="20"/>
        </w:rPr>
        <w:t>il prospetto degli accertamenti per titoli, tipologie e categorie (facoltativo per i Comuni sotto 5.000 abitanti);</w:t>
      </w:r>
    </w:p>
    <w:p w14:paraId="2DFEE968" w14:textId="77777777" w:rsidR="009F183C" w:rsidRDefault="009F183C">
      <w:pPr>
        <w:pStyle w:val="Paragrafoelenco"/>
        <w:widowControl/>
        <w:overflowPunct/>
        <w:autoSpaceDE/>
        <w:autoSpaceDN/>
        <w:adjustRightInd/>
        <w:spacing w:after="0"/>
        <w:ind w:left="709"/>
        <w:textAlignment w:val="auto"/>
        <w:rPr>
          <w:rFonts w:cs="Arial"/>
          <w:sz w:val="20"/>
        </w:rPr>
      </w:pPr>
    </w:p>
    <w:p w14:paraId="274D03C3" w14:textId="77777777" w:rsidR="009F183C" w:rsidRDefault="00757AA1">
      <w:pPr>
        <w:pStyle w:val="Paragrafoelenco"/>
        <w:widowControl/>
        <w:numPr>
          <w:ilvl w:val="0"/>
          <w:numId w:val="3"/>
        </w:numPr>
        <w:overflowPunct/>
        <w:autoSpaceDE/>
        <w:autoSpaceDN/>
        <w:adjustRightInd/>
        <w:spacing w:after="0"/>
        <w:textAlignment w:val="auto"/>
        <w:rPr>
          <w:rFonts w:cs="Arial"/>
          <w:sz w:val="20"/>
        </w:rPr>
      </w:pPr>
      <w:r>
        <w:rPr>
          <w:rFonts w:cs="Arial"/>
          <w:sz w:val="20"/>
        </w:rPr>
        <w:t>il prospetto degli impegni per missioni, programmi e macroaggregati (facoltativo per i Comuni sotto 5.000 abitanti);</w:t>
      </w:r>
    </w:p>
    <w:p w14:paraId="50962688" w14:textId="77777777" w:rsidR="009F183C" w:rsidRDefault="009F183C">
      <w:pPr>
        <w:pStyle w:val="Paragrafoelenco"/>
        <w:widowControl/>
        <w:overflowPunct/>
        <w:autoSpaceDE/>
        <w:autoSpaceDN/>
        <w:adjustRightInd/>
        <w:spacing w:after="0"/>
        <w:ind w:left="709"/>
        <w:textAlignment w:val="auto"/>
        <w:rPr>
          <w:rFonts w:cs="Arial"/>
          <w:sz w:val="20"/>
        </w:rPr>
      </w:pPr>
    </w:p>
    <w:p w14:paraId="2B510F51" w14:textId="77777777" w:rsidR="009F183C" w:rsidRDefault="00757AA1">
      <w:pPr>
        <w:pStyle w:val="Paragrafoelenco"/>
        <w:widowControl/>
        <w:numPr>
          <w:ilvl w:val="0"/>
          <w:numId w:val="3"/>
        </w:numPr>
        <w:overflowPunct/>
        <w:autoSpaceDE/>
        <w:autoSpaceDN/>
        <w:adjustRightInd/>
        <w:spacing w:after="0"/>
        <w:ind w:left="709"/>
        <w:textAlignment w:val="auto"/>
        <w:rPr>
          <w:rFonts w:cs="Arial"/>
          <w:sz w:val="20"/>
        </w:rPr>
      </w:pPr>
      <w:r>
        <w:rPr>
          <w:rFonts w:cs="Arial"/>
          <w:sz w:val="20"/>
        </w:rPr>
        <w:t>la tabella dimostrativa degli accertamenti assunti nell’esercizio in corso e negli esercizi precedenti imputati agli esercizi successivi;</w:t>
      </w:r>
    </w:p>
    <w:p w14:paraId="5FC55D15" w14:textId="77777777" w:rsidR="009F183C" w:rsidRDefault="009F183C">
      <w:pPr>
        <w:pStyle w:val="Paragrafoelenco"/>
        <w:widowControl/>
        <w:overflowPunct/>
        <w:autoSpaceDE/>
        <w:autoSpaceDN/>
        <w:adjustRightInd/>
        <w:spacing w:after="0"/>
        <w:ind w:left="709"/>
        <w:textAlignment w:val="auto"/>
        <w:rPr>
          <w:rFonts w:cs="Arial"/>
          <w:sz w:val="20"/>
        </w:rPr>
      </w:pPr>
    </w:p>
    <w:p w14:paraId="3190D37C" w14:textId="77777777" w:rsidR="009F183C" w:rsidRDefault="00757AA1">
      <w:pPr>
        <w:pStyle w:val="Paragrafoelenco"/>
        <w:widowControl/>
        <w:numPr>
          <w:ilvl w:val="0"/>
          <w:numId w:val="3"/>
        </w:numPr>
        <w:overflowPunct/>
        <w:autoSpaceDE/>
        <w:autoSpaceDN/>
        <w:adjustRightInd/>
        <w:spacing w:after="0"/>
        <w:ind w:left="709"/>
        <w:textAlignment w:val="auto"/>
        <w:rPr>
          <w:rFonts w:cs="Arial"/>
          <w:sz w:val="20"/>
        </w:rPr>
      </w:pPr>
      <w:r>
        <w:rPr>
          <w:rFonts w:cs="Arial"/>
          <w:sz w:val="20"/>
        </w:rPr>
        <w:t>la tabella dimostrativa degli impegni assunti nell’esercizio in corso e negli esercizi precedenti imputati agli esercizi successivi;</w:t>
      </w:r>
    </w:p>
    <w:p w14:paraId="1C0E0242" w14:textId="77777777" w:rsidR="009F183C" w:rsidRDefault="009F183C">
      <w:pPr>
        <w:widowControl/>
        <w:overflowPunct/>
        <w:autoSpaceDE/>
        <w:autoSpaceDN/>
        <w:adjustRightInd/>
        <w:spacing w:after="0"/>
        <w:ind w:left="349"/>
        <w:textAlignment w:val="auto"/>
        <w:rPr>
          <w:rFonts w:cs="Arial"/>
          <w:sz w:val="20"/>
        </w:rPr>
      </w:pPr>
    </w:p>
    <w:p w14:paraId="60795905" w14:textId="77777777" w:rsidR="009F183C" w:rsidRDefault="00757AA1">
      <w:pPr>
        <w:pStyle w:val="Paragrafoelenco"/>
        <w:widowControl/>
        <w:numPr>
          <w:ilvl w:val="0"/>
          <w:numId w:val="3"/>
        </w:numPr>
        <w:overflowPunct/>
        <w:autoSpaceDE/>
        <w:autoSpaceDN/>
        <w:adjustRightInd/>
        <w:spacing w:after="0"/>
        <w:textAlignment w:val="auto"/>
        <w:rPr>
          <w:rFonts w:cs="Arial"/>
          <w:sz w:val="20"/>
        </w:rPr>
      </w:pPr>
      <w:r>
        <w:rPr>
          <w:rFonts w:cs="Arial"/>
          <w:sz w:val="20"/>
        </w:rPr>
        <w:t>il prospetto rappresentativo dei costi sostenuti per missione (facoltativo per i Comuni sotto 5.000 abitanti);</w:t>
      </w:r>
    </w:p>
    <w:p w14:paraId="2A58F3C1" w14:textId="77777777" w:rsidR="009F183C" w:rsidRDefault="009F183C">
      <w:pPr>
        <w:pStyle w:val="Paragrafoelenco"/>
        <w:widowControl/>
        <w:overflowPunct/>
        <w:autoSpaceDE/>
        <w:autoSpaceDN/>
        <w:adjustRightInd/>
        <w:spacing w:after="0"/>
        <w:ind w:left="709"/>
        <w:textAlignment w:val="auto"/>
        <w:rPr>
          <w:rFonts w:cs="Arial"/>
          <w:sz w:val="20"/>
        </w:rPr>
      </w:pPr>
    </w:p>
    <w:p w14:paraId="318BEBE9" w14:textId="77777777" w:rsidR="009F183C" w:rsidRDefault="00757AA1">
      <w:pPr>
        <w:pStyle w:val="Paragrafoelenco"/>
        <w:widowControl/>
        <w:numPr>
          <w:ilvl w:val="0"/>
          <w:numId w:val="3"/>
        </w:numPr>
        <w:overflowPunct/>
        <w:autoSpaceDE/>
        <w:autoSpaceDN/>
        <w:adjustRightInd/>
        <w:spacing w:after="0"/>
        <w:textAlignment w:val="auto"/>
        <w:rPr>
          <w:rFonts w:cs="Arial"/>
          <w:sz w:val="20"/>
        </w:rPr>
      </w:pPr>
      <w:r>
        <w:rPr>
          <w:rFonts w:cs="Arial"/>
          <w:sz w:val="20"/>
        </w:rPr>
        <w:t>il prospetto delle spese sostenute per l’utilizzo di contributi e trasferimenti da parte di organismi comunitari e internazionali (facoltativo per i Comuni sotto 5.000 abitanti);</w:t>
      </w:r>
    </w:p>
    <w:p w14:paraId="5FE61758" w14:textId="77777777" w:rsidR="009F183C" w:rsidRDefault="009F183C">
      <w:pPr>
        <w:pStyle w:val="Paragrafoelenco"/>
        <w:widowControl/>
        <w:overflowPunct/>
        <w:autoSpaceDE/>
        <w:autoSpaceDN/>
        <w:adjustRightInd/>
        <w:spacing w:after="0"/>
        <w:ind w:left="709"/>
        <w:textAlignment w:val="auto"/>
        <w:rPr>
          <w:rFonts w:cs="Arial"/>
          <w:sz w:val="20"/>
        </w:rPr>
      </w:pPr>
    </w:p>
    <w:p w14:paraId="191A72AC" w14:textId="77777777" w:rsidR="009F183C" w:rsidRDefault="00757AA1">
      <w:pPr>
        <w:pStyle w:val="Paragrafoelenco"/>
        <w:widowControl/>
        <w:numPr>
          <w:ilvl w:val="0"/>
          <w:numId w:val="3"/>
        </w:numPr>
        <w:overflowPunct/>
        <w:autoSpaceDE/>
        <w:autoSpaceDN/>
        <w:adjustRightInd/>
        <w:spacing w:after="0"/>
        <w:textAlignment w:val="auto"/>
        <w:rPr>
          <w:rFonts w:cs="Arial"/>
          <w:sz w:val="20"/>
        </w:rPr>
      </w:pPr>
      <w:r>
        <w:rPr>
          <w:rFonts w:cs="Arial"/>
          <w:sz w:val="20"/>
        </w:rPr>
        <w:t>il prospetto delle spese sostenute per lo svolgimento delle funzioni delegate dalle regioni (facoltativo per i Comuni sotto 5.000 abitanti);</w:t>
      </w:r>
    </w:p>
    <w:p w14:paraId="26ADF2F3" w14:textId="77777777" w:rsidR="009F183C" w:rsidRDefault="009F183C">
      <w:pPr>
        <w:pStyle w:val="Paragrafoelenco"/>
        <w:widowControl/>
        <w:overflowPunct/>
        <w:autoSpaceDE/>
        <w:autoSpaceDN/>
        <w:adjustRightInd/>
        <w:spacing w:after="0"/>
        <w:ind w:left="709"/>
        <w:textAlignment w:val="auto"/>
        <w:rPr>
          <w:rFonts w:cs="Arial"/>
          <w:sz w:val="20"/>
        </w:rPr>
      </w:pPr>
    </w:p>
    <w:p w14:paraId="7A4E0C2C" w14:textId="77777777" w:rsidR="009F183C" w:rsidRDefault="00757AA1">
      <w:pPr>
        <w:pStyle w:val="Paragrafoelenco"/>
        <w:widowControl/>
        <w:numPr>
          <w:ilvl w:val="0"/>
          <w:numId w:val="3"/>
        </w:numPr>
        <w:overflowPunct/>
        <w:autoSpaceDE/>
        <w:autoSpaceDN/>
        <w:adjustRightInd/>
        <w:spacing w:after="0"/>
        <w:textAlignment w:val="auto"/>
        <w:rPr>
          <w:rFonts w:cs="Arial"/>
          <w:sz w:val="20"/>
        </w:rPr>
      </w:pPr>
      <w:r>
        <w:rPr>
          <w:rFonts w:cs="Arial"/>
          <w:sz w:val="20"/>
        </w:rPr>
        <w:t>il prospetto dei dati SIOPE;</w:t>
      </w:r>
    </w:p>
    <w:p w14:paraId="1F35E128" w14:textId="77777777" w:rsidR="009F183C" w:rsidRDefault="009F183C">
      <w:pPr>
        <w:pStyle w:val="Paragrafoelenco"/>
        <w:widowControl/>
        <w:overflowPunct/>
        <w:autoSpaceDE/>
        <w:autoSpaceDN/>
        <w:adjustRightInd/>
        <w:spacing w:after="0"/>
        <w:ind w:left="709"/>
        <w:textAlignment w:val="auto"/>
        <w:rPr>
          <w:rFonts w:cs="Arial"/>
          <w:sz w:val="20"/>
        </w:rPr>
      </w:pPr>
    </w:p>
    <w:p w14:paraId="710B8808" w14:textId="77777777" w:rsidR="009F183C" w:rsidRDefault="00757AA1">
      <w:pPr>
        <w:pStyle w:val="Paragrafoelenco"/>
        <w:widowControl/>
        <w:numPr>
          <w:ilvl w:val="0"/>
          <w:numId w:val="3"/>
        </w:numPr>
        <w:overflowPunct/>
        <w:autoSpaceDE/>
        <w:autoSpaceDN/>
        <w:adjustRightInd/>
        <w:spacing w:after="0"/>
        <w:textAlignment w:val="auto"/>
        <w:rPr>
          <w:rFonts w:cs="Arial"/>
          <w:sz w:val="20"/>
        </w:rPr>
      </w:pPr>
      <w:r>
        <w:rPr>
          <w:rFonts w:cs="Arial"/>
          <w:sz w:val="20"/>
        </w:rPr>
        <w:t>l’elenco dei residui attivi e passivi provenienti dagli esercizi anteriori a quello di competenza, distintamente per esercizio di provenienza e per capitolo;</w:t>
      </w:r>
    </w:p>
    <w:p w14:paraId="626E8634" w14:textId="77777777" w:rsidR="009F183C" w:rsidRDefault="009F183C">
      <w:pPr>
        <w:pStyle w:val="Paragrafoelenco"/>
        <w:widowControl/>
        <w:overflowPunct/>
        <w:autoSpaceDE/>
        <w:autoSpaceDN/>
        <w:adjustRightInd/>
        <w:spacing w:after="0"/>
        <w:ind w:left="709"/>
        <w:textAlignment w:val="auto"/>
        <w:rPr>
          <w:rFonts w:cs="Arial"/>
          <w:sz w:val="20"/>
        </w:rPr>
      </w:pPr>
    </w:p>
    <w:p w14:paraId="451F56ED" w14:textId="77777777" w:rsidR="009F183C" w:rsidRDefault="00757AA1">
      <w:pPr>
        <w:pStyle w:val="Paragrafoelenco"/>
        <w:widowControl/>
        <w:numPr>
          <w:ilvl w:val="0"/>
          <w:numId w:val="3"/>
        </w:numPr>
        <w:overflowPunct/>
        <w:autoSpaceDE/>
        <w:autoSpaceDN/>
        <w:adjustRightInd/>
        <w:spacing w:after="0"/>
        <w:textAlignment w:val="auto"/>
        <w:rPr>
          <w:rFonts w:cs="Arial"/>
          <w:sz w:val="20"/>
        </w:rPr>
      </w:pPr>
      <w:r>
        <w:rPr>
          <w:rFonts w:cs="Arial"/>
          <w:sz w:val="20"/>
        </w:rPr>
        <w:t>l’elenco dei crediti inesigibili, stralciati dal conto del bilancio, sino al compimento dei termini di prescrizione;</w:t>
      </w:r>
    </w:p>
    <w:p w14:paraId="5E569A5D" w14:textId="77777777" w:rsidR="009F183C" w:rsidRDefault="009F183C">
      <w:pPr>
        <w:pStyle w:val="Paragrafoelenco"/>
        <w:widowControl/>
        <w:overflowPunct/>
        <w:autoSpaceDE/>
        <w:autoSpaceDN/>
        <w:adjustRightInd/>
        <w:spacing w:after="0"/>
        <w:ind w:left="709"/>
        <w:textAlignment w:val="auto"/>
        <w:rPr>
          <w:rFonts w:cs="Arial"/>
          <w:sz w:val="20"/>
        </w:rPr>
      </w:pPr>
    </w:p>
    <w:p w14:paraId="3B6CBA93" w14:textId="77777777" w:rsidR="009F183C" w:rsidRDefault="00757AA1">
      <w:pPr>
        <w:pStyle w:val="Paragrafoelenco"/>
        <w:widowControl/>
        <w:numPr>
          <w:ilvl w:val="0"/>
          <w:numId w:val="24"/>
        </w:numPr>
        <w:overflowPunct/>
        <w:autoSpaceDE/>
        <w:autoSpaceDN/>
        <w:adjustRightInd/>
        <w:spacing w:after="0"/>
        <w:textAlignment w:val="auto"/>
        <w:rPr>
          <w:rFonts w:cs="Arial"/>
          <w:sz w:val="20"/>
        </w:rPr>
      </w:pPr>
      <w:r>
        <w:rPr>
          <w:rFonts w:cs="Arial"/>
          <w:sz w:val="20"/>
        </w:rPr>
        <w:lastRenderedPageBreak/>
        <w:t>l'elenco degli indirizzi internet di pubblicazione del rendiconto della gestione, del bilancio consolidato deliberati e relativi al penultimo esercizio antecedente quello cui si riferisce il bilancio di previsione, dei rendiconti e dei bilanci consolidati delle unioni di comuni di cui il comune fa parte e dei soggetti considerati nel gruppo "amministrazione pubblica" di cui al principio applicato del bilancio consolidato allegato al , decreto legislativo 23 giugno 2011, n. 118 e successive modificazioni, relativi al penultimo esercizio antecedente quello cui il bilancio si riferisce. Tali documenti contabili sono allegati al rendiconto della gestione qualora non integralmente pubblicati nei siti internet indicati nell'elenco;</w:t>
      </w:r>
    </w:p>
    <w:p w14:paraId="553E7C9B" w14:textId="77777777" w:rsidR="009F183C" w:rsidRDefault="009F183C">
      <w:pPr>
        <w:pStyle w:val="Paragrafoelenco"/>
        <w:widowControl/>
        <w:overflowPunct/>
        <w:autoSpaceDE/>
        <w:autoSpaceDN/>
        <w:adjustRightInd/>
        <w:spacing w:after="0"/>
        <w:textAlignment w:val="auto"/>
        <w:rPr>
          <w:rFonts w:cs="Arial"/>
          <w:sz w:val="20"/>
        </w:rPr>
      </w:pPr>
    </w:p>
    <w:p w14:paraId="593F3307" w14:textId="77777777" w:rsidR="009F183C" w:rsidRDefault="00757AA1">
      <w:pPr>
        <w:numPr>
          <w:ilvl w:val="0"/>
          <w:numId w:val="3"/>
        </w:numPr>
        <w:tabs>
          <w:tab w:val="left" w:pos="709"/>
        </w:tabs>
        <w:rPr>
          <w:rFonts w:cs="Arial"/>
          <w:sz w:val="20"/>
        </w:rPr>
      </w:pPr>
      <w:r>
        <w:rPr>
          <w:sz w:val="20"/>
        </w:rPr>
        <w:t>la tabella dei parametri di riscontro della situazione di deficitarietà strutturale (D.M. 18/02/2013);</w:t>
      </w:r>
    </w:p>
    <w:p w14:paraId="689582E2" w14:textId="77777777" w:rsidR="009F183C" w:rsidRDefault="00757AA1">
      <w:pPr>
        <w:numPr>
          <w:ilvl w:val="0"/>
          <w:numId w:val="3"/>
        </w:numPr>
        <w:tabs>
          <w:tab w:val="left" w:pos="709"/>
        </w:tabs>
        <w:rPr>
          <w:rFonts w:cs="Arial"/>
          <w:sz w:val="20"/>
        </w:rPr>
      </w:pPr>
      <w:r>
        <w:rPr>
          <w:rFonts w:cs="Arial"/>
          <w:sz w:val="20"/>
        </w:rPr>
        <w:t>il piano degli indicatori e risultati di bilancio (art. 227/TUEL, c. 5);</w:t>
      </w:r>
    </w:p>
    <w:p w14:paraId="4ACB1528" w14:textId="3E31F5FF" w:rsidR="009F183C" w:rsidRDefault="00722CDB">
      <w:pPr>
        <w:numPr>
          <w:ilvl w:val="0"/>
          <w:numId w:val="3"/>
        </w:numPr>
        <w:tabs>
          <w:tab w:val="left" w:pos="709"/>
        </w:tabs>
        <w:rPr>
          <w:rFonts w:cs="Arial"/>
          <w:sz w:val="20"/>
        </w:rPr>
      </w:pPr>
      <w:r>
        <w:rPr>
          <w:rFonts w:cs="Arial"/>
          <w:sz w:val="20"/>
        </w:rPr>
        <w:t>l’inventario</w:t>
      </w:r>
      <w:r w:rsidR="00757AA1">
        <w:rPr>
          <w:rFonts w:cs="Arial"/>
          <w:sz w:val="20"/>
        </w:rPr>
        <w:t xml:space="preserve"> generale (art. 230/TUEL, c. 7);</w:t>
      </w:r>
    </w:p>
    <w:p w14:paraId="6BF77F70" w14:textId="77777777" w:rsidR="009F183C" w:rsidRDefault="00757AA1">
      <w:pPr>
        <w:numPr>
          <w:ilvl w:val="0"/>
          <w:numId w:val="3"/>
        </w:numPr>
        <w:tabs>
          <w:tab w:val="left" w:pos="709"/>
        </w:tabs>
        <w:rPr>
          <w:rFonts w:cs="Arial"/>
          <w:sz w:val="20"/>
        </w:rPr>
      </w:pPr>
      <w:r>
        <w:rPr>
          <w:rFonts w:cs="Arial"/>
          <w:sz w:val="20"/>
        </w:rPr>
        <w:t>la nota informativa che evidenzi gli impegni sostenuti derivanti dai contratti relativi a strumenti derivati o da contratti di finanziamento che includono una componente derivata (art. 62, comma 8 della Legge 133/08);</w:t>
      </w:r>
    </w:p>
    <w:p w14:paraId="10E0D8B6" w14:textId="77777777" w:rsidR="009F183C" w:rsidRDefault="00757AA1">
      <w:pPr>
        <w:numPr>
          <w:ilvl w:val="0"/>
          <w:numId w:val="3"/>
        </w:numPr>
        <w:tabs>
          <w:tab w:val="left" w:pos="709"/>
        </w:tabs>
        <w:rPr>
          <w:rFonts w:cs="Arial"/>
          <w:sz w:val="20"/>
        </w:rPr>
      </w:pPr>
      <w:r>
        <w:rPr>
          <w:rFonts w:cs="Arial"/>
          <w:sz w:val="20"/>
        </w:rPr>
        <w:t>il prospetto spese di rappresentanza anno 2017 (art.16, D.L. 138/2011, c. 26, e D.M. 23/1/2012);</w:t>
      </w:r>
    </w:p>
    <w:p w14:paraId="1CE67CAF" w14:textId="77777777" w:rsidR="009F183C" w:rsidRDefault="00757AA1">
      <w:pPr>
        <w:numPr>
          <w:ilvl w:val="0"/>
          <w:numId w:val="3"/>
        </w:numPr>
        <w:tabs>
          <w:tab w:val="left" w:pos="709"/>
        </w:tabs>
        <w:rPr>
          <w:rFonts w:cs="Arial"/>
          <w:i/>
          <w:sz w:val="20"/>
        </w:rPr>
      </w:pPr>
      <w:r>
        <w:rPr>
          <w:rFonts w:cs="Arial"/>
          <w:sz w:val="20"/>
        </w:rPr>
        <w:t>la certificazione rispetto obiettivi anno 2017 del saldo di finanza pubblica;</w:t>
      </w:r>
    </w:p>
    <w:p w14:paraId="514A12C0" w14:textId="77777777" w:rsidR="009F183C" w:rsidRDefault="00757AA1">
      <w:pPr>
        <w:numPr>
          <w:ilvl w:val="0"/>
          <w:numId w:val="3"/>
        </w:numPr>
        <w:tabs>
          <w:tab w:val="left" w:pos="709"/>
        </w:tabs>
        <w:rPr>
          <w:rFonts w:cs="Arial"/>
          <w:sz w:val="20"/>
        </w:rPr>
      </w:pPr>
      <w:r>
        <w:rPr>
          <w:rFonts w:cs="Arial"/>
          <w:sz w:val="20"/>
        </w:rPr>
        <w:t>l’attestazione, rilasciata dai responsabili dei servizi, dell’insussistenza alla chiusura dell’esercizio di debiti fuori bilancio;</w:t>
      </w:r>
    </w:p>
    <w:p w14:paraId="21BE2D0A" w14:textId="77777777" w:rsidR="009F183C" w:rsidRDefault="00757AA1">
      <w:pPr>
        <w:numPr>
          <w:ilvl w:val="0"/>
          <w:numId w:val="3"/>
        </w:numPr>
        <w:tabs>
          <w:tab w:val="left" w:pos="709"/>
        </w:tabs>
        <w:rPr>
          <w:rFonts w:cs="Arial"/>
          <w:sz w:val="20"/>
        </w:rPr>
      </w:pPr>
      <w:r>
        <w:rPr>
          <w:rFonts w:cs="Arial"/>
          <w:sz w:val="20"/>
        </w:rPr>
        <w:t>(eventuale) la relazione sulle passività potenziali probabili derivanti dal contenzioso;</w:t>
      </w:r>
    </w:p>
    <w:p w14:paraId="17D29195" w14:textId="77777777" w:rsidR="009F183C" w:rsidRDefault="00757AA1">
      <w:pPr>
        <w:numPr>
          <w:ilvl w:val="0"/>
          <w:numId w:val="3"/>
        </w:numPr>
        <w:tabs>
          <w:tab w:val="left" w:pos="709"/>
        </w:tabs>
        <w:rPr>
          <w:rFonts w:cs="Arial"/>
          <w:sz w:val="20"/>
        </w:rPr>
      </w:pPr>
      <w:r>
        <w:rPr>
          <w:rFonts w:cs="Arial"/>
          <w:sz w:val="20"/>
        </w:rPr>
        <w:t>elenco delle entrate e spese non ricorrenti;</w:t>
      </w:r>
    </w:p>
    <w:p w14:paraId="0427B668" w14:textId="77777777" w:rsidR="009F183C" w:rsidRDefault="00757AA1">
      <w:pPr>
        <w:numPr>
          <w:ilvl w:val="0"/>
          <w:numId w:val="3"/>
        </w:numPr>
        <w:tabs>
          <w:tab w:val="left" w:pos="709"/>
        </w:tabs>
        <w:rPr>
          <w:rFonts w:cs="Arial"/>
          <w:b/>
          <w:sz w:val="20"/>
        </w:rPr>
      </w:pPr>
      <w:r>
        <w:rPr>
          <w:rFonts w:cs="Arial"/>
          <w:sz w:val="20"/>
        </w:rPr>
        <w:t xml:space="preserve">_______________ </w:t>
      </w:r>
      <w:r>
        <w:rPr>
          <w:rFonts w:cs="Arial"/>
          <w:b/>
          <w:color w:val="0070C0"/>
          <w:sz w:val="18"/>
          <w:szCs w:val="18"/>
        </w:rPr>
        <w:t>(</w:t>
      </w:r>
      <w:r>
        <w:rPr>
          <w:rFonts w:cs="Arial"/>
          <w:b/>
          <w:iCs/>
          <w:color w:val="0070C0"/>
          <w:sz w:val="18"/>
          <w:szCs w:val="18"/>
        </w:rPr>
        <w:t>altri documenti previsti dal regolamento di contabilità)</w:t>
      </w:r>
      <w:r>
        <w:rPr>
          <w:rFonts w:cs="Arial"/>
          <w:b/>
          <w:sz w:val="20"/>
        </w:rPr>
        <w:t>;</w:t>
      </w:r>
    </w:p>
    <w:p w14:paraId="028D6CE1" w14:textId="77777777" w:rsidR="009F183C" w:rsidRDefault="00757AA1">
      <w:pPr>
        <w:numPr>
          <w:ilvl w:val="0"/>
          <w:numId w:val="1"/>
        </w:numPr>
        <w:rPr>
          <w:rFonts w:cs="Arial"/>
          <w:sz w:val="20"/>
        </w:rPr>
      </w:pPr>
      <w:r>
        <w:rPr>
          <w:rFonts w:cs="Arial"/>
          <w:sz w:val="20"/>
        </w:rPr>
        <w:t xml:space="preserve">visto il bilancio di previsione dell’esercizio 2017 con le relative delibere di variazione; </w:t>
      </w:r>
    </w:p>
    <w:p w14:paraId="0696B6F4" w14:textId="77777777" w:rsidR="009F183C" w:rsidRDefault="00757AA1">
      <w:pPr>
        <w:numPr>
          <w:ilvl w:val="0"/>
          <w:numId w:val="1"/>
        </w:numPr>
        <w:rPr>
          <w:rFonts w:cs="Arial"/>
          <w:sz w:val="20"/>
        </w:rPr>
      </w:pPr>
      <w:r>
        <w:rPr>
          <w:rFonts w:cs="Arial"/>
          <w:sz w:val="20"/>
        </w:rPr>
        <w:t>viste le disposizioni della parte II – ordinamento finanziario e contabile del Tuel;</w:t>
      </w:r>
    </w:p>
    <w:p w14:paraId="5EF55F7F" w14:textId="77777777" w:rsidR="009F183C" w:rsidRDefault="00757AA1">
      <w:pPr>
        <w:numPr>
          <w:ilvl w:val="0"/>
          <w:numId w:val="1"/>
        </w:numPr>
        <w:rPr>
          <w:rFonts w:cs="Arial"/>
          <w:sz w:val="20"/>
        </w:rPr>
      </w:pPr>
      <w:r>
        <w:rPr>
          <w:rFonts w:cs="Arial"/>
          <w:sz w:val="20"/>
        </w:rPr>
        <w:t>visto in particolare l’articolo 239, comma 1 lettera d) del TUEL;</w:t>
      </w:r>
    </w:p>
    <w:p w14:paraId="065D6618" w14:textId="77777777" w:rsidR="009F183C" w:rsidRDefault="00757AA1">
      <w:pPr>
        <w:numPr>
          <w:ilvl w:val="0"/>
          <w:numId w:val="1"/>
        </w:numPr>
        <w:rPr>
          <w:rFonts w:cs="Arial"/>
          <w:sz w:val="20"/>
        </w:rPr>
      </w:pPr>
      <w:r>
        <w:rPr>
          <w:rFonts w:cs="Arial"/>
          <w:sz w:val="20"/>
        </w:rPr>
        <w:t>visto il D.lgs. 118/2011</w:t>
      </w:r>
    </w:p>
    <w:p w14:paraId="48225E8A" w14:textId="77777777" w:rsidR="009F183C" w:rsidRDefault="00757AA1">
      <w:pPr>
        <w:numPr>
          <w:ilvl w:val="0"/>
          <w:numId w:val="1"/>
        </w:numPr>
        <w:rPr>
          <w:rFonts w:cs="Arial"/>
          <w:sz w:val="20"/>
        </w:rPr>
      </w:pPr>
      <w:r>
        <w:rPr>
          <w:rFonts w:cs="Arial"/>
          <w:sz w:val="20"/>
        </w:rPr>
        <w:t>visti i principi contabili applicabili agli enti locali per l’anno 2017;</w:t>
      </w:r>
    </w:p>
    <w:p w14:paraId="6991BA55" w14:textId="77777777" w:rsidR="009F183C" w:rsidRDefault="00757AA1">
      <w:pPr>
        <w:numPr>
          <w:ilvl w:val="0"/>
          <w:numId w:val="1"/>
        </w:numPr>
        <w:rPr>
          <w:rFonts w:cs="Arial"/>
          <w:sz w:val="20"/>
        </w:rPr>
      </w:pPr>
      <w:r>
        <w:rPr>
          <w:rFonts w:cs="Arial"/>
          <w:sz w:val="20"/>
        </w:rPr>
        <w:t>visto il regolamento di contabilità approvato con delibera dell’organo consiliare</w:t>
      </w:r>
      <w:r>
        <w:rPr>
          <w:rFonts w:cs="Arial"/>
          <w:i/>
          <w:sz w:val="20"/>
        </w:rPr>
        <w:t xml:space="preserve"> </w:t>
      </w:r>
      <w:r>
        <w:rPr>
          <w:rFonts w:cs="Arial"/>
          <w:sz w:val="20"/>
        </w:rPr>
        <w:t>n. …… del …….;</w:t>
      </w:r>
    </w:p>
    <w:p w14:paraId="16A645CB" w14:textId="77777777" w:rsidR="009F183C" w:rsidRDefault="00757AA1">
      <w:pPr>
        <w:numPr>
          <w:ilvl w:val="12"/>
          <w:numId w:val="0"/>
        </w:numPr>
        <w:spacing w:before="120" w:after="240"/>
        <w:jc w:val="center"/>
        <w:rPr>
          <w:rFonts w:cs="Arial"/>
          <w:b/>
          <w:caps/>
          <w:sz w:val="20"/>
        </w:rPr>
      </w:pPr>
      <w:r>
        <w:rPr>
          <w:rFonts w:cs="Arial"/>
          <w:b/>
          <w:caps/>
          <w:sz w:val="20"/>
        </w:rPr>
        <w:t xml:space="preserve">rilevato </w:t>
      </w:r>
    </w:p>
    <w:p w14:paraId="03D03A57" w14:textId="77777777" w:rsidR="009F183C" w:rsidRDefault="00757AA1">
      <w:pPr>
        <w:pStyle w:val="Didascalia"/>
        <w:rPr>
          <w:b w:val="0"/>
          <w:sz w:val="20"/>
          <w:u w:val="none"/>
        </w:rPr>
      </w:pPr>
      <w:r>
        <w:rPr>
          <w:b w:val="0"/>
          <w:u w:val="none"/>
        </w:rPr>
        <w:t>- (</w:t>
      </w:r>
      <w:r>
        <w:rPr>
          <w:b w:val="0"/>
          <w:i/>
        </w:rPr>
        <w:t>per i comuni sotto i 5.000 abitanti</w:t>
      </w:r>
      <w:r>
        <w:rPr>
          <w:b w:val="0"/>
          <w:u w:val="none"/>
        </w:rPr>
        <w:t xml:space="preserve">) </w:t>
      </w:r>
      <w:r>
        <w:rPr>
          <w:b w:val="0"/>
          <w:sz w:val="20"/>
          <w:u w:val="none"/>
        </w:rPr>
        <w:t>che “al primo rendiconto di affiancamento della contabilità economico-patrimoniale alla contabilità finanziaria previsto dall’art.2, commi 1 e 2, è allegato anche lo stato patrimoniale iniziale” ai sensi dell’art.11 comma 13 D.Lgs.118/2011 e nel rispetto del principio contabile applicato 4/3;</w:t>
      </w:r>
    </w:p>
    <w:p w14:paraId="665ADAEB" w14:textId="77777777" w:rsidR="009F183C" w:rsidRDefault="00757AA1">
      <w:pPr>
        <w:pStyle w:val="Paragrafoelenco"/>
        <w:numPr>
          <w:ilvl w:val="0"/>
          <w:numId w:val="24"/>
        </w:numPr>
        <w:rPr>
          <w:sz w:val="20"/>
        </w:rPr>
      </w:pPr>
      <w:r>
        <w:rPr>
          <w:rFonts w:cs="Arial"/>
          <w:sz w:val="20"/>
        </w:rPr>
        <w:t>che l’Ente è in dissesto dal ………/ non è in dissesto;</w:t>
      </w:r>
    </w:p>
    <w:p w14:paraId="468D55DE" w14:textId="77777777" w:rsidR="009F183C" w:rsidRDefault="00757AA1">
      <w:pPr>
        <w:pStyle w:val="Paragrafoelenco"/>
        <w:numPr>
          <w:ilvl w:val="0"/>
          <w:numId w:val="24"/>
        </w:numPr>
        <w:rPr>
          <w:sz w:val="20"/>
        </w:rPr>
      </w:pPr>
      <w:r>
        <w:rPr>
          <w:rFonts w:cs="Arial"/>
          <w:sz w:val="20"/>
        </w:rPr>
        <w:t>che l’Ente sta attuando un piano di riequilibrio finanziario pluriennale dal …….. / non sta attuando un piano di riequilibrio finanziario pluriennale;</w:t>
      </w:r>
    </w:p>
    <w:p w14:paraId="37240016" w14:textId="77777777" w:rsidR="009F183C" w:rsidRDefault="00757AA1">
      <w:pPr>
        <w:pStyle w:val="Paragrafoelenco"/>
        <w:numPr>
          <w:ilvl w:val="0"/>
          <w:numId w:val="24"/>
        </w:numPr>
        <w:rPr>
          <w:sz w:val="20"/>
        </w:rPr>
      </w:pPr>
      <w:r>
        <w:rPr>
          <w:rFonts w:cs="Arial"/>
          <w:sz w:val="20"/>
        </w:rPr>
        <w:t>(</w:t>
      </w:r>
      <w:r>
        <w:rPr>
          <w:rFonts w:cs="Arial"/>
          <w:i/>
          <w:color w:val="00B0F0"/>
          <w:sz w:val="20"/>
        </w:rPr>
        <w:t>ad eccezione delle Città metropolitane</w:t>
      </w:r>
      <w:r>
        <w:rPr>
          <w:rFonts w:cs="Arial"/>
          <w:sz w:val="20"/>
        </w:rPr>
        <w:t>) l’Ente partecipa/non partecipa ad un’Unione o ad un consorzio di Comuni (</w:t>
      </w:r>
      <w:r>
        <w:rPr>
          <w:rFonts w:cs="Arial"/>
          <w:i/>
          <w:sz w:val="20"/>
        </w:rPr>
        <w:t>in caso di risposta affermativa indicare la denominazione</w:t>
      </w:r>
      <w:r>
        <w:rPr>
          <w:rFonts w:cs="Arial"/>
          <w:sz w:val="20"/>
        </w:rPr>
        <w:t>)</w:t>
      </w:r>
    </w:p>
    <w:p w14:paraId="7B242F0B" w14:textId="77777777" w:rsidR="009F183C" w:rsidRDefault="009F183C"/>
    <w:p w14:paraId="362DBE25" w14:textId="77777777" w:rsidR="009F183C" w:rsidRDefault="00757AA1">
      <w:pPr>
        <w:numPr>
          <w:ilvl w:val="12"/>
          <w:numId w:val="0"/>
        </w:numPr>
        <w:spacing w:before="120" w:after="240"/>
        <w:jc w:val="center"/>
        <w:rPr>
          <w:rFonts w:cs="Arial"/>
          <w:caps/>
          <w:sz w:val="20"/>
        </w:rPr>
      </w:pPr>
      <w:r>
        <w:rPr>
          <w:rFonts w:cs="Arial"/>
          <w:b/>
          <w:caps/>
          <w:sz w:val="20"/>
        </w:rPr>
        <w:t>Tenuto conto che</w:t>
      </w:r>
    </w:p>
    <w:p w14:paraId="13E462BE" w14:textId="77777777" w:rsidR="009F183C" w:rsidRDefault="00757AA1">
      <w:pPr>
        <w:numPr>
          <w:ilvl w:val="0"/>
          <w:numId w:val="1"/>
        </w:numPr>
        <w:rPr>
          <w:rFonts w:cs="Arial"/>
          <w:sz w:val="20"/>
        </w:rPr>
      </w:pPr>
      <w:r>
        <w:rPr>
          <w:rFonts w:cs="Arial"/>
          <w:sz w:val="20"/>
        </w:rPr>
        <w:t>durante l’esercizio le funzioni sono state svolte in ottemperanza alle competenze contenute nell’art. 239 del TUEL avvalendosi per il controllo di regolarità amministrativa e contabile di tecniche motivate di campionamento;</w:t>
      </w:r>
    </w:p>
    <w:p w14:paraId="3BACC992" w14:textId="77777777" w:rsidR="009F183C" w:rsidRDefault="00757AA1">
      <w:pPr>
        <w:numPr>
          <w:ilvl w:val="0"/>
          <w:numId w:val="1"/>
        </w:numPr>
        <w:rPr>
          <w:rFonts w:cs="Arial"/>
          <w:sz w:val="20"/>
        </w:rPr>
      </w:pPr>
      <w:r>
        <w:rPr>
          <w:rFonts w:cs="Arial"/>
          <w:sz w:val="20"/>
        </w:rPr>
        <w:t>il controllo contabile è stato svolto in assoluta indipendenza soggettiva ed oggettiva nei confronti delle persone che determinano gli atti e le operazioni dell’ente;</w:t>
      </w:r>
    </w:p>
    <w:p w14:paraId="6EBDC8DE" w14:textId="77777777" w:rsidR="009F183C" w:rsidRDefault="00757AA1">
      <w:pPr>
        <w:numPr>
          <w:ilvl w:val="0"/>
          <w:numId w:val="1"/>
        </w:numPr>
        <w:rPr>
          <w:rFonts w:cs="Arial"/>
          <w:sz w:val="20"/>
        </w:rPr>
      </w:pPr>
      <w:r>
        <w:rPr>
          <w:rFonts w:cs="Arial"/>
          <w:sz w:val="20"/>
        </w:rPr>
        <w:lastRenderedPageBreak/>
        <w:t>si è provveduto a verificare la regolarità ed i presupposti delle variazioni di bilancio approvate nel corso dell’esercizio dalla Giunta, dal responsabile del servizio finanziario e dai dirigenti, anche nel corso dell’esercizio provvisorio;</w:t>
      </w:r>
    </w:p>
    <w:p w14:paraId="01CFDCE5" w14:textId="77777777" w:rsidR="009F183C" w:rsidRDefault="00757AA1">
      <w:pPr>
        <w:rPr>
          <w:rFonts w:cs="Arial"/>
          <w:sz w:val="20"/>
        </w:rPr>
      </w:pPr>
      <w:r>
        <w:rPr>
          <w:rFonts w:cs="Arial"/>
          <w:sz w:val="20"/>
        </w:rPr>
        <w:t>In particolare, ai sensi art. 239 comma 1 lett. b) 2, è stata verificata l’esistenza dei presupposti relativamente le seguenti variazioni di bilancio:</w:t>
      </w:r>
    </w:p>
    <w:tbl>
      <w:tblPr>
        <w:tblStyle w:val="Grigliatabella"/>
        <w:tblW w:w="0" w:type="auto"/>
        <w:tblLook w:val="04A0" w:firstRow="1" w:lastRow="0" w:firstColumn="1" w:lastColumn="0" w:noHBand="0" w:noVBand="1"/>
      </w:tblPr>
      <w:tblGrid>
        <w:gridCol w:w="7261"/>
        <w:gridCol w:w="1376"/>
      </w:tblGrid>
      <w:tr w:rsidR="009F183C" w14:paraId="5E035B74" w14:textId="77777777">
        <w:tc>
          <w:tcPr>
            <w:tcW w:w="7650" w:type="dxa"/>
          </w:tcPr>
          <w:p w14:paraId="1E59F491" w14:textId="77777777" w:rsidR="009F183C" w:rsidRDefault="00757AA1">
            <w:pPr>
              <w:rPr>
                <w:rFonts w:cs="Arial"/>
                <w:sz w:val="20"/>
              </w:rPr>
            </w:pPr>
            <w:r>
              <w:rPr>
                <w:rFonts w:cs="Arial"/>
                <w:sz w:val="20"/>
              </w:rPr>
              <w:t>Variazioni di bilancio totali</w:t>
            </w:r>
          </w:p>
        </w:tc>
        <w:tc>
          <w:tcPr>
            <w:tcW w:w="1411" w:type="dxa"/>
          </w:tcPr>
          <w:p w14:paraId="7C081B11" w14:textId="77777777" w:rsidR="009F183C" w:rsidRDefault="00757AA1">
            <w:pPr>
              <w:rPr>
                <w:rFonts w:cs="Arial"/>
                <w:sz w:val="20"/>
              </w:rPr>
            </w:pPr>
            <w:r>
              <w:rPr>
                <w:rFonts w:cs="Arial"/>
                <w:sz w:val="20"/>
              </w:rPr>
              <w:t>n……..</w:t>
            </w:r>
          </w:p>
        </w:tc>
      </w:tr>
      <w:tr w:rsidR="009F183C" w14:paraId="2BE11CB3" w14:textId="77777777">
        <w:tc>
          <w:tcPr>
            <w:tcW w:w="7650" w:type="dxa"/>
          </w:tcPr>
          <w:p w14:paraId="41D849C8" w14:textId="77777777" w:rsidR="009F183C" w:rsidRDefault="00757AA1">
            <w:pPr>
              <w:rPr>
                <w:rFonts w:cs="Arial"/>
                <w:sz w:val="20"/>
              </w:rPr>
            </w:pPr>
            <w:r>
              <w:rPr>
                <w:rFonts w:cs="Arial"/>
                <w:sz w:val="20"/>
              </w:rPr>
              <w:t>di cui variazioni di Consiglio</w:t>
            </w:r>
          </w:p>
        </w:tc>
        <w:tc>
          <w:tcPr>
            <w:tcW w:w="1411" w:type="dxa"/>
          </w:tcPr>
          <w:p w14:paraId="219352ED" w14:textId="77777777" w:rsidR="009F183C" w:rsidRDefault="00757AA1">
            <w:pPr>
              <w:rPr>
                <w:rFonts w:cs="Arial"/>
                <w:sz w:val="20"/>
              </w:rPr>
            </w:pPr>
            <w:r>
              <w:rPr>
                <w:rFonts w:cs="Arial"/>
                <w:sz w:val="20"/>
              </w:rPr>
              <w:t>n……..</w:t>
            </w:r>
          </w:p>
        </w:tc>
      </w:tr>
      <w:tr w:rsidR="009F183C" w14:paraId="54DF84F2" w14:textId="77777777">
        <w:tc>
          <w:tcPr>
            <w:tcW w:w="7650" w:type="dxa"/>
          </w:tcPr>
          <w:p w14:paraId="7616C741" w14:textId="77777777" w:rsidR="009F183C" w:rsidRDefault="00757AA1">
            <w:pPr>
              <w:rPr>
                <w:rFonts w:cs="Arial"/>
                <w:sz w:val="20"/>
              </w:rPr>
            </w:pPr>
            <w:r>
              <w:rPr>
                <w:rFonts w:cs="Arial"/>
                <w:sz w:val="20"/>
              </w:rPr>
              <w:t>di cui variazioni di Giunta con i poteri del consiglio a ratifica ex art. 175 c. 4 Tuel</w:t>
            </w:r>
          </w:p>
        </w:tc>
        <w:tc>
          <w:tcPr>
            <w:tcW w:w="1411" w:type="dxa"/>
          </w:tcPr>
          <w:p w14:paraId="62E70CB6" w14:textId="77777777" w:rsidR="009F183C" w:rsidRDefault="00757AA1">
            <w:pPr>
              <w:rPr>
                <w:rFonts w:cs="Arial"/>
                <w:sz w:val="20"/>
              </w:rPr>
            </w:pPr>
            <w:r>
              <w:rPr>
                <w:rFonts w:cs="Arial"/>
                <w:sz w:val="20"/>
              </w:rPr>
              <w:t>n……..</w:t>
            </w:r>
          </w:p>
        </w:tc>
      </w:tr>
      <w:tr w:rsidR="009F183C" w14:paraId="4A16A7B8" w14:textId="77777777">
        <w:tc>
          <w:tcPr>
            <w:tcW w:w="7650" w:type="dxa"/>
          </w:tcPr>
          <w:p w14:paraId="1DFC2829" w14:textId="77777777" w:rsidR="009F183C" w:rsidRDefault="00757AA1">
            <w:pPr>
              <w:rPr>
                <w:rFonts w:cs="Arial"/>
                <w:sz w:val="20"/>
              </w:rPr>
            </w:pPr>
            <w:r>
              <w:rPr>
                <w:rFonts w:cs="Arial"/>
                <w:sz w:val="20"/>
              </w:rPr>
              <w:t>di cui variazioni di Giunta con i poteri propri ex art. 175 comma 5 bis Tuel</w:t>
            </w:r>
          </w:p>
        </w:tc>
        <w:tc>
          <w:tcPr>
            <w:tcW w:w="1411" w:type="dxa"/>
          </w:tcPr>
          <w:p w14:paraId="6D9D641D" w14:textId="77777777" w:rsidR="009F183C" w:rsidRDefault="00757AA1">
            <w:pPr>
              <w:rPr>
                <w:rFonts w:cs="Arial"/>
                <w:sz w:val="20"/>
              </w:rPr>
            </w:pPr>
            <w:r>
              <w:rPr>
                <w:rFonts w:cs="Arial"/>
                <w:sz w:val="20"/>
              </w:rPr>
              <w:t>n……..</w:t>
            </w:r>
          </w:p>
        </w:tc>
      </w:tr>
      <w:tr w:rsidR="009F183C" w14:paraId="5E6045B4" w14:textId="77777777">
        <w:tc>
          <w:tcPr>
            <w:tcW w:w="7650" w:type="dxa"/>
          </w:tcPr>
          <w:p w14:paraId="622D08FF" w14:textId="77777777" w:rsidR="009F183C" w:rsidRDefault="00757AA1">
            <w:pPr>
              <w:rPr>
                <w:rFonts w:cs="Arial"/>
                <w:sz w:val="20"/>
              </w:rPr>
            </w:pPr>
            <w:r>
              <w:rPr>
                <w:rFonts w:cs="Arial"/>
                <w:sz w:val="20"/>
              </w:rPr>
              <w:t>di cui variazioni responsabile servizio finanziario ex art. 175 c. 5 quater Tuel</w:t>
            </w:r>
          </w:p>
        </w:tc>
        <w:tc>
          <w:tcPr>
            <w:tcW w:w="1411" w:type="dxa"/>
          </w:tcPr>
          <w:p w14:paraId="74BEFF97" w14:textId="77777777" w:rsidR="009F183C" w:rsidRDefault="00757AA1">
            <w:pPr>
              <w:rPr>
                <w:rFonts w:cs="Arial"/>
                <w:sz w:val="20"/>
              </w:rPr>
            </w:pPr>
            <w:r>
              <w:rPr>
                <w:rFonts w:cs="Arial"/>
                <w:sz w:val="20"/>
              </w:rPr>
              <w:t>n……..</w:t>
            </w:r>
          </w:p>
        </w:tc>
      </w:tr>
      <w:tr w:rsidR="009F183C" w14:paraId="666C963E" w14:textId="77777777">
        <w:tc>
          <w:tcPr>
            <w:tcW w:w="7650" w:type="dxa"/>
          </w:tcPr>
          <w:p w14:paraId="2E5F025A" w14:textId="77777777" w:rsidR="009F183C" w:rsidRDefault="00757AA1">
            <w:pPr>
              <w:rPr>
                <w:rFonts w:cs="Arial"/>
                <w:sz w:val="20"/>
              </w:rPr>
            </w:pPr>
            <w:r>
              <w:rPr>
                <w:rFonts w:cs="Arial"/>
                <w:sz w:val="20"/>
              </w:rPr>
              <w:t>di cui variazioni altri responsabili se previsto dal regolamento di contabilità</w:t>
            </w:r>
          </w:p>
        </w:tc>
        <w:tc>
          <w:tcPr>
            <w:tcW w:w="1411" w:type="dxa"/>
          </w:tcPr>
          <w:p w14:paraId="0DEA091F" w14:textId="77777777" w:rsidR="009F183C" w:rsidRDefault="00757AA1">
            <w:pPr>
              <w:rPr>
                <w:rFonts w:cs="Arial"/>
                <w:sz w:val="20"/>
              </w:rPr>
            </w:pPr>
            <w:r>
              <w:rPr>
                <w:rFonts w:cs="Arial"/>
                <w:sz w:val="20"/>
              </w:rPr>
              <w:t>n……..</w:t>
            </w:r>
          </w:p>
        </w:tc>
      </w:tr>
    </w:tbl>
    <w:p w14:paraId="6ECCBA43" w14:textId="77777777" w:rsidR="009F183C" w:rsidRDefault="009F183C">
      <w:pPr>
        <w:ind w:left="283"/>
        <w:rPr>
          <w:rFonts w:cs="Arial"/>
          <w:sz w:val="20"/>
        </w:rPr>
      </w:pPr>
    </w:p>
    <w:p w14:paraId="3F129234" w14:textId="77777777" w:rsidR="009F183C" w:rsidRDefault="00757AA1">
      <w:pPr>
        <w:numPr>
          <w:ilvl w:val="0"/>
          <w:numId w:val="1"/>
        </w:numPr>
        <w:rPr>
          <w:rFonts w:cs="Arial"/>
          <w:sz w:val="20"/>
        </w:rPr>
      </w:pPr>
      <w:r>
        <w:rPr>
          <w:rFonts w:cs="Arial"/>
          <w:sz w:val="20"/>
        </w:rPr>
        <w:t>le funzioni richiamate e i relativi pareri espressi dall’organo di revisione risultano dettagliatamente riportati nei verbali dal n. ……….. al n. ………e nelle carte di lavoro;</w:t>
      </w:r>
    </w:p>
    <w:p w14:paraId="467FA417" w14:textId="77777777" w:rsidR="009F183C" w:rsidRDefault="00757AA1">
      <w:pPr>
        <w:numPr>
          <w:ilvl w:val="0"/>
          <w:numId w:val="1"/>
        </w:numPr>
        <w:rPr>
          <w:rFonts w:cs="Arial"/>
          <w:iCs/>
          <w:caps/>
          <w:sz w:val="20"/>
        </w:rPr>
      </w:pPr>
      <w:r>
        <w:rPr>
          <w:rFonts w:cs="Arial"/>
          <w:sz w:val="20"/>
        </w:rPr>
        <w:t>le irregolarità non sanate, i principali rilievi e suggerimenti espressi durante l’esercizio sono evidenziati nell’apposita sezione della presente relazione.</w:t>
      </w:r>
    </w:p>
    <w:p w14:paraId="29C6DFF9" w14:textId="77777777" w:rsidR="009F183C" w:rsidRDefault="00757AA1">
      <w:pPr>
        <w:jc w:val="center"/>
        <w:rPr>
          <w:rFonts w:cs="Arial"/>
          <w:b/>
          <w:iCs/>
          <w:caps/>
          <w:sz w:val="20"/>
        </w:rPr>
      </w:pPr>
      <w:r>
        <w:rPr>
          <w:rFonts w:cs="Arial"/>
          <w:b/>
          <w:iCs/>
          <w:caps/>
          <w:sz w:val="20"/>
        </w:rPr>
        <w:t>Riporta / Riportano</w:t>
      </w:r>
    </w:p>
    <w:p w14:paraId="4D8B1039" w14:textId="77777777" w:rsidR="009F183C" w:rsidRDefault="00757AA1">
      <w:pPr>
        <w:numPr>
          <w:ilvl w:val="12"/>
          <w:numId w:val="0"/>
        </w:numPr>
        <w:rPr>
          <w:rFonts w:cs="Arial"/>
          <w:sz w:val="20"/>
        </w:rPr>
      </w:pPr>
      <w:r>
        <w:rPr>
          <w:rFonts w:cs="Arial"/>
          <w:sz w:val="20"/>
        </w:rPr>
        <w:t>i risultati dell’analisi e le attestazioni sul rendiconto per l’esercizio 2017.</w:t>
      </w:r>
    </w:p>
    <w:p w14:paraId="6AFA4075" w14:textId="77777777" w:rsidR="009F183C" w:rsidRDefault="009F183C">
      <w:pPr>
        <w:pStyle w:val="Intestazione"/>
        <w:tabs>
          <w:tab w:val="clear" w:pos="4819"/>
          <w:tab w:val="clear" w:pos="9638"/>
        </w:tabs>
        <w:rPr>
          <w:rFonts w:cs="Arial"/>
          <w:sz w:val="20"/>
        </w:rPr>
      </w:pPr>
    </w:p>
    <w:p w14:paraId="1D87BBF9" w14:textId="77777777" w:rsidR="009F183C" w:rsidRDefault="00757AA1">
      <w:pPr>
        <w:pStyle w:val="Titolo1"/>
        <w:shd w:val="clear" w:color="auto" w:fill="D6E3BC" w:themeFill="accent3" w:themeFillTint="66"/>
      </w:pPr>
      <w:bookmarkStart w:id="2" w:name="_Toc379377453"/>
      <w:bookmarkStart w:id="3" w:name="_Toc507691935"/>
      <w:r>
        <w:t>CONTO DEL BILANCIO</w:t>
      </w:r>
      <w:bookmarkEnd w:id="2"/>
      <w:bookmarkEnd w:id="3"/>
    </w:p>
    <w:p w14:paraId="7B42EF7C" w14:textId="77777777" w:rsidR="009F183C" w:rsidRDefault="00757AA1">
      <w:pPr>
        <w:pStyle w:val="Titolo2"/>
        <w:rPr>
          <w:szCs w:val="28"/>
        </w:rPr>
      </w:pPr>
      <w:bookmarkStart w:id="4" w:name="_Toc379377454"/>
      <w:bookmarkStart w:id="5" w:name="_Toc507691936"/>
      <w:r>
        <w:t>Verifiche preliminari</w:t>
      </w:r>
      <w:bookmarkEnd w:id="4"/>
      <w:bookmarkEnd w:id="5"/>
    </w:p>
    <w:p w14:paraId="51EA5272" w14:textId="77777777" w:rsidR="009F183C" w:rsidRDefault="00757AA1">
      <w:pPr>
        <w:rPr>
          <w:rFonts w:cs="Arial"/>
          <w:sz w:val="20"/>
        </w:rPr>
      </w:pPr>
      <w:r>
        <w:rPr>
          <w:rFonts w:cs="Arial"/>
          <w:sz w:val="20"/>
        </w:rPr>
        <w:t>L’organo di revisione ha verificato utilizzando, ove consentito, motivate tecniche di campionamento:</w:t>
      </w:r>
    </w:p>
    <w:p w14:paraId="2569B68F" w14:textId="77777777" w:rsidR="009F183C" w:rsidRDefault="00757AA1">
      <w:pPr>
        <w:numPr>
          <w:ilvl w:val="0"/>
          <w:numId w:val="7"/>
        </w:numPr>
        <w:tabs>
          <w:tab w:val="left" w:pos="709"/>
        </w:tabs>
        <w:ind w:hanging="357"/>
        <w:rPr>
          <w:rFonts w:cs="Arial"/>
          <w:sz w:val="20"/>
        </w:rPr>
      </w:pPr>
      <w:r>
        <w:rPr>
          <w:rFonts w:cs="Arial"/>
          <w:sz w:val="20"/>
        </w:rPr>
        <w:t>la regolarità delle procedure per la contabilizzazione delle entrate e delle spese in conformità alle disposizioni di legge e regolamentari;</w:t>
      </w:r>
    </w:p>
    <w:p w14:paraId="638D48F0" w14:textId="77777777" w:rsidR="009F183C" w:rsidRDefault="00757AA1">
      <w:pPr>
        <w:numPr>
          <w:ilvl w:val="0"/>
          <w:numId w:val="7"/>
        </w:numPr>
        <w:tabs>
          <w:tab w:val="left" w:pos="709"/>
        </w:tabs>
        <w:ind w:hanging="357"/>
        <w:rPr>
          <w:rFonts w:cs="Arial"/>
          <w:sz w:val="20"/>
        </w:rPr>
      </w:pPr>
      <w:r>
        <w:rPr>
          <w:rFonts w:cs="Arial"/>
          <w:sz w:val="20"/>
        </w:rPr>
        <w:t xml:space="preserve">la corrispondenza tra i dati riportati nel conto del bilancio con quelli risultanti dalle scritture contabili; </w:t>
      </w:r>
    </w:p>
    <w:p w14:paraId="3E3419D8" w14:textId="77777777" w:rsidR="009F183C" w:rsidRDefault="00757AA1">
      <w:pPr>
        <w:numPr>
          <w:ilvl w:val="0"/>
          <w:numId w:val="7"/>
        </w:numPr>
        <w:tabs>
          <w:tab w:val="left" w:pos="709"/>
        </w:tabs>
        <w:ind w:hanging="357"/>
        <w:rPr>
          <w:rFonts w:cs="Arial"/>
          <w:color w:val="000000"/>
          <w:sz w:val="20"/>
        </w:rPr>
      </w:pPr>
      <w:r>
        <w:rPr>
          <w:rFonts w:cs="Arial"/>
          <w:sz w:val="20"/>
        </w:rPr>
        <w:t xml:space="preserve">il rispetto del principio della </w:t>
      </w:r>
      <w:r>
        <w:rPr>
          <w:rFonts w:cs="Arial"/>
          <w:color w:val="000000"/>
          <w:sz w:val="20"/>
        </w:rPr>
        <w:t>competenza finanziaria nella rilevazione degli accertamenti e degli impegni;</w:t>
      </w:r>
    </w:p>
    <w:p w14:paraId="6FD05A91" w14:textId="77777777" w:rsidR="009F183C" w:rsidRDefault="00757AA1">
      <w:pPr>
        <w:numPr>
          <w:ilvl w:val="0"/>
          <w:numId w:val="7"/>
        </w:numPr>
        <w:tabs>
          <w:tab w:val="left" w:pos="709"/>
        </w:tabs>
        <w:ind w:hanging="357"/>
        <w:rPr>
          <w:rFonts w:cs="Arial"/>
          <w:sz w:val="20"/>
        </w:rPr>
      </w:pPr>
      <w:r>
        <w:rPr>
          <w:rFonts w:cs="Arial"/>
          <w:color w:val="000000"/>
          <w:sz w:val="20"/>
        </w:rPr>
        <w:t>la corretta rappresentazione del conto del bilancio nei riepiloghi e nei risultati di cassa e di competenza finanziaria;</w:t>
      </w:r>
    </w:p>
    <w:p w14:paraId="272F6A7B" w14:textId="77777777" w:rsidR="009F183C" w:rsidRDefault="00757AA1">
      <w:pPr>
        <w:numPr>
          <w:ilvl w:val="0"/>
          <w:numId w:val="7"/>
        </w:numPr>
        <w:tabs>
          <w:tab w:val="left" w:pos="709"/>
        </w:tabs>
        <w:ind w:hanging="357"/>
        <w:rPr>
          <w:rFonts w:cs="Arial"/>
          <w:sz w:val="20"/>
        </w:rPr>
      </w:pPr>
      <w:r>
        <w:rPr>
          <w:rFonts w:cs="Arial"/>
          <w:color w:val="000000"/>
          <w:sz w:val="20"/>
        </w:rPr>
        <w:t xml:space="preserve">la corrispondenza tra le entrate a destinazione specifica e gli impegni di spesa assunti in base alle relative disposizioni di legge; </w:t>
      </w:r>
    </w:p>
    <w:p w14:paraId="6114C99F" w14:textId="77777777" w:rsidR="009F183C" w:rsidRDefault="00757AA1">
      <w:pPr>
        <w:numPr>
          <w:ilvl w:val="0"/>
          <w:numId w:val="7"/>
        </w:numPr>
        <w:tabs>
          <w:tab w:val="left" w:pos="709"/>
        </w:tabs>
        <w:ind w:hanging="357"/>
        <w:rPr>
          <w:rFonts w:cs="Arial"/>
          <w:sz w:val="20"/>
        </w:rPr>
      </w:pPr>
      <w:r>
        <w:rPr>
          <w:rFonts w:cs="Arial"/>
          <w:color w:val="000000"/>
          <w:sz w:val="20"/>
        </w:rPr>
        <w:t>l’equivalenza tra gli accertamenti di entrata e gli impegni di spesa nelle partite di giro e nei servizi per conto terzi;</w:t>
      </w:r>
    </w:p>
    <w:p w14:paraId="7587C9E7" w14:textId="77777777" w:rsidR="009F183C" w:rsidRDefault="00757AA1">
      <w:pPr>
        <w:numPr>
          <w:ilvl w:val="0"/>
          <w:numId w:val="7"/>
        </w:numPr>
        <w:tabs>
          <w:tab w:val="left" w:pos="709"/>
        </w:tabs>
        <w:ind w:hanging="357"/>
        <w:rPr>
          <w:rFonts w:cs="Arial"/>
          <w:sz w:val="20"/>
        </w:rPr>
      </w:pPr>
      <w:r>
        <w:rPr>
          <w:rFonts w:cs="Arial"/>
          <w:color w:val="000000"/>
          <w:sz w:val="20"/>
        </w:rPr>
        <w:t>il rispetto dei limiti di indebitamento e del divieto di indebitarsi per spese diverse da quelle d’investimento;</w:t>
      </w:r>
    </w:p>
    <w:p w14:paraId="75598765" w14:textId="77777777" w:rsidR="009F183C" w:rsidRDefault="00757AA1">
      <w:pPr>
        <w:numPr>
          <w:ilvl w:val="0"/>
          <w:numId w:val="7"/>
        </w:numPr>
        <w:tabs>
          <w:tab w:val="left" w:pos="709"/>
        </w:tabs>
        <w:ind w:hanging="357"/>
        <w:rPr>
          <w:rFonts w:cs="Arial"/>
          <w:sz w:val="20"/>
        </w:rPr>
      </w:pPr>
      <w:r>
        <w:rPr>
          <w:rFonts w:cs="Arial"/>
          <w:color w:val="000000"/>
          <w:sz w:val="20"/>
        </w:rPr>
        <w:t>il rispetto degli obiettivi di finanza pubblica e nel caso negativo della corretta applicazione delle sanzioni;</w:t>
      </w:r>
    </w:p>
    <w:p w14:paraId="06AC1DDD" w14:textId="77777777" w:rsidR="009F183C" w:rsidRDefault="00757AA1">
      <w:pPr>
        <w:numPr>
          <w:ilvl w:val="0"/>
          <w:numId w:val="7"/>
        </w:numPr>
        <w:tabs>
          <w:tab w:val="left" w:pos="709"/>
        </w:tabs>
        <w:ind w:hanging="357"/>
        <w:rPr>
          <w:rFonts w:cs="Arial"/>
          <w:sz w:val="20"/>
        </w:rPr>
      </w:pPr>
      <w:r>
        <w:rPr>
          <w:rFonts w:cs="Arial"/>
          <w:color w:val="000000"/>
          <w:sz w:val="20"/>
        </w:rPr>
        <w:t>il rispetto del contenimento e riduzione delle spese di personale e dei vincoli sulle assunzioni;</w:t>
      </w:r>
    </w:p>
    <w:p w14:paraId="1402579E" w14:textId="77777777" w:rsidR="009F183C" w:rsidRDefault="00757AA1">
      <w:pPr>
        <w:numPr>
          <w:ilvl w:val="0"/>
          <w:numId w:val="7"/>
        </w:numPr>
        <w:tabs>
          <w:tab w:val="left" w:pos="709"/>
        </w:tabs>
        <w:ind w:hanging="357"/>
        <w:rPr>
          <w:rFonts w:cs="Arial"/>
          <w:sz w:val="20"/>
        </w:rPr>
      </w:pPr>
      <w:r>
        <w:rPr>
          <w:rFonts w:cs="Arial"/>
          <w:color w:val="000000"/>
          <w:sz w:val="20"/>
        </w:rPr>
        <w:t>il rispetto dei vincoli di spesa per acquisto di beni e servizi;</w:t>
      </w:r>
    </w:p>
    <w:p w14:paraId="38E801F2" w14:textId="77777777" w:rsidR="009F183C" w:rsidRDefault="00757AA1">
      <w:pPr>
        <w:numPr>
          <w:ilvl w:val="0"/>
          <w:numId w:val="7"/>
        </w:numPr>
        <w:tabs>
          <w:tab w:val="left" w:pos="709"/>
        </w:tabs>
        <w:ind w:hanging="357"/>
        <w:rPr>
          <w:rFonts w:cs="Arial"/>
          <w:sz w:val="20"/>
        </w:rPr>
      </w:pPr>
      <w:r>
        <w:rPr>
          <w:rFonts w:cs="Arial"/>
          <w:color w:val="000000"/>
          <w:sz w:val="20"/>
        </w:rPr>
        <w:t>i reciproci rapporti di credito e debito al 31/12/2017 con le società partecipate;</w:t>
      </w:r>
    </w:p>
    <w:p w14:paraId="379F6793" w14:textId="77777777" w:rsidR="009F183C" w:rsidRDefault="00757AA1">
      <w:pPr>
        <w:numPr>
          <w:ilvl w:val="0"/>
          <w:numId w:val="7"/>
        </w:numPr>
        <w:tabs>
          <w:tab w:val="left" w:pos="709"/>
        </w:tabs>
        <w:ind w:hanging="357"/>
        <w:rPr>
          <w:rFonts w:cs="Arial"/>
          <w:sz w:val="20"/>
        </w:rPr>
      </w:pPr>
      <w:r>
        <w:rPr>
          <w:rFonts w:cs="Arial"/>
          <w:color w:val="000000"/>
          <w:sz w:val="20"/>
        </w:rPr>
        <w:t>la corretta applicazione da parte degli organismi partecipati della limitazione alla composizione degli organi ed ai compensi;</w:t>
      </w:r>
    </w:p>
    <w:p w14:paraId="795530E4" w14:textId="77777777" w:rsidR="009F183C" w:rsidRDefault="00757AA1">
      <w:pPr>
        <w:numPr>
          <w:ilvl w:val="0"/>
          <w:numId w:val="7"/>
        </w:numPr>
        <w:rPr>
          <w:rFonts w:cs="Arial"/>
          <w:sz w:val="20"/>
        </w:rPr>
      </w:pPr>
      <w:r>
        <w:rPr>
          <w:rFonts w:cs="Arial"/>
          <w:sz w:val="20"/>
        </w:rPr>
        <w:t xml:space="preserve">che l’ente ha provveduto alla verifica degli equilibri finanziari ai sensi dell’art. 193 del TUEL con </w:t>
      </w:r>
      <w:r>
        <w:rPr>
          <w:rFonts w:cs="Arial"/>
          <w:sz w:val="20"/>
        </w:rPr>
        <w:lastRenderedPageBreak/>
        <w:t>delibera n. …….. in data …………….,;</w:t>
      </w:r>
    </w:p>
    <w:p w14:paraId="54418766" w14:textId="77777777" w:rsidR="009F183C" w:rsidRDefault="00757AA1">
      <w:pPr>
        <w:numPr>
          <w:ilvl w:val="0"/>
          <w:numId w:val="7"/>
        </w:numPr>
        <w:rPr>
          <w:rFonts w:cs="Arial"/>
          <w:sz w:val="20"/>
        </w:rPr>
      </w:pPr>
      <w:r>
        <w:rPr>
          <w:rFonts w:cs="Arial"/>
          <w:sz w:val="20"/>
        </w:rPr>
        <w:t>che l’ente ha riconosciuto debiti fuori bilancio per euro ……….. e che detti atti sono stati trasmessi alla competente Procura della Sezione Regionale della Corte dei Conti ai sensi dell’art. 23 Legge 289/2002, c. 5;</w:t>
      </w:r>
    </w:p>
    <w:p w14:paraId="70F43589" w14:textId="77777777" w:rsidR="009F183C" w:rsidRDefault="00757AA1">
      <w:pPr>
        <w:numPr>
          <w:ilvl w:val="0"/>
          <w:numId w:val="7"/>
        </w:numPr>
        <w:rPr>
          <w:rFonts w:cs="Arial"/>
          <w:sz w:val="20"/>
        </w:rPr>
      </w:pPr>
      <w:r>
        <w:rPr>
          <w:rFonts w:cs="Arial"/>
          <w:sz w:val="20"/>
        </w:rPr>
        <w:t xml:space="preserve">che l’ente ha provveduto al riaccertamento ordinario dei residui con atto della G.C. n. ………del ……….. come richiesto dall’art. 228 comma 3 del TUEL;   </w:t>
      </w:r>
    </w:p>
    <w:p w14:paraId="63B6AEAC" w14:textId="77777777" w:rsidR="009F183C" w:rsidRDefault="00757AA1">
      <w:pPr>
        <w:numPr>
          <w:ilvl w:val="0"/>
          <w:numId w:val="7"/>
        </w:numPr>
        <w:rPr>
          <w:rFonts w:cs="Arial"/>
          <w:sz w:val="20"/>
        </w:rPr>
      </w:pPr>
      <w:r>
        <w:rPr>
          <w:rFonts w:cs="Arial"/>
          <w:sz w:val="20"/>
        </w:rPr>
        <w:t>che l’ente ha adempiuto agli obblighi fiscali relativi a: I.V.A., I.R.A.P., sostituti d’imposta e degli obblighi contributivi;</w:t>
      </w:r>
    </w:p>
    <w:p w14:paraId="7257D785" w14:textId="77777777" w:rsidR="009F183C" w:rsidRDefault="00757AA1">
      <w:pPr>
        <w:pStyle w:val="Titolo2"/>
      </w:pPr>
      <w:bookmarkStart w:id="6" w:name="_Toc379377455"/>
      <w:bookmarkStart w:id="7" w:name="_Toc507691937"/>
      <w:r>
        <w:t>Gestione Finanziaria</w:t>
      </w:r>
      <w:bookmarkEnd w:id="6"/>
      <w:bookmarkEnd w:id="7"/>
    </w:p>
    <w:p w14:paraId="2EF3FDC2" w14:textId="77777777" w:rsidR="009F183C" w:rsidRDefault="00757AA1">
      <w:pPr>
        <w:numPr>
          <w:ilvl w:val="12"/>
          <w:numId w:val="0"/>
        </w:numPr>
        <w:rPr>
          <w:rFonts w:cs="Arial"/>
          <w:sz w:val="20"/>
        </w:rPr>
      </w:pPr>
      <w:r>
        <w:rPr>
          <w:rFonts w:cs="Arial"/>
          <w:sz w:val="20"/>
        </w:rPr>
        <w:t>L’organo di revisione, in riferimento alla gestione finanziaria, rileva e attesta che:</w:t>
      </w:r>
    </w:p>
    <w:p w14:paraId="615AB971" w14:textId="77777777" w:rsidR="009F183C" w:rsidRDefault="00757AA1">
      <w:pPr>
        <w:numPr>
          <w:ilvl w:val="0"/>
          <w:numId w:val="8"/>
        </w:numPr>
        <w:rPr>
          <w:rFonts w:cs="Arial"/>
          <w:sz w:val="20"/>
        </w:rPr>
      </w:pPr>
      <w:r>
        <w:rPr>
          <w:rFonts w:cs="Arial"/>
          <w:sz w:val="20"/>
        </w:rPr>
        <w:t>risultano emessi n. …….. reversali e n. ………mandati;</w:t>
      </w:r>
    </w:p>
    <w:p w14:paraId="70890634" w14:textId="77777777" w:rsidR="009F183C" w:rsidRDefault="00757AA1">
      <w:pPr>
        <w:numPr>
          <w:ilvl w:val="0"/>
          <w:numId w:val="4"/>
        </w:numPr>
        <w:rPr>
          <w:rFonts w:cs="Arial"/>
          <w:iCs/>
          <w:sz w:val="20"/>
        </w:rPr>
      </w:pPr>
      <w:r>
        <w:rPr>
          <w:rFonts w:cs="Arial"/>
          <w:sz w:val="20"/>
        </w:rPr>
        <w:t xml:space="preserve">i mandati di pagamento risultano emessi in forza di provvedimenti esecutivi (e/o contratti) e sono regolarmente estinti; </w:t>
      </w:r>
    </w:p>
    <w:p w14:paraId="53BFF725" w14:textId="77777777" w:rsidR="009F183C" w:rsidRDefault="00757AA1">
      <w:pPr>
        <w:numPr>
          <w:ilvl w:val="0"/>
          <w:numId w:val="4"/>
        </w:numPr>
        <w:rPr>
          <w:rFonts w:cs="Arial"/>
          <w:iCs/>
          <w:sz w:val="20"/>
        </w:rPr>
      </w:pPr>
      <w:r>
        <w:rPr>
          <w:rFonts w:cs="Arial"/>
          <w:iCs/>
          <w:sz w:val="20"/>
        </w:rPr>
        <w:t xml:space="preserve">il ricorso all’anticipazione di tesoreria è stato effettuato nei limiti previsti dall’articolo 222 del </w:t>
      </w:r>
      <w:r>
        <w:rPr>
          <w:rFonts w:cs="Arial"/>
          <w:sz w:val="20"/>
        </w:rPr>
        <w:t>TUEL</w:t>
      </w:r>
      <w:r>
        <w:rPr>
          <w:rFonts w:cs="Arial"/>
          <w:iCs/>
          <w:sz w:val="20"/>
        </w:rPr>
        <w:t xml:space="preserve"> ed è stato determinato da (</w:t>
      </w:r>
      <w:r>
        <w:rPr>
          <w:rFonts w:cs="Arial"/>
          <w:i/>
          <w:iCs/>
          <w:sz w:val="20"/>
        </w:rPr>
        <w:t>inserire motivazione</w:t>
      </w:r>
      <w:r>
        <w:rPr>
          <w:rFonts w:cs="Arial"/>
          <w:iCs/>
          <w:sz w:val="20"/>
        </w:rPr>
        <w:t>……………………..;</w:t>
      </w:r>
    </w:p>
    <w:p w14:paraId="067922D5" w14:textId="77777777" w:rsidR="009F183C" w:rsidRDefault="00757AA1">
      <w:pPr>
        <w:numPr>
          <w:ilvl w:val="0"/>
          <w:numId w:val="4"/>
        </w:numPr>
        <w:rPr>
          <w:rFonts w:cs="Arial"/>
          <w:sz w:val="20"/>
        </w:rPr>
      </w:pPr>
      <w:r>
        <w:rPr>
          <w:rFonts w:cs="Arial"/>
          <w:sz w:val="20"/>
        </w:rPr>
        <w:t xml:space="preserve">gli utilizzi, in termini di cassa, di entrate aventi specifica destinazione per il finanziamento di spese correnti sono stati effettuati nel rispetto di quanto previsto dall’articolo 195 del TUEL e al 31/12/2017 risultano </w:t>
      </w:r>
      <w:r>
        <w:rPr>
          <w:rFonts w:cs="Arial"/>
          <w:b/>
          <w:sz w:val="20"/>
        </w:rPr>
        <w:t>totalmente / parzialmente</w:t>
      </w:r>
      <w:r>
        <w:rPr>
          <w:rFonts w:cs="Arial"/>
          <w:sz w:val="20"/>
        </w:rPr>
        <w:t xml:space="preserve"> reintegrati;</w:t>
      </w:r>
    </w:p>
    <w:p w14:paraId="7039F76E" w14:textId="77777777" w:rsidR="009F183C" w:rsidRDefault="00757AA1">
      <w:pPr>
        <w:numPr>
          <w:ilvl w:val="0"/>
          <w:numId w:val="4"/>
        </w:numPr>
        <w:rPr>
          <w:rFonts w:cs="Arial"/>
          <w:sz w:val="20"/>
        </w:rPr>
      </w:pPr>
      <w:r>
        <w:rPr>
          <w:rFonts w:cs="Arial"/>
          <w:sz w:val="20"/>
        </w:rPr>
        <w:t>il ricorso all’indebitamento è stato effettuato nel rispetto dell’art. 119 della Costituzione e degli articoli 203 e 204 del TUEL, rispettando i limiti di cui al primo del citato articolo 204;</w:t>
      </w:r>
    </w:p>
    <w:p w14:paraId="7AD61DAF" w14:textId="77777777" w:rsidR="009F183C" w:rsidRDefault="00757AA1">
      <w:pPr>
        <w:numPr>
          <w:ilvl w:val="0"/>
          <w:numId w:val="4"/>
        </w:numPr>
        <w:rPr>
          <w:rFonts w:cs="Arial"/>
          <w:sz w:val="20"/>
        </w:rPr>
      </w:pPr>
      <w:r>
        <w:rPr>
          <w:rFonts w:cs="Arial"/>
          <w:sz w:val="20"/>
        </w:rPr>
        <w:t>gli agenti contabili, in attuazione degli articoli 226 e 233 del TUEL, hanno reso il conto della loro gestione entro il 30 gennaio 2018, allegando i documenti previsti;</w:t>
      </w:r>
    </w:p>
    <w:p w14:paraId="033DC3FB" w14:textId="77777777" w:rsidR="009F183C" w:rsidRDefault="00757AA1">
      <w:pPr>
        <w:numPr>
          <w:ilvl w:val="0"/>
          <w:numId w:val="4"/>
        </w:numPr>
        <w:rPr>
          <w:rFonts w:cs="Arial"/>
          <w:sz w:val="20"/>
        </w:rPr>
      </w:pPr>
      <w:r>
        <w:rPr>
          <w:rFonts w:cs="Arial"/>
          <w:sz w:val="20"/>
        </w:rPr>
        <w:t>I pagamenti e le riscossioni, sia in conto competenza che in conto residui, coincidono con il conto del tesoriere dell’ente, banca …………………, reso entro il 30 gennaio 2018 e si compendiano nel seguente riepilogo:</w:t>
      </w:r>
    </w:p>
    <w:p w14:paraId="73941BF8" w14:textId="77777777" w:rsidR="009F183C" w:rsidRDefault="00757AA1">
      <w:pPr>
        <w:numPr>
          <w:ilvl w:val="12"/>
          <w:numId w:val="0"/>
        </w:numPr>
        <w:rPr>
          <w:rFonts w:cs="Arial"/>
          <w:i/>
          <w:sz w:val="20"/>
        </w:rPr>
      </w:pPr>
      <w:r>
        <w:rPr>
          <w:rFonts w:cs="Arial"/>
          <w:b/>
          <w:i/>
          <w:sz w:val="20"/>
        </w:rPr>
        <w:t xml:space="preserve">             oppure</w:t>
      </w:r>
    </w:p>
    <w:p w14:paraId="1401E43F" w14:textId="77777777" w:rsidR="009F183C" w:rsidRDefault="00757AA1">
      <w:pPr>
        <w:ind w:left="709"/>
        <w:rPr>
          <w:rFonts w:cs="Arial"/>
          <w:i/>
          <w:sz w:val="20"/>
        </w:rPr>
      </w:pPr>
      <w:r>
        <w:rPr>
          <w:rFonts w:cs="Arial"/>
          <w:i/>
          <w:sz w:val="20"/>
        </w:rPr>
        <w:t>Il conto del tesoriere non coincide con le risultanze delle scritture contabili tenute dai servizi finanziari per l’importo di euro …………. relativo alle seguenti partite sospese, per le quali l’organo di revisione ha sollecitato la regolarizzazione come da verbale n. …… del ……</w:t>
      </w:r>
    </w:p>
    <w:p w14:paraId="279E05B4" w14:textId="77777777" w:rsidR="009F183C" w:rsidRDefault="009F183C">
      <w:pPr>
        <w:ind w:left="709"/>
        <w:rPr>
          <w:rFonts w:cs="Arial"/>
          <w:i/>
          <w:color w:val="0070C0"/>
          <w:sz w:val="20"/>
        </w:rPr>
      </w:pPr>
    </w:p>
    <w:p w14:paraId="744D826F" w14:textId="77777777" w:rsidR="009F183C" w:rsidRDefault="00757AA1">
      <w:pPr>
        <w:pStyle w:val="Titolo2"/>
        <w:pBdr>
          <w:top w:val="single" w:sz="4" w:space="1" w:color="auto"/>
          <w:left w:val="single" w:sz="4" w:space="4" w:color="auto"/>
          <w:bottom w:val="single" w:sz="4" w:space="1" w:color="auto"/>
          <w:right w:val="single" w:sz="4" w:space="4" w:color="auto"/>
        </w:pBdr>
      </w:pPr>
      <w:bookmarkStart w:id="8" w:name="_Toc379377456"/>
      <w:bookmarkStart w:id="9" w:name="_Toc507691938"/>
      <w:r>
        <w:t>Risultati della gestione</w:t>
      </w:r>
      <w:bookmarkEnd w:id="8"/>
      <w:bookmarkEnd w:id="9"/>
    </w:p>
    <w:p w14:paraId="5C91D76E" w14:textId="77777777" w:rsidR="009F183C" w:rsidRDefault="00757AA1">
      <w:pPr>
        <w:pStyle w:val="Titolo3"/>
        <w:rPr>
          <w:color w:val="4F6228" w:themeColor="accent3" w:themeShade="80"/>
        </w:rPr>
      </w:pPr>
      <w:bookmarkStart w:id="10" w:name="_Toc507691939"/>
      <w:r>
        <w:rPr>
          <w:color w:val="4F6228" w:themeColor="accent3" w:themeShade="80"/>
        </w:rPr>
        <w:t>Fondo di cassa</w:t>
      </w:r>
      <w:bookmarkEnd w:id="10"/>
    </w:p>
    <w:p w14:paraId="62028195" w14:textId="77777777" w:rsidR="009F183C" w:rsidRDefault="00757AA1">
      <w:pPr>
        <w:spacing w:after="240"/>
        <w:rPr>
          <w:rFonts w:cs="Arial"/>
          <w:sz w:val="20"/>
        </w:rPr>
      </w:pPr>
      <w:r>
        <w:rPr>
          <w:rFonts w:cs="Arial"/>
          <w:sz w:val="20"/>
        </w:rPr>
        <w:t xml:space="preserve">Il fondo di cassa al 31/12/2017 risultante dal conto del Tesoriere </w:t>
      </w:r>
      <w:r>
        <w:rPr>
          <w:rFonts w:cs="Arial"/>
          <w:b/>
          <w:sz w:val="20"/>
        </w:rPr>
        <w:t>corrisponde/non corrisponde</w:t>
      </w:r>
      <w:r>
        <w:rPr>
          <w:rFonts w:cs="Arial"/>
          <w:sz w:val="20"/>
        </w:rPr>
        <w:t xml:space="preserve"> alle risultanze delle scritture contabili dell’Ente.</w:t>
      </w:r>
    </w:p>
    <w:bookmarkStart w:id="11" w:name="_MON_1556438510"/>
    <w:bookmarkEnd w:id="11"/>
    <w:p w14:paraId="15321D2E" w14:textId="77777777" w:rsidR="009F183C" w:rsidRDefault="00757AA1">
      <w:pPr>
        <w:spacing w:after="240"/>
        <w:rPr>
          <w:rFonts w:cs="Arial"/>
          <w:sz w:val="20"/>
        </w:rPr>
      </w:pPr>
      <w:r>
        <w:rPr>
          <w:rFonts w:cs="Arial"/>
          <w:sz w:val="20"/>
        </w:rPr>
        <w:object w:dxaOrig="9440" w:dyaOrig="643" w14:anchorId="4A1F3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29.25pt" o:ole="">
            <v:imagedata r:id="rId10" o:title=""/>
          </v:shape>
          <o:OLEObject Type="Embed" ProgID="Excel.Sheet.12" ShapeID="_x0000_i1025" DrawAspect="Content" ObjectID="_1780988536" r:id="rId11"/>
        </w:object>
      </w:r>
    </w:p>
    <w:p w14:paraId="3E961E57" w14:textId="77777777" w:rsidR="009F183C" w:rsidRDefault="00757AA1">
      <w:pPr>
        <w:spacing w:after="240"/>
        <w:rPr>
          <w:rFonts w:cs="Arial"/>
          <w:i/>
          <w:color w:val="365F91"/>
          <w:sz w:val="20"/>
        </w:rPr>
      </w:pPr>
      <w:r>
        <w:rPr>
          <w:rFonts w:cs="Arial"/>
          <w:i/>
          <w:color w:val="365F91"/>
          <w:sz w:val="20"/>
        </w:rPr>
        <w:t>(Indicare le ragioni e gli importi della eventuale discordanza)</w:t>
      </w:r>
    </w:p>
    <w:p w14:paraId="2016C507" w14:textId="77777777" w:rsidR="009F183C" w:rsidRDefault="00757AA1">
      <w:pPr>
        <w:rPr>
          <w:rFonts w:cs="Arial"/>
          <w:sz w:val="20"/>
        </w:rPr>
      </w:pPr>
      <w:r>
        <w:rPr>
          <w:rFonts w:cs="Arial"/>
          <w:sz w:val="20"/>
        </w:rPr>
        <w:t>Nel conto del tesoriere al 31/12/2017 sono indicati pagamenti per azioni esecutive per euro ……………………………….</w:t>
      </w:r>
    </w:p>
    <w:p w14:paraId="249153B8" w14:textId="77777777" w:rsidR="009F183C" w:rsidRDefault="00757AA1">
      <w:pPr>
        <w:rPr>
          <w:rFonts w:cs="Arial"/>
          <w:sz w:val="20"/>
        </w:rPr>
      </w:pPr>
      <w:r>
        <w:rPr>
          <w:rFonts w:cs="Arial"/>
          <w:sz w:val="20"/>
        </w:rPr>
        <w:t xml:space="preserve">Alla sistemazione di tali sospesi si è provveduto come indicato nel principio contabile 4/2. </w:t>
      </w:r>
    </w:p>
    <w:p w14:paraId="764579D4" w14:textId="77777777" w:rsidR="009F183C" w:rsidRDefault="00757AA1">
      <w:pPr>
        <w:rPr>
          <w:rFonts w:cs="Arial"/>
          <w:i/>
          <w:sz w:val="20"/>
        </w:rPr>
      </w:pPr>
      <w:r>
        <w:rPr>
          <w:rFonts w:cs="Arial"/>
          <w:sz w:val="20"/>
        </w:rPr>
        <w:t>La sistemazione di tale pagamento richiede il riconoscimento e finanziamento del debito fuori bilancio da sottoporre al Consiglio prima o contestualmente all’approvazione del rendiconto.</w:t>
      </w:r>
    </w:p>
    <w:p w14:paraId="625FBEDD" w14:textId="77777777" w:rsidR="009F183C" w:rsidRDefault="00757AA1">
      <w:pPr>
        <w:spacing w:after="240"/>
        <w:rPr>
          <w:rFonts w:cs="Arial"/>
          <w:sz w:val="20"/>
        </w:rPr>
      </w:pPr>
      <w:r>
        <w:rPr>
          <w:rFonts w:cs="Arial"/>
          <w:sz w:val="20"/>
        </w:rPr>
        <w:t>L’anticipazione di cassa non restituita al 31/12/2017, ammonta ad euro………………… e corrisponde all’importo iscritto tra i residui passivi.</w:t>
      </w:r>
    </w:p>
    <w:p w14:paraId="0E2A0013" w14:textId="77777777" w:rsidR="009F183C" w:rsidRDefault="009F183C">
      <w:pPr>
        <w:spacing w:after="240"/>
        <w:rPr>
          <w:rFonts w:cs="Arial"/>
          <w:sz w:val="20"/>
        </w:rPr>
      </w:pPr>
    </w:p>
    <w:p w14:paraId="7C519FEE" w14:textId="77777777" w:rsidR="009F183C" w:rsidRDefault="00757AA1">
      <w:pPr>
        <w:spacing w:after="240"/>
        <w:rPr>
          <w:rFonts w:cs="Arial"/>
          <w:sz w:val="20"/>
        </w:rPr>
      </w:pPr>
      <w:r>
        <w:rPr>
          <w:rFonts w:cs="Arial"/>
          <w:sz w:val="20"/>
        </w:rPr>
        <w:t>Il fondo di cassa vincolato è così determinato:</w:t>
      </w:r>
    </w:p>
    <w:bookmarkStart w:id="12" w:name="_MON_1519401701"/>
    <w:bookmarkEnd w:id="12"/>
    <w:p w14:paraId="62717528" w14:textId="77777777" w:rsidR="009F183C" w:rsidRDefault="00757AA1">
      <w:pPr>
        <w:rPr>
          <w:b/>
          <w:sz w:val="20"/>
          <w:u w:val="single"/>
        </w:rPr>
      </w:pPr>
      <w:r>
        <w:rPr>
          <w:rFonts w:cs="Arial"/>
          <w:sz w:val="20"/>
        </w:rPr>
        <w:object w:dxaOrig="8684" w:dyaOrig="1452" w14:anchorId="2B7DD390">
          <v:shape id="_x0000_i1026" type="#_x0000_t75" style="width:438.75pt;height:1in" o:ole="">
            <v:imagedata r:id="rId12" o:title=""/>
          </v:shape>
          <o:OLEObject Type="Embed" ProgID="Excel.Sheet.12" ShapeID="_x0000_i1026" DrawAspect="Content" ObjectID="_1780988537" r:id="rId13"/>
        </w:object>
      </w:r>
    </w:p>
    <w:p w14:paraId="35A85793" w14:textId="77777777" w:rsidR="009F183C" w:rsidRDefault="00757AA1" w:rsidP="00757AA1">
      <w:pPr>
        <w:rPr>
          <w:sz w:val="20"/>
        </w:rPr>
      </w:pPr>
      <w:r>
        <w:rPr>
          <w:sz w:val="20"/>
        </w:rPr>
        <w:t>L’ente ha provveduto all’accertamento della consistenza della cassa vincolata alla data del 31/12/2017, nell’importo di euro ……………come disposto dal principio contabile applicato alla contabilità finanziaria allegato al d.lgs.118/2011.</w:t>
      </w:r>
    </w:p>
    <w:p w14:paraId="1634664A" w14:textId="77777777" w:rsidR="009F183C" w:rsidRDefault="00757AA1" w:rsidP="00757AA1">
      <w:pPr>
        <w:rPr>
          <w:sz w:val="20"/>
        </w:rPr>
      </w:pPr>
      <w:r>
        <w:rPr>
          <w:sz w:val="20"/>
        </w:rPr>
        <w:t xml:space="preserve">L’importo della cassa vincolata risultante dalle scritture dell’ente al 31/12/2017 </w:t>
      </w:r>
      <w:r>
        <w:rPr>
          <w:b/>
          <w:sz w:val="20"/>
        </w:rPr>
        <w:t>corrisponde/non corrisponde</w:t>
      </w:r>
      <w:r>
        <w:rPr>
          <w:sz w:val="20"/>
        </w:rPr>
        <w:t xml:space="preserve"> a quello risultante dal conto del Tesoriere.</w:t>
      </w:r>
    </w:p>
    <w:p w14:paraId="7344EE16" w14:textId="77777777" w:rsidR="009F183C" w:rsidRDefault="009F183C" w:rsidP="00757AA1">
      <w:pPr>
        <w:pStyle w:val="font5"/>
        <w:pBdr>
          <w:bottom w:val="single" w:sz="6" w:space="1" w:color="auto"/>
        </w:pBdr>
        <w:shd w:val="clear" w:color="auto" w:fill="FFFFFF"/>
        <w:spacing w:before="0" w:after="0"/>
        <w:jc w:val="both"/>
        <w:rPr>
          <w:rFonts w:ascii="Times New Roman" w:hAnsi="Times New Roman"/>
        </w:rPr>
      </w:pPr>
      <w:bookmarkStart w:id="13" w:name="_MON_1550492369"/>
      <w:bookmarkEnd w:id="13"/>
    </w:p>
    <w:p w14:paraId="366EAD97" w14:textId="77777777" w:rsidR="009F183C" w:rsidRDefault="00757AA1" w:rsidP="00757AA1">
      <w:pPr>
        <w:pStyle w:val="font5"/>
        <w:pBdr>
          <w:bottom w:val="single" w:sz="6" w:space="1" w:color="auto"/>
        </w:pBdr>
        <w:shd w:val="clear" w:color="auto" w:fill="FFFFFF"/>
        <w:spacing w:before="0" w:after="0"/>
        <w:jc w:val="both"/>
        <w:rPr>
          <w:rFonts w:cs="Arial"/>
          <w:sz w:val="20"/>
        </w:rPr>
      </w:pPr>
      <w:bookmarkStart w:id="14" w:name="_MON_1486893043"/>
      <w:bookmarkStart w:id="15" w:name="_MON_1456158071"/>
      <w:bookmarkEnd w:id="14"/>
      <w:bookmarkEnd w:id="15"/>
      <w:r>
        <w:rPr>
          <w:rFonts w:cs="Arial"/>
          <w:sz w:val="20"/>
        </w:rPr>
        <w:t>La situazione di cassa dell’Ente al 31/12 degli ultimi tre esercizi, evidenziando l’eventuale presenza di anticipazioni di cassa rimaste inestinte alla medesima data del 31/12 di ciascun anno, è la seguente:</w:t>
      </w:r>
    </w:p>
    <w:p w14:paraId="4F064D66" w14:textId="77777777" w:rsidR="009F183C" w:rsidRDefault="009F183C">
      <w:pPr>
        <w:pStyle w:val="font5"/>
        <w:pBdr>
          <w:bottom w:val="single" w:sz="6" w:space="1" w:color="auto"/>
        </w:pBdr>
        <w:shd w:val="clear" w:color="auto" w:fill="FFFFFF"/>
        <w:spacing w:before="0" w:after="0"/>
        <w:rPr>
          <w:rFonts w:cs="Arial"/>
          <w:sz w:val="20"/>
        </w:rPr>
      </w:pPr>
    </w:p>
    <w:bookmarkStart w:id="16" w:name="_MON_1519636845"/>
    <w:bookmarkEnd w:id="16"/>
    <w:p w14:paraId="3FD43033" w14:textId="77777777" w:rsidR="009F183C" w:rsidRDefault="00757AA1">
      <w:pPr>
        <w:pStyle w:val="font5"/>
        <w:pBdr>
          <w:bottom w:val="single" w:sz="6" w:space="1" w:color="auto"/>
        </w:pBdr>
        <w:shd w:val="clear" w:color="auto" w:fill="FFFFFF"/>
        <w:spacing w:before="0" w:after="0"/>
        <w:rPr>
          <w:rFonts w:cs="Arial"/>
          <w:sz w:val="20"/>
        </w:rPr>
      </w:pPr>
      <w:r>
        <w:rPr>
          <w:rFonts w:cs="Arial"/>
          <w:sz w:val="20"/>
        </w:rPr>
        <w:object w:dxaOrig="8523" w:dyaOrig="1872" w14:anchorId="1529F2D6">
          <v:shape id="_x0000_i1027" type="#_x0000_t75" style="width:424.5pt;height:93.75pt" o:ole="">
            <v:imagedata r:id="rId14" o:title=""/>
          </v:shape>
          <o:OLEObject Type="Embed" ProgID="Excel.Sheet.12" ShapeID="_x0000_i1027" DrawAspect="Content" ObjectID="_1780988538" r:id="rId15"/>
        </w:object>
      </w:r>
    </w:p>
    <w:p w14:paraId="4A49EED1" w14:textId="77777777" w:rsidR="009F183C" w:rsidRDefault="009F183C">
      <w:pPr>
        <w:rPr>
          <w:b/>
          <w:i/>
          <w:color w:val="0070C0"/>
        </w:rPr>
      </w:pPr>
    </w:p>
    <w:p w14:paraId="115B9D0C" w14:textId="77777777" w:rsidR="009F183C" w:rsidRDefault="00757AA1">
      <w:pPr>
        <w:tabs>
          <w:tab w:val="left" w:pos="3810"/>
        </w:tabs>
        <w:rPr>
          <w:rFonts w:cs="Arial"/>
          <w:i/>
          <w:color w:val="365F91"/>
          <w:sz w:val="20"/>
        </w:rPr>
      </w:pPr>
      <w:r>
        <w:rPr>
          <w:rFonts w:cs="Arial"/>
          <w:i/>
          <w:color w:val="365F91"/>
          <w:sz w:val="20"/>
        </w:rPr>
        <w:t>(eventuale)</w:t>
      </w:r>
      <w:r>
        <w:rPr>
          <w:rFonts w:cs="Arial"/>
          <w:i/>
          <w:color w:val="365F91"/>
          <w:sz w:val="20"/>
        </w:rPr>
        <w:tab/>
      </w:r>
    </w:p>
    <w:bookmarkStart w:id="17" w:name="_MON_1519637068"/>
    <w:bookmarkEnd w:id="17"/>
    <w:p w14:paraId="02A49607" w14:textId="77777777" w:rsidR="009F183C" w:rsidRDefault="00757AA1">
      <w:pPr>
        <w:rPr>
          <w:b/>
          <w:i/>
        </w:rPr>
      </w:pPr>
      <w:r>
        <w:rPr>
          <w:b/>
          <w:i/>
        </w:rPr>
        <w:object w:dxaOrig="9727" w:dyaOrig="3597" w14:anchorId="0555C613">
          <v:shape id="_x0000_i1028" type="#_x0000_t75" style="width:446.25pt;height:180pt" o:ole="">
            <v:imagedata r:id="rId16" o:title=""/>
          </v:shape>
          <o:OLEObject Type="Embed" ProgID="Excel.Sheet.12" ShapeID="_x0000_i1028" DrawAspect="Content" ObjectID="_1780988539" r:id="rId17"/>
        </w:object>
      </w:r>
    </w:p>
    <w:p w14:paraId="7F1C34A6" w14:textId="77777777" w:rsidR="009F183C" w:rsidRDefault="00757AA1">
      <w:pPr>
        <w:rPr>
          <w:sz w:val="20"/>
        </w:rPr>
      </w:pPr>
      <w:r>
        <w:rPr>
          <w:sz w:val="20"/>
        </w:rPr>
        <w:t>Il limite massimo dell’anticipazione di tesoreria ai sensi dell’art. 222 del Tuel nell’anno 2017 è stato di euro…............:</w:t>
      </w:r>
    </w:p>
    <w:p w14:paraId="781CC7A7" w14:textId="77777777" w:rsidR="009F183C" w:rsidRDefault="00757AA1">
      <w:pPr>
        <w:rPr>
          <w:rFonts w:cs="Arial"/>
          <w:i/>
          <w:color w:val="00B0F0"/>
          <w:sz w:val="20"/>
        </w:rPr>
      </w:pPr>
      <w:r>
        <w:rPr>
          <w:rFonts w:cs="Arial"/>
          <w:i/>
          <w:color w:val="00B0F0"/>
          <w:sz w:val="20"/>
        </w:rPr>
        <w:t>Il continuo ricorso all’anticipazione di cassa deriva dai seguenti elementi di criticità:</w:t>
      </w:r>
    </w:p>
    <w:p w14:paraId="03245279" w14:textId="77777777" w:rsidR="009F183C" w:rsidRDefault="00757AA1">
      <w:pPr>
        <w:numPr>
          <w:ilvl w:val="0"/>
          <w:numId w:val="10"/>
        </w:numPr>
        <w:rPr>
          <w:rFonts w:cs="Arial"/>
          <w:i/>
          <w:color w:val="00B0F0"/>
          <w:sz w:val="20"/>
        </w:rPr>
      </w:pPr>
      <w:r>
        <w:rPr>
          <w:rFonts w:cs="Arial"/>
          <w:i/>
          <w:color w:val="00B0F0"/>
          <w:sz w:val="20"/>
        </w:rPr>
        <w:t>entità dei residui attivi superiore a quella dei residui passivi causata da …………………………;</w:t>
      </w:r>
    </w:p>
    <w:p w14:paraId="237CA8BA" w14:textId="77777777" w:rsidR="009F183C" w:rsidRDefault="00757AA1">
      <w:pPr>
        <w:numPr>
          <w:ilvl w:val="0"/>
          <w:numId w:val="10"/>
        </w:numPr>
        <w:rPr>
          <w:rFonts w:cs="Arial"/>
          <w:i/>
          <w:color w:val="00B0F0"/>
          <w:sz w:val="20"/>
        </w:rPr>
      </w:pPr>
      <w:r>
        <w:rPr>
          <w:rFonts w:cs="Arial"/>
          <w:i/>
          <w:color w:val="00B0F0"/>
          <w:sz w:val="20"/>
        </w:rPr>
        <w:t>residui attivi derivanti da rateazione di riscossioni per euro ……………………….;</w:t>
      </w:r>
    </w:p>
    <w:p w14:paraId="0061A6F7" w14:textId="77777777" w:rsidR="009F183C" w:rsidRDefault="00757AA1">
      <w:pPr>
        <w:numPr>
          <w:ilvl w:val="0"/>
          <w:numId w:val="10"/>
        </w:numPr>
        <w:rPr>
          <w:rFonts w:cs="Arial"/>
          <w:i/>
          <w:color w:val="00B0F0"/>
          <w:sz w:val="20"/>
        </w:rPr>
      </w:pPr>
      <w:r>
        <w:rPr>
          <w:rFonts w:cs="Arial"/>
          <w:i/>
          <w:color w:val="00B0F0"/>
          <w:sz w:val="20"/>
        </w:rPr>
        <w:t>concessione di crediti ad organismi partecipati non ancora rimborsati per euro ………………….;.</w:t>
      </w:r>
    </w:p>
    <w:p w14:paraId="3D4F0F79" w14:textId="77777777" w:rsidR="009F183C" w:rsidRDefault="00757AA1">
      <w:pPr>
        <w:numPr>
          <w:ilvl w:val="0"/>
          <w:numId w:val="10"/>
        </w:numPr>
        <w:rPr>
          <w:rFonts w:cs="Arial"/>
          <w:i/>
          <w:color w:val="00B0F0"/>
          <w:sz w:val="20"/>
        </w:rPr>
      </w:pPr>
      <w:r>
        <w:rPr>
          <w:rFonts w:cs="Arial"/>
          <w:i/>
          <w:color w:val="00B0F0"/>
          <w:sz w:val="20"/>
        </w:rPr>
        <w:t>altro…………….</w:t>
      </w:r>
    </w:p>
    <w:p w14:paraId="1D116236" w14:textId="77777777" w:rsidR="009F183C" w:rsidRDefault="009F183C"/>
    <w:p w14:paraId="3EF17DE5" w14:textId="77777777" w:rsidR="009F183C" w:rsidRDefault="009F183C"/>
    <w:p w14:paraId="51779095" w14:textId="77777777" w:rsidR="009F183C" w:rsidRDefault="009F183C"/>
    <w:p w14:paraId="72F28E86" w14:textId="77777777" w:rsidR="009F183C" w:rsidRDefault="00757AA1">
      <w:pPr>
        <w:pStyle w:val="Titolo3"/>
        <w:rPr>
          <w:color w:val="76923C" w:themeColor="accent3" w:themeShade="BF"/>
        </w:rPr>
      </w:pPr>
      <w:bookmarkStart w:id="18" w:name="_Toc507691940"/>
      <w:r>
        <w:rPr>
          <w:color w:val="76923C" w:themeColor="accent3" w:themeShade="BF"/>
        </w:rPr>
        <w:t>Risultato della gestione di competenza</w:t>
      </w:r>
      <w:bookmarkEnd w:id="18"/>
    </w:p>
    <w:p w14:paraId="5E52A82F" w14:textId="77777777" w:rsidR="009F183C" w:rsidRDefault="00757AA1">
      <w:pPr>
        <w:numPr>
          <w:ilvl w:val="12"/>
          <w:numId w:val="0"/>
        </w:numPr>
        <w:spacing w:before="120"/>
        <w:rPr>
          <w:rFonts w:cs="Arial"/>
          <w:sz w:val="20"/>
        </w:rPr>
      </w:pPr>
      <w:r>
        <w:rPr>
          <w:rFonts w:cs="Arial"/>
          <w:sz w:val="20"/>
        </w:rPr>
        <w:t xml:space="preserve">Il risultato della gestione di competenza presenta un </w:t>
      </w:r>
      <w:r>
        <w:rPr>
          <w:rFonts w:cs="Arial"/>
          <w:b/>
          <w:sz w:val="20"/>
        </w:rPr>
        <w:t>avanzo / disavanzo</w:t>
      </w:r>
      <w:r>
        <w:rPr>
          <w:rFonts w:cs="Arial"/>
          <w:sz w:val="20"/>
        </w:rPr>
        <w:t xml:space="preserve"> di Euro …………, come risulta dai seguenti elementi:</w:t>
      </w:r>
    </w:p>
    <w:bookmarkStart w:id="19" w:name="_MON_1556355067"/>
    <w:bookmarkEnd w:id="19"/>
    <w:p w14:paraId="240AF682" w14:textId="77777777" w:rsidR="009F183C" w:rsidRDefault="00757AA1">
      <w:pPr>
        <w:pStyle w:val="Corpodeltesto3"/>
        <w:spacing w:before="120"/>
        <w:jc w:val="left"/>
        <w:rPr>
          <w:rFonts w:cs="Arial"/>
          <w:b/>
        </w:rPr>
      </w:pPr>
      <w:r>
        <w:rPr>
          <w:b/>
          <w:i/>
        </w:rPr>
        <w:object w:dxaOrig="8650" w:dyaOrig="2440" w14:anchorId="469C8192">
          <v:shape id="_x0000_i1029" type="#_x0000_t75" style="width:396pt;height:122.25pt" o:ole="">
            <v:imagedata r:id="rId18" o:title=""/>
          </v:shape>
          <o:OLEObject Type="Embed" ProgID="Excel.Sheet.12" ShapeID="_x0000_i1029" DrawAspect="Content" ObjectID="_1780988540" r:id="rId19"/>
        </w:object>
      </w:r>
    </w:p>
    <w:p w14:paraId="539F8E20" w14:textId="77777777" w:rsidR="009F183C" w:rsidRDefault="009F183C">
      <w:pPr>
        <w:pStyle w:val="Corpodeltesto3"/>
        <w:spacing w:before="120"/>
        <w:jc w:val="left"/>
        <w:rPr>
          <w:rFonts w:cs="Arial"/>
          <w:b/>
        </w:rPr>
      </w:pPr>
    </w:p>
    <w:p w14:paraId="2B1C449B" w14:textId="77777777" w:rsidR="009F183C" w:rsidRDefault="00757AA1">
      <w:pPr>
        <w:pStyle w:val="Corpodeltesto3"/>
        <w:spacing w:before="120"/>
        <w:jc w:val="left"/>
        <w:rPr>
          <w:rFonts w:cs="Arial"/>
          <w:b/>
        </w:rPr>
      </w:pPr>
      <w:r>
        <w:rPr>
          <w:rFonts w:cs="Arial"/>
          <w:b/>
        </w:rPr>
        <w:t>Risultato della gestione di competenza con applicazione avanzo e disavanzo</w:t>
      </w:r>
    </w:p>
    <w:bookmarkStart w:id="20" w:name="_MON_1556355140"/>
    <w:bookmarkEnd w:id="20"/>
    <w:p w14:paraId="7680C61F" w14:textId="77777777" w:rsidR="009F183C" w:rsidRDefault="00757AA1">
      <w:pPr>
        <w:pStyle w:val="Corpodeltesto3"/>
        <w:spacing w:before="120"/>
        <w:jc w:val="left"/>
        <w:rPr>
          <w:rFonts w:cs="Arial"/>
          <w:b/>
        </w:rPr>
      </w:pPr>
      <w:r>
        <w:rPr>
          <w:b/>
          <w:i/>
        </w:rPr>
        <w:object w:dxaOrig="8265" w:dyaOrig="1541" w14:anchorId="7D23A07E">
          <v:shape id="_x0000_i1030" type="#_x0000_t75" style="width:381pt;height:78.75pt" o:ole="">
            <v:imagedata r:id="rId20" o:title=""/>
          </v:shape>
          <o:OLEObject Type="Embed" ProgID="Excel.Sheet.12" ShapeID="_x0000_i1030" DrawAspect="Content" ObjectID="_1780988541" r:id="rId21"/>
        </w:object>
      </w:r>
    </w:p>
    <w:p w14:paraId="453D8EF8" w14:textId="77777777" w:rsidR="009F183C" w:rsidRDefault="009F183C">
      <w:pPr>
        <w:pStyle w:val="Corpodeltesto3"/>
        <w:spacing w:before="120"/>
        <w:jc w:val="left"/>
        <w:rPr>
          <w:rFonts w:cs="Arial"/>
          <w:b/>
        </w:rPr>
      </w:pPr>
    </w:p>
    <w:p w14:paraId="65A295BC" w14:textId="77777777" w:rsidR="009F183C" w:rsidRDefault="00757AA1">
      <w:pPr>
        <w:rPr>
          <w:rFonts w:cs="Arial"/>
          <w:sz w:val="20"/>
        </w:rPr>
      </w:pPr>
      <w:r>
        <w:rPr>
          <w:rFonts w:cs="Arial"/>
          <w:sz w:val="20"/>
        </w:rPr>
        <w:t>La gestione della parte corrente, distinta dalla parte in conto capitale, integrata con l’applicazione a bilancio dell’avanzo / disavanzo derivante dagli esercizi precedenti, presenta per l’anno 2017 la seguente situazione:</w:t>
      </w:r>
    </w:p>
    <w:p w14:paraId="29573EBD" w14:textId="77777777" w:rsidR="009F183C" w:rsidRDefault="009F183C">
      <w:pPr>
        <w:rPr>
          <w:rFonts w:cs="Arial"/>
          <w:sz w:val="20"/>
        </w:rPr>
      </w:pPr>
    </w:p>
    <w:p w14:paraId="130EB2A7" w14:textId="77777777" w:rsidR="009F183C" w:rsidRDefault="009F183C">
      <w:pPr>
        <w:rPr>
          <w:rFonts w:cs="Arial"/>
          <w:sz w:val="20"/>
        </w:rPr>
      </w:pPr>
    </w:p>
    <w:p w14:paraId="6191B8D7" w14:textId="77777777" w:rsidR="006E3A3A" w:rsidRDefault="006E3A3A">
      <w:pPr>
        <w:rPr>
          <w:rFonts w:cs="Arial"/>
          <w:sz w:val="20"/>
        </w:rPr>
      </w:pPr>
    </w:p>
    <w:p w14:paraId="2E6D0DB0" w14:textId="77777777" w:rsidR="006E3A3A" w:rsidRDefault="006E3A3A">
      <w:pPr>
        <w:rPr>
          <w:rFonts w:cs="Arial"/>
          <w:sz w:val="20"/>
        </w:rPr>
      </w:pPr>
    </w:p>
    <w:p w14:paraId="28B2DCE6" w14:textId="77777777" w:rsidR="006E3A3A" w:rsidRDefault="006E3A3A">
      <w:pPr>
        <w:rPr>
          <w:rFonts w:cs="Arial"/>
          <w:sz w:val="20"/>
        </w:rPr>
      </w:pPr>
    </w:p>
    <w:p w14:paraId="70D133BA" w14:textId="77777777" w:rsidR="006E3A3A" w:rsidRDefault="006E3A3A">
      <w:pPr>
        <w:rPr>
          <w:rFonts w:cs="Arial"/>
          <w:sz w:val="20"/>
        </w:rPr>
      </w:pPr>
    </w:p>
    <w:p w14:paraId="24BA4E0C" w14:textId="77777777" w:rsidR="006E3A3A" w:rsidRDefault="006E3A3A">
      <w:pPr>
        <w:rPr>
          <w:rFonts w:cs="Arial"/>
          <w:sz w:val="20"/>
        </w:rPr>
      </w:pPr>
    </w:p>
    <w:p w14:paraId="1A50F65B" w14:textId="77777777" w:rsidR="006E3A3A" w:rsidRDefault="006E3A3A">
      <w:pPr>
        <w:rPr>
          <w:rFonts w:cs="Arial"/>
          <w:sz w:val="20"/>
        </w:rPr>
      </w:pPr>
    </w:p>
    <w:p w14:paraId="2F07CC4A" w14:textId="77777777" w:rsidR="006E3A3A" w:rsidRDefault="006E3A3A">
      <w:pPr>
        <w:rPr>
          <w:rFonts w:cs="Arial"/>
          <w:sz w:val="20"/>
        </w:rPr>
      </w:pPr>
    </w:p>
    <w:p w14:paraId="5934F472" w14:textId="77777777" w:rsidR="006E3A3A" w:rsidRDefault="006E3A3A">
      <w:pPr>
        <w:rPr>
          <w:rFonts w:cs="Arial"/>
          <w:sz w:val="20"/>
        </w:rPr>
      </w:pPr>
    </w:p>
    <w:p w14:paraId="5F9290C7" w14:textId="77777777" w:rsidR="006E3A3A" w:rsidRDefault="006E3A3A">
      <w:pPr>
        <w:rPr>
          <w:rFonts w:cs="Arial"/>
          <w:sz w:val="20"/>
        </w:rPr>
      </w:pPr>
    </w:p>
    <w:p w14:paraId="14C91A8E" w14:textId="77777777" w:rsidR="006E3A3A" w:rsidRDefault="006E3A3A">
      <w:pPr>
        <w:rPr>
          <w:rFonts w:cs="Arial"/>
          <w:sz w:val="20"/>
        </w:rPr>
      </w:pPr>
    </w:p>
    <w:p w14:paraId="020C8185" w14:textId="77777777" w:rsidR="006E3A3A" w:rsidRDefault="006E3A3A">
      <w:pPr>
        <w:rPr>
          <w:rFonts w:cs="Arial"/>
          <w:sz w:val="20"/>
        </w:rPr>
      </w:pPr>
    </w:p>
    <w:p w14:paraId="34D18D2E" w14:textId="77777777" w:rsidR="006E3A3A" w:rsidRDefault="006E3A3A">
      <w:pPr>
        <w:rPr>
          <w:rFonts w:cs="Arial"/>
          <w:sz w:val="20"/>
        </w:rPr>
      </w:pPr>
    </w:p>
    <w:p w14:paraId="6621EA96" w14:textId="77777777" w:rsidR="006E3A3A" w:rsidRDefault="006E3A3A">
      <w:pPr>
        <w:rPr>
          <w:rFonts w:cs="Arial"/>
          <w:sz w:val="20"/>
        </w:rPr>
      </w:pPr>
    </w:p>
    <w:bookmarkStart w:id="21" w:name="_MON_1581500656"/>
    <w:bookmarkEnd w:id="21"/>
    <w:p w14:paraId="3E317B45" w14:textId="5AD596FD" w:rsidR="006E3A3A" w:rsidRDefault="00185F7F">
      <w:pPr>
        <w:rPr>
          <w:rFonts w:cs="Arial"/>
          <w:sz w:val="20"/>
        </w:rPr>
      </w:pPr>
      <w:r>
        <w:rPr>
          <w:rFonts w:cs="Arial"/>
          <w:sz w:val="20"/>
        </w:rPr>
        <w:object w:dxaOrig="10261" w:dyaOrig="10357" w14:anchorId="5F42A470">
          <v:shape id="_x0000_i1031" type="#_x0000_t75" style="width:513.75pt;height:771.75pt" o:ole="">
            <v:imagedata r:id="rId22" o:title=""/>
          </v:shape>
          <o:OLEObject Type="Embed" ProgID="Excel.Sheet.12" ShapeID="_x0000_i1031" DrawAspect="Content" ObjectID="_1780988542" r:id="rId23"/>
        </w:object>
      </w:r>
      <w:bookmarkStart w:id="22" w:name="_MON_1581502256"/>
      <w:bookmarkEnd w:id="22"/>
      <w:r>
        <w:rPr>
          <w:rFonts w:cs="Arial"/>
          <w:sz w:val="20"/>
        </w:rPr>
        <w:object w:dxaOrig="9907" w:dyaOrig="3209" w14:anchorId="383482B0">
          <v:shape id="_x0000_i1032" type="#_x0000_t75" style="width:495pt;height:166.5pt" o:ole="">
            <v:imagedata r:id="rId24" o:title=""/>
          </v:shape>
          <o:OLEObject Type="Embed" ProgID="Excel.Sheet.12" ShapeID="_x0000_i1032" DrawAspect="Content" ObjectID="_1780988543" r:id="rId25"/>
        </w:object>
      </w:r>
    </w:p>
    <w:p w14:paraId="0B52ECCC" w14:textId="59CB07B1" w:rsidR="006E3A3A" w:rsidRDefault="006E3A3A">
      <w:pPr>
        <w:rPr>
          <w:rFonts w:cs="Arial"/>
          <w:sz w:val="20"/>
        </w:rPr>
      </w:pPr>
    </w:p>
    <w:p w14:paraId="76B86BB1" w14:textId="6F376B76" w:rsidR="009F183C" w:rsidRDefault="009F183C">
      <w:pPr>
        <w:rPr>
          <w:rFonts w:cs="Arial"/>
          <w:sz w:val="20"/>
        </w:rPr>
      </w:pPr>
    </w:p>
    <w:p w14:paraId="6E11A6C5" w14:textId="14F17F21" w:rsidR="00801A59" w:rsidRDefault="00801A59">
      <w:pPr>
        <w:rPr>
          <w:rFonts w:cs="Arial"/>
          <w:b/>
          <w:i/>
          <w:color w:val="0070C0"/>
        </w:rPr>
      </w:pPr>
    </w:p>
    <w:p w14:paraId="146E1937" w14:textId="5CF30776" w:rsidR="00801A59" w:rsidRDefault="00801A59">
      <w:pPr>
        <w:rPr>
          <w:rFonts w:cs="Arial"/>
          <w:b/>
          <w:i/>
          <w:color w:val="0070C0"/>
        </w:rPr>
      </w:pPr>
    </w:p>
    <w:p w14:paraId="5ECA1A29" w14:textId="77777777" w:rsidR="00801A59" w:rsidRDefault="00801A59">
      <w:pPr>
        <w:rPr>
          <w:rFonts w:cs="Arial"/>
          <w:b/>
          <w:i/>
          <w:color w:val="0070C0"/>
        </w:rPr>
      </w:pPr>
    </w:p>
    <w:p w14:paraId="0A5A862B" w14:textId="77777777" w:rsidR="00801A59" w:rsidRDefault="00801A59">
      <w:pPr>
        <w:rPr>
          <w:rFonts w:cs="Arial"/>
          <w:b/>
          <w:i/>
          <w:color w:val="0070C0"/>
        </w:rPr>
      </w:pPr>
    </w:p>
    <w:p w14:paraId="4DD9C8FB" w14:textId="77777777" w:rsidR="00801A59" w:rsidRDefault="00801A59">
      <w:pPr>
        <w:rPr>
          <w:rFonts w:cs="Arial"/>
          <w:b/>
          <w:i/>
          <w:color w:val="0070C0"/>
        </w:rPr>
      </w:pPr>
    </w:p>
    <w:p w14:paraId="37002937" w14:textId="77777777" w:rsidR="00801A59" w:rsidRDefault="00801A59">
      <w:pPr>
        <w:rPr>
          <w:rFonts w:cs="Arial"/>
          <w:b/>
          <w:i/>
          <w:color w:val="0070C0"/>
        </w:rPr>
      </w:pPr>
    </w:p>
    <w:p w14:paraId="1C39E944" w14:textId="77777777" w:rsidR="00801A59" w:rsidRDefault="00801A59">
      <w:pPr>
        <w:rPr>
          <w:rFonts w:cs="Arial"/>
          <w:b/>
          <w:i/>
          <w:color w:val="0070C0"/>
        </w:rPr>
      </w:pPr>
    </w:p>
    <w:p w14:paraId="74B697B6" w14:textId="77777777" w:rsidR="00801A59" w:rsidRDefault="00801A59">
      <w:pPr>
        <w:rPr>
          <w:rFonts w:cs="Arial"/>
          <w:b/>
          <w:i/>
          <w:color w:val="0070C0"/>
        </w:rPr>
      </w:pPr>
    </w:p>
    <w:p w14:paraId="1BE7224C" w14:textId="77777777" w:rsidR="00801A59" w:rsidRDefault="00801A59">
      <w:pPr>
        <w:rPr>
          <w:rFonts w:cs="Arial"/>
          <w:b/>
          <w:i/>
          <w:color w:val="0070C0"/>
        </w:rPr>
      </w:pPr>
    </w:p>
    <w:p w14:paraId="0D1B76C8" w14:textId="77777777" w:rsidR="00801A59" w:rsidRDefault="00801A59">
      <w:pPr>
        <w:rPr>
          <w:rFonts w:cs="Arial"/>
          <w:b/>
          <w:i/>
          <w:color w:val="0070C0"/>
        </w:rPr>
      </w:pPr>
    </w:p>
    <w:p w14:paraId="71A8A0D5" w14:textId="77777777" w:rsidR="00801A59" w:rsidRDefault="00801A59">
      <w:pPr>
        <w:rPr>
          <w:rFonts w:cs="Arial"/>
          <w:b/>
          <w:i/>
          <w:color w:val="0070C0"/>
        </w:rPr>
      </w:pPr>
    </w:p>
    <w:p w14:paraId="6D2F04D6" w14:textId="77777777" w:rsidR="00801A59" w:rsidRDefault="00801A59">
      <w:pPr>
        <w:rPr>
          <w:rFonts w:cs="Arial"/>
          <w:b/>
          <w:i/>
          <w:color w:val="0070C0"/>
        </w:rPr>
      </w:pPr>
    </w:p>
    <w:p w14:paraId="3FD97084" w14:textId="77777777" w:rsidR="00801A59" w:rsidRDefault="00801A59">
      <w:pPr>
        <w:rPr>
          <w:rFonts w:cs="Arial"/>
          <w:b/>
          <w:i/>
          <w:color w:val="0070C0"/>
        </w:rPr>
      </w:pPr>
    </w:p>
    <w:p w14:paraId="13BE4BA7" w14:textId="77777777" w:rsidR="00801A59" w:rsidRDefault="00801A59">
      <w:pPr>
        <w:rPr>
          <w:rFonts w:cs="Arial"/>
          <w:b/>
          <w:i/>
          <w:color w:val="0070C0"/>
        </w:rPr>
      </w:pPr>
    </w:p>
    <w:p w14:paraId="0668F507" w14:textId="77777777" w:rsidR="00801A59" w:rsidRDefault="00801A59">
      <w:pPr>
        <w:rPr>
          <w:rFonts w:cs="Arial"/>
          <w:b/>
          <w:i/>
          <w:color w:val="0070C0"/>
        </w:rPr>
      </w:pPr>
    </w:p>
    <w:p w14:paraId="038CB93B" w14:textId="77777777" w:rsidR="00801A59" w:rsidRDefault="00801A59">
      <w:pPr>
        <w:rPr>
          <w:rFonts w:cs="Arial"/>
          <w:b/>
          <w:i/>
          <w:color w:val="0070C0"/>
        </w:rPr>
      </w:pPr>
    </w:p>
    <w:p w14:paraId="48AABBF0" w14:textId="77777777" w:rsidR="00801A59" w:rsidRDefault="00801A59">
      <w:pPr>
        <w:rPr>
          <w:rFonts w:cs="Arial"/>
          <w:b/>
          <w:i/>
          <w:color w:val="0070C0"/>
        </w:rPr>
      </w:pPr>
    </w:p>
    <w:p w14:paraId="58F8C62B" w14:textId="77777777" w:rsidR="00801A59" w:rsidRDefault="00801A59">
      <w:pPr>
        <w:rPr>
          <w:rFonts w:cs="Arial"/>
          <w:b/>
          <w:i/>
          <w:color w:val="0070C0"/>
        </w:rPr>
      </w:pPr>
    </w:p>
    <w:p w14:paraId="5AD7539C" w14:textId="77777777" w:rsidR="00801A59" w:rsidRDefault="00801A59">
      <w:pPr>
        <w:rPr>
          <w:rFonts w:cs="Arial"/>
          <w:b/>
          <w:i/>
          <w:color w:val="0070C0"/>
        </w:rPr>
      </w:pPr>
    </w:p>
    <w:p w14:paraId="11AF6868" w14:textId="77777777" w:rsidR="00801A59" w:rsidRDefault="00801A59">
      <w:pPr>
        <w:rPr>
          <w:rFonts w:cs="Arial"/>
          <w:b/>
          <w:i/>
          <w:color w:val="0070C0"/>
        </w:rPr>
      </w:pPr>
    </w:p>
    <w:p w14:paraId="1145245E" w14:textId="77777777" w:rsidR="00801A59" w:rsidRDefault="00801A59">
      <w:pPr>
        <w:rPr>
          <w:rFonts w:cs="Arial"/>
          <w:b/>
          <w:i/>
          <w:color w:val="0070C0"/>
        </w:rPr>
      </w:pPr>
    </w:p>
    <w:p w14:paraId="2490E1AC" w14:textId="77777777" w:rsidR="00801A59" w:rsidRDefault="00801A59">
      <w:pPr>
        <w:rPr>
          <w:rFonts w:cs="Arial"/>
          <w:b/>
          <w:i/>
          <w:color w:val="0070C0"/>
        </w:rPr>
      </w:pPr>
    </w:p>
    <w:p w14:paraId="652E4DD0" w14:textId="77777777" w:rsidR="00801A59" w:rsidRDefault="00801A59">
      <w:pPr>
        <w:rPr>
          <w:rFonts w:cs="Arial"/>
          <w:b/>
          <w:i/>
          <w:color w:val="0070C0"/>
        </w:rPr>
      </w:pPr>
    </w:p>
    <w:p w14:paraId="3C6C0598" w14:textId="77777777" w:rsidR="00801A59" w:rsidRDefault="00801A59">
      <w:pPr>
        <w:rPr>
          <w:rFonts w:cs="Arial"/>
          <w:b/>
          <w:i/>
          <w:color w:val="0070C0"/>
        </w:rPr>
      </w:pPr>
    </w:p>
    <w:p w14:paraId="171F7AAD" w14:textId="77777777" w:rsidR="00801A59" w:rsidRDefault="00801A59">
      <w:pPr>
        <w:rPr>
          <w:rFonts w:cs="Arial"/>
          <w:b/>
          <w:i/>
          <w:color w:val="0070C0"/>
        </w:rPr>
      </w:pPr>
    </w:p>
    <w:p w14:paraId="2DB20C40" w14:textId="77777777" w:rsidR="00801A59" w:rsidRDefault="00801A59">
      <w:pPr>
        <w:rPr>
          <w:rFonts w:cs="Arial"/>
          <w:b/>
          <w:i/>
          <w:color w:val="0070C0"/>
        </w:rPr>
      </w:pPr>
    </w:p>
    <w:p w14:paraId="16A4A6C6" w14:textId="3637C42F" w:rsidR="009F183C" w:rsidRDefault="00757AA1">
      <w:pPr>
        <w:rPr>
          <w:rFonts w:cs="Arial"/>
          <w:b/>
          <w:szCs w:val="22"/>
          <w:u w:val="single"/>
        </w:rPr>
      </w:pPr>
      <w:r>
        <w:rPr>
          <w:rFonts w:cs="Arial"/>
          <w:b/>
          <w:szCs w:val="22"/>
          <w:u w:val="single"/>
        </w:rPr>
        <w:t>Evoluzione del Fondo pluriennale vincolato (FPV) nel corso dell’esercizio 2017</w:t>
      </w:r>
    </w:p>
    <w:p w14:paraId="459EA996" w14:textId="77777777" w:rsidR="009F183C" w:rsidRDefault="009F183C">
      <w:pPr>
        <w:rPr>
          <w:rFonts w:cs="Arial"/>
          <w:b/>
          <w:bCs/>
          <w:color w:val="000000"/>
        </w:rPr>
      </w:pPr>
    </w:p>
    <w:p w14:paraId="72DCA70C" w14:textId="77777777" w:rsidR="009F183C" w:rsidRDefault="00757AA1">
      <w:pPr>
        <w:rPr>
          <w:rFonts w:cs="Arial"/>
          <w:color w:val="000000"/>
          <w:sz w:val="20"/>
        </w:rPr>
      </w:pPr>
      <w:r>
        <w:rPr>
          <w:rFonts w:cs="Arial"/>
          <w:color w:val="000000"/>
          <w:sz w:val="20"/>
        </w:rPr>
        <w:t>Il Fondo pluriennale vincolato nasce dall’applicazione del principio della competenza finanziaria di cui all’</w:t>
      </w:r>
      <w:r>
        <w:rPr>
          <w:rFonts w:cs="Arial"/>
          <w:sz w:val="20"/>
        </w:rPr>
        <w:t>allegato 4/2</w:t>
      </w:r>
      <w:r>
        <w:rPr>
          <w:rFonts w:cs="Arial"/>
          <w:color w:val="000000"/>
          <w:sz w:val="20"/>
        </w:rPr>
        <w:t xml:space="preserve"> al </w:t>
      </w:r>
      <w:r>
        <w:rPr>
          <w:rFonts w:cs="Arial"/>
          <w:sz w:val="20"/>
        </w:rPr>
        <w:t>D. Lgs.118/2011</w:t>
      </w:r>
      <w:r>
        <w:rPr>
          <w:rFonts w:cs="Arial"/>
          <w:color w:val="000000"/>
          <w:sz w:val="20"/>
        </w:rPr>
        <w:t xml:space="preserve"> per rendere evidente al Consiglio Comunale la distanza temporale intercorrente tra l’acquisizione dei finanziamenti e l’effettivo impiego di tali risorse.</w:t>
      </w:r>
    </w:p>
    <w:p w14:paraId="1601631C" w14:textId="77777777" w:rsidR="009F183C" w:rsidRDefault="00757AA1">
      <w:pPr>
        <w:rPr>
          <w:rFonts w:cs="Arial"/>
          <w:color w:val="000000"/>
          <w:sz w:val="20"/>
        </w:rPr>
      </w:pPr>
      <w:r>
        <w:rPr>
          <w:rFonts w:cs="Arial"/>
          <w:color w:val="000000"/>
          <w:sz w:val="20"/>
        </w:rPr>
        <w:t>L’organo di revisione ha verificato con la tecnica del campionamento:</w:t>
      </w:r>
    </w:p>
    <w:p w14:paraId="4E43E471" w14:textId="77777777" w:rsidR="009F183C" w:rsidRDefault="00757AA1">
      <w:pPr>
        <w:pStyle w:val="Paragrafoelenco"/>
        <w:widowControl/>
        <w:numPr>
          <w:ilvl w:val="0"/>
          <w:numId w:val="27"/>
        </w:numPr>
        <w:overflowPunct/>
        <w:spacing w:after="0"/>
        <w:textAlignment w:val="auto"/>
        <w:rPr>
          <w:rFonts w:cs="Arial"/>
          <w:color w:val="000000"/>
          <w:sz w:val="20"/>
        </w:rPr>
      </w:pPr>
      <w:r>
        <w:rPr>
          <w:rFonts w:cs="Arial"/>
          <w:color w:val="000000"/>
          <w:sz w:val="20"/>
        </w:rPr>
        <w:t>la fonte di finanziamento del FPV di parte corrente e di parte capitale;</w:t>
      </w:r>
    </w:p>
    <w:p w14:paraId="1D9F9087" w14:textId="77777777" w:rsidR="009F183C" w:rsidRDefault="00757AA1">
      <w:pPr>
        <w:pStyle w:val="Paragrafoelenco"/>
        <w:widowControl/>
        <w:numPr>
          <w:ilvl w:val="0"/>
          <w:numId w:val="27"/>
        </w:numPr>
        <w:overflowPunct/>
        <w:spacing w:after="0"/>
        <w:textAlignment w:val="auto"/>
        <w:rPr>
          <w:rFonts w:cs="Arial"/>
          <w:color w:val="000000"/>
          <w:sz w:val="20"/>
        </w:rPr>
      </w:pPr>
      <w:r>
        <w:rPr>
          <w:rFonts w:cs="Arial"/>
          <w:color w:val="000000"/>
          <w:sz w:val="20"/>
        </w:rPr>
        <w:t>la sussistenza dell’accertamento di entrata relativo a obbligazioni attive scadute ed esigibili che contribuiscono alla formazione del FPV;</w:t>
      </w:r>
    </w:p>
    <w:p w14:paraId="0D785DD8" w14:textId="77777777" w:rsidR="009F183C" w:rsidRDefault="00757AA1">
      <w:pPr>
        <w:pStyle w:val="Paragrafoelenco"/>
        <w:widowControl/>
        <w:numPr>
          <w:ilvl w:val="0"/>
          <w:numId w:val="27"/>
        </w:numPr>
        <w:overflowPunct/>
        <w:spacing w:after="0"/>
        <w:textAlignment w:val="auto"/>
        <w:rPr>
          <w:rFonts w:cs="Arial"/>
          <w:color w:val="000000"/>
          <w:sz w:val="20"/>
        </w:rPr>
      </w:pPr>
      <w:r>
        <w:rPr>
          <w:rFonts w:cs="Arial"/>
          <w:color w:val="000000"/>
          <w:sz w:val="20"/>
        </w:rPr>
        <w:t>la costituzione del FPV in presenza di obbligazioni giuridiche passive perfezionate;</w:t>
      </w:r>
    </w:p>
    <w:p w14:paraId="5DB4CFEE" w14:textId="77777777" w:rsidR="009F183C" w:rsidRDefault="00757AA1">
      <w:pPr>
        <w:pStyle w:val="Paragrafoelenco"/>
        <w:widowControl/>
        <w:numPr>
          <w:ilvl w:val="0"/>
          <w:numId w:val="27"/>
        </w:numPr>
        <w:overflowPunct/>
        <w:spacing w:after="0"/>
        <w:textAlignment w:val="auto"/>
        <w:rPr>
          <w:rFonts w:cs="Arial"/>
          <w:color w:val="000000"/>
          <w:sz w:val="20"/>
        </w:rPr>
      </w:pPr>
      <w:r>
        <w:rPr>
          <w:rFonts w:cs="Arial"/>
          <w:color w:val="000000"/>
          <w:sz w:val="20"/>
        </w:rPr>
        <w:t>la corretta applicazione dell’</w:t>
      </w:r>
      <w:r>
        <w:rPr>
          <w:rFonts w:cs="Arial"/>
          <w:sz w:val="20"/>
        </w:rPr>
        <w:t>art.183, comma 3 del TUEL</w:t>
      </w:r>
      <w:r>
        <w:rPr>
          <w:rFonts w:cs="Arial"/>
          <w:color w:val="000000"/>
          <w:sz w:val="20"/>
        </w:rPr>
        <w:t xml:space="preserve"> in ordine al FPV riferito ai lavori pubblici;</w:t>
      </w:r>
    </w:p>
    <w:p w14:paraId="7C99BA98" w14:textId="77777777" w:rsidR="009F183C" w:rsidRDefault="00757AA1">
      <w:pPr>
        <w:pStyle w:val="Paragrafoelenco"/>
        <w:widowControl/>
        <w:numPr>
          <w:ilvl w:val="0"/>
          <w:numId w:val="27"/>
        </w:numPr>
        <w:overflowPunct/>
        <w:spacing w:after="0"/>
        <w:textAlignment w:val="auto"/>
        <w:rPr>
          <w:rFonts w:cs="Arial"/>
          <w:color w:val="000000"/>
          <w:sz w:val="20"/>
        </w:rPr>
      </w:pPr>
      <w:r>
        <w:rPr>
          <w:rFonts w:cs="Arial"/>
          <w:color w:val="000000"/>
          <w:sz w:val="20"/>
        </w:rPr>
        <w:t>la formulazione di adeguati cronoprogrammi di spesa in ordine alla imputazione e reimputazione di impegni e di residui passivi coperti dal FPV;</w:t>
      </w:r>
    </w:p>
    <w:p w14:paraId="309850F5" w14:textId="77777777" w:rsidR="009F183C" w:rsidRDefault="00757AA1">
      <w:pPr>
        <w:pStyle w:val="Paragrafoelenco"/>
        <w:widowControl/>
        <w:numPr>
          <w:ilvl w:val="0"/>
          <w:numId w:val="27"/>
        </w:numPr>
        <w:overflowPunct/>
        <w:spacing w:after="0"/>
        <w:textAlignment w:val="auto"/>
        <w:rPr>
          <w:rFonts w:cs="Arial"/>
          <w:color w:val="000000"/>
          <w:sz w:val="20"/>
        </w:rPr>
      </w:pPr>
      <w:r>
        <w:rPr>
          <w:rFonts w:cs="Arial"/>
          <w:color w:val="000000"/>
          <w:sz w:val="20"/>
        </w:rPr>
        <w:t>l’esigibilità dei residui passivi coperti da FPV negli esercizi 2017-2018-2019 di riferimento.</w:t>
      </w:r>
    </w:p>
    <w:p w14:paraId="5E6684AB" w14:textId="77777777" w:rsidR="009F183C" w:rsidRDefault="009F183C">
      <w:pPr>
        <w:pStyle w:val="Corpodeltesto3"/>
        <w:spacing w:after="240"/>
        <w:rPr>
          <w:rFonts w:cs="Arial"/>
          <w:sz w:val="22"/>
          <w:szCs w:val="22"/>
        </w:rPr>
      </w:pPr>
    </w:p>
    <w:p w14:paraId="1DFC80C5" w14:textId="77777777" w:rsidR="009F183C" w:rsidRDefault="00757AA1">
      <w:pPr>
        <w:pStyle w:val="Corpodeltesto3"/>
        <w:spacing w:after="240"/>
        <w:rPr>
          <w:rFonts w:cs="Arial"/>
        </w:rPr>
      </w:pPr>
      <w:r>
        <w:rPr>
          <w:rFonts w:cs="Arial"/>
        </w:rPr>
        <w:t>La composizione del FPV finale 31/12/2017 è la seguente:</w:t>
      </w:r>
    </w:p>
    <w:tbl>
      <w:tblPr>
        <w:tblStyle w:val="Grigliatabella"/>
        <w:tblW w:w="0" w:type="auto"/>
        <w:tblLook w:val="04A0" w:firstRow="1" w:lastRow="0" w:firstColumn="1" w:lastColumn="0" w:noHBand="0" w:noVBand="1"/>
      </w:tblPr>
      <w:tblGrid>
        <w:gridCol w:w="2866"/>
        <w:gridCol w:w="2885"/>
        <w:gridCol w:w="2886"/>
      </w:tblGrid>
      <w:tr w:rsidR="009F183C" w14:paraId="751B3826" w14:textId="77777777">
        <w:tc>
          <w:tcPr>
            <w:tcW w:w="3020" w:type="dxa"/>
          </w:tcPr>
          <w:p w14:paraId="7AE4C793" w14:textId="77777777" w:rsidR="009F183C" w:rsidRDefault="00757AA1">
            <w:pPr>
              <w:pStyle w:val="Corpodeltesto3"/>
              <w:spacing w:after="240"/>
              <w:rPr>
                <w:rFonts w:cs="Arial"/>
                <w:b/>
              </w:rPr>
            </w:pPr>
            <w:r>
              <w:rPr>
                <w:rFonts w:cs="Arial"/>
                <w:b/>
              </w:rPr>
              <w:t>FPV</w:t>
            </w:r>
          </w:p>
        </w:tc>
        <w:tc>
          <w:tcPr>
            <w:tcW w:w="3020" w:type="dxa"/>
          </w:tcPr>
          <w:p w14:paraId="35C95394" w14:textId="77777777" w:rsidR="009F183C" w:rsidRDefault="00757AA1">
            <w:pPr>
              <w:pStyle w:val="Corpodeltesto3"/>
              <w:spacing w:after="240"/>
              <w:jc w:val="center"/>
              <w:rPr>
                <w:rFonts w:cs="Arial"/>
                <w:b/>
              </w:rPr>
            </w:pPr>
            <w:r>
              <w:rPr>
                <w:rFonts w:cs="Arial"/>
                <w:b/>
              </w:rPr>
              <w:t>01/01/2017</w:t>
            </w:r>
          </w:p>
        </w:tc>
        <w:tc>
          <w:tcPr>
            <w:tcW w:w="3021" w:type="dxa"/>
          </w:tcPr>
          <w:p w14:paraId="0798344E" w14:textId="77777777" w:rsidR="009F183C" w:rsidRDefault="00757AA1">
            <w:pPr>
              <w:pStyle w:val="Corpodeltesto3"/>
              <w:spacing w:after="240"/>
              <w:jc w:val="center"/>
              <w:rPr>
                <w:rFonts w:cs="Arial"/>
                <w:b/>
              </w:rPr>
            </w:pPr>
            <w:r>
              <w:rPr>
                <w:rFonts w:cs="Arial"/>
                <w:b/>
              </w:rPr>
              <w:t>31/12/2017</w:t>
            </w:r>
          </w:p>
        </w:tc>
      </w:tr>
      <w:tr w:rsidR="009F183C" w14:paraId="1C753549" w14:textId="77777777">
        <w:tc>
          <w:tcPr>
            <w:tcW w:w="3020" w:type="dxa"/>
          </w:tcPr>
          <w:p w14:paraId="30460344" w14:textId="77777777" w:rsidR="009F183C" w:rsidRDefault="00757AA1">
            <w:pPr>
              <w:pStyle w:val="Corpodeltesto3"/>
              <w:spacing w:after="240"/>
              <w:rPr>
                <w:rFonts w:cs="Arial"/>
              </w:rPr>
            </w:pPr>
            <w:r>
              <w:rPr>
                <w:rFonts w:cs="Arial"/>
              </w:rPr>
              <w:t>FPV di parte corrente</w:t>
            </w:r>
          </w:p>
        </w:tc>
        <w:tc>
          <w:tcPr>
            <w:tcW w:w="3020" w:type="dxa"/>
          </w:tcPr>
          <w:p w14:paraId="08F80C1E" w14:textId="77777777" w:rsidR="009F183C" w:rsidRDefault="009F183C">
            <w:pPr>
              <w:pStyle w:val="Corpodeltesto3"/>
              <w:spacing w:after="240"/>
              <w:rPr>
                <w:rFonts w:cs="Arial"/>
              </w:rPr>
            </w:pPr>
          </w:p>
        </w:tc>
        <w:tc>
          <w:tcPr>
            <w:tcW w:w="3021" w:type="dxa"/>
          </w:tcPr>
          <w:p w14:paraId="2EF58828" w14:textId="77777777" w:rsidR="009F183C" w:rsidRDefault="009F183C">
            <w:pPr>
              <w:pStyle w:val="Corpodeltesto3"/>
              <w:spacing w:after="240"/>
              <w:rPr>
                <w:rFonts w:cs="Arial"/>
              </w:rPr>
            </w:pPr>
          </w:p>
        </w:tc>
      </w:tr>
      <w:tr w:rsidR="009F183C" w14:paraId="575792A5" w14:textId="77777777">
        <w:tc>
          <w:tcPr>
            <w:tcW w:w="3020" w:type="dxa"/>
          </w:tcPr>
          <w:p w14:paraId="5789E153" w14:textId="77777777" w:rsidR="009F183C" w:rsidRDefault="00757AA1">
            <w:pPr>
              <w:pStyle w:val="Corpodeltesto3"/>
              <w:spacing w:after="240"/>
              <w:rPr>
                <w:rFonts w:cs="Arial"/>
              </w:rPr>
            </w:pPr>
            <w:r>
              <w:rPr>
                <w:rFonts w:cs="Arial"/>
              </w:rPr>
              <w:t>FPV di parte capitale</w:t>
            </w:r>
          </w:p>
        </w:tc>
        <w:tc>
          <w:tcPr>
            <w:tcW w:w="3020" w:type="dxa"/>
          </w:tcPr>
          <w:p w14:paraId="5F9602A5" w14:textId="77777777" w:rsidR="009F183C" w:rsidRDefault="009F183C">
            <w:pPr>
              <w:pStyle w:val="Corpodeltesto3"/>
              <w:spacing w:after="240"/>
              <w:rPr>
                <w:rFonts w:cs="Arial"/>
              </w:rPr>
            </w:pPr>
          </w:p>
        </w:tc>
        <w:tc>
          <w:tcPr>
            <w:tcW w:w="3021" w:type="dxa"/>
          </w:tcPr>
          <w:p w14:paraId="18F05773" w14:textId="77777777" w:rsidR="009F183C" w:rsidRDefault="009F183C">
            <w:pPr>
              <w:pStyle w:val="Corpodeltesto3"/>
              <w:spacing w:after="240"/>
              <w:rPr>
                <w:rFonts w:cs="Arial"/>
              </w:rPr>
            </w:pPr>
          </w:p>
        </w:tc>
      </w:tr>
    </w:tbl>
    <w:p w14:paraId="55A1A2CD" w14:textId="77777777" w:rsidR="009F183C" w:rsidRDefault="009F183C">
      <w:pPr>
        <w:pStyle w:val="Corpodeltesto3"/>
        <w:spacing w:after="240"/>
        <w:rPr>
          <w:rFonts w:cs="Arial"/>
        </w:rPr>
      </w:pPr>
    </w:p>
    <w:p w14:paraId="34EF6AAA" w14:textId="77777777" w:rsidR="009F183C" w:rsidRDefault="00757AA1">
      <w:pPr>
        <w:rPr>
          <w:rFonts w:cs="Arial"/>
          <w:i/>
          <w:color w:val="365F91"/>
          <w:sz w:val="20"/>
        </w:rPr>
      </w:pPr>
      <w:r>
        <w:rPr>
          <w:rFonts w:cs="Arial"/>
          <w:i/>
          <w:color w:val="365F91"/>
          <w:sz w:val="20"/>
        </w:rPr>
        <w:t>(eventuale)</w:t>
      </w:r>
    </w:p>
    <w:p w14:paraId="5FDBCD94" w14:textId="77777777" w:rsidR="009F183C" w:rsidRDefault="00757AA1">
      <w:pPr>
        <w:pStyle w:val="Corpodeltesto3"/>
        <w:spacing w:after="240"/>
        <w:rPr>
          <w:rFonts w:cs="Arial"/>
        </w:rPr>
      </w:pPr>
      <w:r>
        <w:rPr>
          <w:rFonts w:cs="Arial"/>
        </w:rPr>
        <w:t>La composizione del FPV di parte capitale finale 31/12/2017 è la seguente:</w:t>
      </w:r>
    </w:p>
    <w:tbl>
      <w:tblPr>
        <w:tblStyle w:val="Grigliatabella"/>
        <w:tblW w:w="0" w:type="auto"/>
        <w:tblLook w:val="04A0" w:firstRow="1" w:lastRow="0" w:firstColumn="1" w:lastColumn="0" w:noHBand="0" w:noVBand="1"/>
      </w:tblPr>
      <w:tblGrid>
        <w:gridCol w:w="3114"/>
        <w:gridCol w:w="2977"/>
      </w:tblGrid>
      <w:tr w:rsidR="009F183C" w14:paraId="4C8D69E4" w14:textId="77777777">
        <w:tc>
          <w:tcPr>
            <w:tcW w:w="3114" w:type="dxa"/>
          </w:tcPr>
          <w:p w14:paraId="0E6A8E18" w14:textId="77777777" w:rsidR="009F183C" w:rsidRDefault="00757AA1">
            <w:pPr>
              <w:pStyle w:val="Corpodeltesto3"/>
              <w:spacing w:after="240"/>
              <w:rPr>
                <w:rFonts w:cs="Arial"/>
              </w:rPr>
            </w:pPr>
            <w:r>
              <w:rPr>
                <w:rFonts w:cs="Arial"/>
              </w:rPr>
              <w:t>intervento</w:t>
            </w:r>
          </w:p>
        </w:tc>
        <w:tc>
          <w:tcPr>
            <w:tcW w:w="2977" w:type="dxa"/>
          </w:tcPr>
          <w:p w14:paraId="28D9F4B4" w14:textId="77777777" w:rsidR="009F183C" w:rsidRDefault="00757AA1">
            <w:pPr>
              <w:pStyle w:val="Corpodeltesto3"/>
              <w:spacing w:after="240"/>
              <w:rPr>
                <w:rFonts w:cs="Arial"/>
              </w:rPr>
            </w:pPr>
            <w:r>
              <w:rPr>
                <w:rFonts w:cs="Arial"/>
              </w:rPr>
              <w:t>fonti di finanziamento</w:t>
            </w:r>
          </w:p>
        </w:tc>
      </w:tr>
      <w:tr w:rsidR="009F183C" w14:paraId="18A7E3AA" w14:textId="77777777">
        <w:tc>
          <w:tcPr>
            <w:tcW w:w="3114" w:type="dxa"/>
          </w:tcPr>
          <w:p w14:paraId="68243B20" w14:textId="77777777" w:rsidR="009F183C" w:rsidRDefault="009F183C">
            <w:pPr>
              <w:pStyle w:val="Corpodeltesto3"/>
              <w:spacing w:after="240"/>
              <w:rPr>
                <w:rFonts w:cs="Arial"/>
              </w:rPr>
            </w:pPr>
          </w:p>
        </w:tc>
        <w:tc>
          <w:tcPr>
            <w:tcW w:w="2977" w:type="dxa"/>
          </w:tcPr>
          <w:p w14:paraId="50FD18A9" w14:textId="77777777" w:rsidR="009F183C" w:rsidRDefault="009F183C">
            <w:pPr>
              <w:pStyle w:val="Corpodeltesto3"/>
              <w:spacing w:after="240"/>
              <w:rPr>
                <w:rFonts w:cs="Arial"/>
              </w:rPr>
            </w:pPr>
          </w:p>
        </w:tc>
      </w:tr>
      <w:tr w:rsidR="009F183C" w14:paraId="77BD0183" w14:textId="77777777">
        <w:tc>
          <w:tcPr>
            <w:tcW w:w="3114" w:type="dxa"/>
          </w:tcPr>
          <w:p w14:paraId="7BD5A32E" w14:textId="77777777" w:rsidR="009F183C" w:rsidRDefault="009F183C">
            <w:pPr>
              <w:pStyle w:val="Corpodeltesto3"/>
              <w:spacing w:after="240"/>
              <w:rPr>
                <w:rFonts w:cs="Arial"/>
              </w:rPr>
            </w:pPr>
          </w:p>
        </w:tc>
        <w:tc>
          <w:tcPr>
            <w:tcW w:w="2977" w:type="dxa"/>
          </w:tcPr>
          <w:p w14:paraId="4DE22547" w14:textId="77777777" w:rsidR="009F183C" w:rsidRDefault="009F183C">
            <w:pPr>
              <w:pStyle w:val="Corpodeltesto3"/>
              <w:spacing w:after="240"/>
              <w:rPr>
                <w:rFonts w:cs="Arial"/>
              </w:rPr>
            </w:pPr>
          </w:p>
        </w:tc>
      </w:tr>
    </w:tbl>
    <w:p w14:paraId="28EFEDEF" w14:textId="77777777" w:rsidR="009F183C" w:rsidRDefault="009F183C">
      <w:pPr>
        <w:pStyle w:val="Corpodeltesto3"/>
        <w:spacing w:after="240"/>
        <w:rPr>
          <w:rFonts w:cs="Arial"/>
        </w:rPr>
      </w:pPr>
    </w:p>
    <w:p w14:paraId="1787C0AB" w14:textId="4B60FC74" w:rsidR="009F183C" w:rsidRDefault="00722CDB">
      <w:pPr>
        <w:pStyle w:val="Corpodeltesto3"/>
        <w:spacing w:after="0"/>
        <w:rPr>
          <w:rFonts w:cs="Arial"/>
        </w:rPr>
      </w:pPr>
      <w:r>
        <w:rPr>
          <w:rFonts w:cs="Arial"/>
        </w:rPr>
        <w:t>È</w:t>
      </w:r>
      <w:r w:rsidR="00757AA1">
        <w:rPr>
          <w:rFonts w:cs="Arial"/>
        </w:rPr>
        <w:t xml:space="preserve"> stata verificata l’esatta corrispondenza tra le entrate a destinazione specifica o vincolata e le relative spese impegnate in conformità alle disposizioni di legge come si desume dal seguente prospetto:</w:t>
      </w:r>
    </w:p>
    <w:p w14:paraId="4DF7279A" w14:textId="77777777" w:rsidR="009F183C" w:rsidRDefault="009F183C">
      <w:pPr>
        <w:pStyle w:val="Corpodeltesto3"/>
        <w:spacing w:after="0"/>
        <w:rPr>
          <w:rFonts w:cs="Arial"/>
        </w:rPr>
      </w:pPr>
    </w:p>
    <w:p w14:paraId="1DB723BA" w14:textId="77777777" w:rsidR="009F183C" w:rsidRDefault="00757AA1">
      <w:pPr>
        <w:rPr>
          <w:rFonts w:cs="Arial"/>
          <w:i/>
          <w:color w:val="365F91"/>
          <w:sz w:val="20"/>
        </w:rPr>
      </w:pPr>
      <w:r>
        <w:rPr>
          <w:rFonts w:cs="Arial"/>
          <w:i/>
          <w:color w:val="365F91"/>
          <w:sz w:val="20"/>
        </w:rPr>
        <w:t>(eventuale)</w:t>
      </w:r>
    </w:p>
    <w:p w14:paraId="15E255D0" w14:textId="77777777" w:rsidR="009F183C" w:rsidRDefault="009F183C">
      <w:pPr>
        <w:pStyle w:val="Corpodeltesto3"/>
        <w:spacing w:after="0"/>
        <w:rPr>
          <w:rFonts w:cs="Arial"/>
        </w:rPr>
      </w:pPr>
    </w:p>
    <w:p w14:paraId="2702CBBB" w14:textId="77777777" w:rsidR="009F183C" w:rsidRDefault="009F183C">
      <w:pPr>
        <w:pStyle w:val="Corpodeltesto3"/>
        <w:spacing w:after="0"/>
        <w:rPr>
          <w:rFonts w:cs="Arial"/>
        </w:rPr>
      </w:pPr>
    </w:p>
    <w:bookmarkStart w:id="23" w:name="_MON_1486993187"/>
    <w:bookmarkEnd w:id="23"/>
    <w:p w14:paraId="314E7D22" w14:textId="77777777" w:rsidR="009F183C" w:rsidRDefault="00757AA1">
      <w:pPr>
        <w:pStyle w:val="Corpodeltesto3"/>
        <w:spacing w:after="240"/>
        <w:rPr>
          <w:rFonts w:cs="Arial"/>
        </w:rPr>
      </w:pPr>
      <w:r>
        <w:rPr>
          <w:rFonts w:cs="Arial"/>
        </w:rPr>
        <w:object w:dxaOrig="9134" w:dyaOrig="6123" w14:anchorId="4C44E22F">
          <v:shape id="_x0000_i1033" type="#_x0000_t75" style="width:460.5pt;height:345.75pt" o:ole="">
            <v:imagedata r:id="rId26" o:title=""/>
          </v:shape>
          <o:OLEObject Type="Embed" ProgID="Excel.Sheet.12" ShapeID="_x0000_i1033" DrawAspect="Content" ObjectID="_1780988544" r:id="rId27"/>
        </w:object>
      </w:r>
    </w:p>
    <w:p w14:paraId="2B233DAC" w14:textId="77777777" w:rsidR="009F183C" w:rsidRDefault="00757AA1">
      <w:pPr>
        <w:pStyle w:val="Corpodeltesto3"/>
        <w:spacing w:after="240"/>
        <w:rPr>
          <w:rFonts w:cs="Arial"/>
          <w:sz w:val="22"/>
          <w:szCs w:val="22"/>
          <w:u w:val="single"/>
        </w:rPr>
      </w:pPr>
      <w:r>
        <w:rPr>
          <w:rFonts w:cs="Arial"/>
          <w:sz w:val="22"/>
          <w:szCs w:val="22"/>
          <w:u w:val="single"/>
        </w:rPr>
        <w:t>Entrate e spese non ricorrenti</w:t>
      </w:r>
    </w:p>
    <w:p w14:paraId="0201AB6E" w14:textId="77777777" w:rsidR="009F183C" w:rsidRDefault="00757AA1">
      <w:pPr>
        <w:pStyle w:val="Corpodeltesto3"/>
        <w:spacing w:after="240"/>
        <w:rPr>
          <w:rFonts w:cs="Arial"/>
        </w:rPr>
      </w:pPr>
      <w:r>
        <w:rPr>
          <w:rFonts w:cs="Arial"/>
        </w:rPr>
        <w:t>Al risultato di gestione 2017 hanno contribuito le seguenti entrate e spese non ricorrenti:</w:t>
      </w:r>
    </w:p>
    <w:p w14:paraId="151A5A6E" w14:textId="77777777" w:rsidR="009F183C" w:rsidRDefault="00757AA1">
      <w:pPr>
        <w:spacing w:before="120"/>
        <w:rPr>
          <w:rFonts w:cs="Arial"/>
          <w:i/>
          <w:iCs/>
          <w:color w:val="00B0F0"/>
          <w:sz w:val="20"/>
        </w:rPr>
      </w:pPr>
      <w:r>
        <w:rPr>
          <w:rStyle w:val="Enfasicorsivo"/>
          <w:color w:val="548DD4" w:themeColor="text2" w:themeTint="99"/>
          <w:sz w:val="20"/>
        </w:rPr>
        <w:t xml:space="preserve"> </w:t>
      </w:r>
      <w:r>
        <w:rPr>
          <w:rFonts w:cs="Arial"/>
          <w:i/>
          <w:iCs/>
          <w:color w:val="00B0F0"/>
          <w:sz w:val="20"/>
        </w:rPr>
        <w:t>(L’articolo 25, comma 1, lettera b) della legge 31 dicembre 2009, n. 196,</w:t>
      </w:r>
      <w:r>
        <w:rPr>
          <w:rFonts w:cs="Arial"/>
          <w:i/>
          <w:color w:val="00B0F0"/>
          <w:sz w:val="20"/>
        </w:rPr>
        <w:t xml:space="preserve"> e il punto 9.11.3 del principio contabile applicato 4/2 distinguono le entrate ricorrenti da quelle non ricorrenti, </w:t>
      </w:r>
      <w:r>
        <w:rPr>
          <w:rFonts w:cs="Arial"/>
          <w:i/>
          <w:iCs/>
          <w:color w:val="00B0F0"/>
          <w:sz w:val="20"/>
        </w:rPr>
        <w:t xml:space="preserve">a seconda che si riferiscano a proventi la cui acquisizione sia prevista a regime ovvero limitata ad uno o più esercizi. </w:t>
      </w:r>
    </w:p>
    <w:p w14:paraId="2F0BDBAC" w14:textId="50AE3169" w:rsidR="009F183C" w:rsidRDefault="00722CDB">
      <w:pPr>
        <w:spacing w:before="120"/>
        <w:rPr>
          <w:rFonts w:cs="Arial"/>
          <w:i/>
          <w:color w:val="00B0F0"/>
          <w:sz w:val="20"/>
        </w:rPr>
      </w:pPr>
      <w:r>
        <w:rPr>
          <w:rFonts w:cs="Arial"/>
          <w:i/>
          <w:color w:val="00B0F0"/>
          <w:sz w:val="20"/>
        </w:rPr>
        <w:t>È</w:t>
      </w:r>
      <w:r w:rsidR="00757AA1">
        <w:rPr>
          <w:rFonts w:cs="Arial"/>
          <w:i/>
          <w:color w:val="00B0F0"/>
          <w:sz w:val="20"/>
        </w:rPr>
        <w:t xml:space="preserve"> definita “a regime” un’entrata che si presenta con continuità in almeno 5 esercizi, per importi costanti nel tempo.</w:t>
      </w:r>
    </w:p>
    <w:p w14:paraId="74F71851" w14:textId="77777777" w:rsidR="009F183C" w:rsidRDefault="00757AA1">
      <w:pPr>
        <w:spacing w:before="120"/>
        <w:rPr>
          <w:rFonts w:cs="Arial"/>
          <w:i/>
          <w:color w:val="00B0F0"/>
          <w:sz w:val="20"/>
        </w:rPr>
      </w:pPr>
      <w:r>
        <w:rPr>
          <w:rFonts w:cs="Arial"/>
          <w:i/>
          <w:color w:val="00B0F0"/>
          <w:sz w:val="20"/>
        </w:rPr>
        <w:t>Tutti i trasferimenti in conto capitale sono “non ricorrenti” a meno che non siano espressamente definiti “continuativi” dal provvedimento o dalla norma che ne autorizza l’erogazione.</w:t>
      </w:r>
    </w:p>
    <w:p w14:paraId="466CDC87" w14:textId="2FFBAD7C" w:rsidR="009F183C" w:rsidRDefault="00722CDB">
      <w:pPr>
        <w:spacing w:before="120"/>
        <w:rPr>
          <w:rFonts w:cs="Arial"/>
          <w:i/>
          <w:color w:val="00B0F0"/>
          <w:sz w:val="20"/>
        </w:rPr>
      </w:pPr>
      <w:r>
        <w:rPr>
          <w:rFonts w:cs="Arial"/>
          <w:i/>
          <w:color w:val="00B0F0"/>
          <w:sz w:val="20"/>
        </w:rPr>
        <w:t>È</w:t>
      </w:r>
      <w:r w:rsidR="00757AA1">
        <w:rPr>
          <w:rFonts w:cs="Arial"/>
          <w:i/>
          <w:color w:val="00B0F0"/>
          <w:sz w:val="20"/>
        </w:rPr>
        <w:t xml:space="preserve"> opportuno includere tra le entrate “non ricorrenti” anche le entrate presenti “a regime” nei bilanci dell’ente, quando presentano importi superiori alla media riscontrata nei cinque esercizi precedenti. </w:t>
      </w:r>
    </w:p>
    <w:p w14:paraId="5954FFAF" w14:textId="77777777" w:rsidR="009F183C" w:rsidRDefault="00757AA1">
      <w:pPr>
        <w:spacing w:before="120"/>
        <w:rPr>
          <w:rFonts w:cs="Arial"/>
          <w:i/>
          <w:color w:val="00B0F0"/>
          <w:sz w:val="20"/>
        </w:rPr>
      </w:pPr>
      <w:r>
        <w:rPr>
          <w:rFonts w:cs="Arial"/>
          <w:i/>
          <w:color w:val="00B0F0"/>
          <w:sz w:val="20"/>
        </w:rPr>
        <w:t>In questo caso le entrate devono essere considerate “ricorrenti” fino a quando superano tale importo e devono essere invece considerate “non ricorrenti” quando tale importo viene superato.</w:t>
      </w:r>
    </w:p>
    <w:p w14:paraId="2CE1B1D8" w14:textId="74FE436A" w:rsidR="009F183C" w:rsidRDefault="00757AA1">
      <w:pPr>
        <w:spacing w:before="120"/>
        <w:rPr>
          <w:rFonts w:cs="Arial"/>
          <w:i/>
          <w:color w:val="00B0F0"/>
          <w:sz w:val="20"/>
        </w:rPr>
      </w:pPr>
      <w:r>
        <w:rPr>
          <w:rFonts w:cs="Arial"/>
          <w:i/>
          <w:color w:val="00B0F0"/>
          <w:sz w:val="20"/>
        </w:rPr>
        <w:t xml:space="preserve">Le entrate da concessioni pluriennali che non garantiscono accertamenti costanti negli esercizi e costituiscono entrate straordinarie non ricorrenti sono destinate al finanziamento di interventi di investimento. (cfr. punto 3.10 del principio contabile applicato 4/2 </w:t>
      </w:r>
      <w:r w:rsidR="00722CDB">
        <w:rPr>
          <w:rFonts w:cs="Arial"/>
          <w:i/>
          <w:color w:val="00B0F0"/>
          <w:sz w:val="20"/>
        </w:rPr>
        <w:t>D. Lgs</w:t>
      </w:r>
      <w:r>
        <w:rPr>
          <w:rFonts w:cs="Arial"/>
          <w:i/>
          <w:color w:val="00B0F0"/>
          <w:sz w:val="20"/>
        </w:rPr>
        <w:t>.118/2011)</w:t>
      </w:r>
    </w:p>
    <w:p w14:paraId="69707A11" w14:textId="77777777" w:rsidR="009F183C" w:rsidRDefault="00757AA1">
      <w:pPr>
        <w:rPr>
          <w:rFonts w:cs="Arial"/>
          <w:i/>
          <w:color w:val="00B0F0"/>
          <w:sz w:val="20"/>
        </w:rPr>
      </w:pPr>
      <w:r>
        <w:rPr>
          <w:rFonts w:cs="Arial"/>
          <w:i/>
          <w:color w:val="00B0F0"/>
          <w:sz w:val="20"/>
        </w:rPr>
        <w:t>Nella nota integrativa sono analizzate le articolazioni e la relazione fra entrate ricorrenti e quelle non ricorrenti. Il codice identificativo della transazione elementare delle entrate non ricorrenti è 2, quella delle spese non ricorrenti 4.</w:t>
      </w:r>
    </w:p>
    <w:p w14:paraId="1B07CCC6" w14:textId="77777777" w:rsidR="009F183C" w:rsidRDefault="00757AA1">
      <w:pPr>
        <w:pStyle w:val="NormaleWeb"/>
        <w:spacing w:before="0" w:beforeAutospacing="0" w:after="265" w:afterAutospacing="0"/>
        <w:jc w:val="both"/>
        <w:rPr>
          <w:rFonts w:ascii="Arial" w:hAnsi="Arial" w:cs="Arial"/>
          <w:i/>
          <w:color w:val="00B0F0"/>
          <w:sz w:val="20"/>
          <w:szCs w:val="20"/>
        </w:rPr>
      </w:pPr>
      <w:r>
        <w:rPr>
          <w:rFonts w:ascii="Arial" w:hAnsi="Arial" w:cs="Arial"/>
          <w:i/>
          <w:color w:val="00B0F0"/>
          <w:sz w:val="20"/>
          <w:szCs w:val="20"/>
        </w:rPr>
        <w:t xml:space="preserve">Alcune entrate sono considerate per definizione dai nuovi principi contabili come “non ricorrenti”, in particolare l’allegato 7 al D.lgs. 118/2011 precisa la distinzione tra entrata ricorrente e non ricorrente, a seconda se l’acquisizione dell’entrata sia prevista a regime ovvero limitata ad uno o più esercizi, e della spesa ricorrente e non ricorrente, a seconda se la spesa sia prevista a regime </w:t>
      </w:r>
      <w:r>
        <w:rPr>
          <w:rFonts w:ascii="Arial" w:hAnsi="Arial" w:cs="Arial"/>
          <w:i/>
          <w:color w:val="00B0F0"/>
          <w:sz w:val="20"/>
          <w:szCs w:val="20"/>
        </w:rPr>
        <w:lastRenderedPageBreak/>
        <w:t>o limitata ad uno o più esercizi (vedi punto 1 lett. g). A prescindere dall’entrata o dalla spesa a regime, il successivo punto 5 del citato allegato precisa che:</w:t>
      </w:r>
    </w:p>
    <w:p w14:paraId="15477F4E" w14:textId="77777777" w:rsidR="009F183C" w:rsidRDefault="00757AA1">
      <w:pPr>
        <w:pStyle w:val="NormaleWeb"/>
        <w:numPr>
          <w:ilvl w:val="0"/>
          <w:numId w:val="36"/>
        </w:numPr>
        <w:spacing w:before="0" w:beforeAutospacing="0" w:after="265" w:afterAutospacing="0"/>
        <w:rPr>
          <w:rFonts w:ascii="Arial" w:hAnsi="Arial" w:cs="Arial"/>
          <w:i/>
          <w:color w:val="00B0F0"/>
          <w:sz w:val="20"/>
          <w:szCs w:val="20"/>
        </w:rPr>
      </w:pPr>
      <w:r>
        <w:rPr>
          <w:rFonts w:ascii="Arial" w:hAnsi="Arial" w:cs="Arial"/>
          <w:i/>
          <w:color w:val="00B0F0"/>
          <w:sz w:val="20"/>
          <w:szCs w:val="20"/>
        </w:rPr>
        <w:t>Sono in ogni caso da considerare non ricorrenti le entrate riguardanti:</w:t>
      </w:r>
    </w:p>
    <w:p w14:paraId="72EB8FBA" w14:textId="77777777" w:rsidR="009F183C" w:rsidRDefault="00757AA1">
      <w:pPr>
        <w:pStyle w:val="NormaleWeb"/>
        <w:numPr>
          <w:ilvl w:val="0"/>
          <w:numId w:val="37"/>
        </w:numPr>
        <w:spacing w:before="0" w:beforeAutospacing="0" w:after="265" w:afterAutospacing="0"/>
        <w:ind w:firstLine="65"/>
        <w:rPr>
          <w:rFonts w:ascii="Arial" w:hAnsi="Arial" w:cs="Arial"/>
          <w:i/>
          <w:color w:val="00B0F0"/>
          <w:sz w:val="20"/>
          <w:szCs w:val="20"/>
        </w:rPr>
      </w:pPr>
      <w:r>
        <w:rPr>
          <w:rFonts w:ascii="Arial" w:hAnsi="Arial" w:cs="Arial"/>
          <w:i/>
          <w:color w:val="00B0F0"/>
          <w:sz w:val="20"/>
          <w:szCs w:val="20"/>
        </w:rPr>
        <w:t>donazioni, sanatorie, abusi edilizi e sanzioni;</w:t>
      </w:r>
      <w:r>
        <w:rPr>
          <w:rFonts w:ascii="Arial" w:hAnsi="Arial" w:cs="Arial"/>
          <w:i/>
          <w:color w:val="00B0F0"/>
          <w:sz w:val="20"/>
          <w:szCs w:val="20"/>
        </w:rPr>
        <w:br/>
        <w:t>b) condoni;</w:t>
      </w:r>
      <w:r>
        <w:rPr>
          <w:rFonts w:ascii="Arial" w:hAnsi="Arial" w:cs="Arial"/>
          <w:i/>
          <w:color w:val="00B0F0"/>
          <w:sz w:val="20"/>
          <w:szCs w:val="20"/>
        </w:rPr>
        <w:br/>
        <w:t>c) gettiti derivanti dalla lotta all’evasione tributaria;</w:t>
      </w:r>
      <w:r>
        <w:rPr>
          <w:rFonts w:ascii="Arial" w:hAnsi="Arial" w:cs="Arial"/>
          <w:i/>
          <w:color w:val="00B0F0"/>
          <w:sz w:val="20"/>
          <w:szCs w:val="20"/>
        </w:rPr>
        <w:br/>
        <w:t>d) entrate per eventi calamitosi;</w:t>
      </w:r>
      <w:r>
        <w:rPr>
          <w:rFonts w:ascii="Arial" w:hAnsi="Arial" w:cs="Arial"/>
          <w:i/>
          <w:color w:val="00B0F0"/>
          <w:sz w:val="20"/>
          <w:szCs w:val="20"/>
        </w:rPr>
        <w:br/>
        <w:t>e) alienazione di immobilizzazioni;</w:t>
      </w:r>
      <w:r>
        <w:rPr>
          <w:rFonts w:ascii="Arial" w:hAnsi="Arial" w:cs="Arial"/>
          <w:i/>
          <w:color w:val="00B0F0"/>
          <w:sz w:val="20"/>
          <w:szCs w:val="20"/>
        </w:rPr>
        <w:br/>
        <w:t>f) le accensioni di prestiti;</w:t>
      </w:r>
      <w:r>
        <w:rPr>
          <w:rFonts w:ascii="Arial" w:hAnsi="Arial" w:cs="Arial"/>
          <w:i/>
          <w:color w:val="00B0F0"/>
          <w:sz w:val="20"/>
          <w:szCs w:val="20"/>
        </w:rPr>
        <w:br/>
        <w:t>g) i contributi agli investimenti, a meno che non siano espressamente definitivi “continuativi” dal provvedimento o dalla norma che ne autorizza l’erogazione.</w:t>
      </w:r>
    </w:p>
    <w:p w14:paraId="51F5BBD8" w14:textId="77777777" w:rsidR="009F183C" w:rsidRDefault="00757AA1">
      <w:pPr>
        <w:pStyle w:val="NormaleWeb"/>
        <w:numPr>
          <w:ilvl w:val="0"/>
          <w:numId w:val="36"/>
        </w:numPr>
        <w:spacing w:before="0" w:beforeAutospacing="0" w:after="265" w:afterAutospacing="0"/>
        <w:rPr>
          <w:rFonts w:ascii="Arial" w:hAnsi="Arial" w:cs="Arial"/>
          <w:i/>
          <w:color w:val="00B0F0"/>
          <w:sz w:val="20"/>
          <w:szCs w:val="20"/>
        </w:rPr>
      </w:pPr>
      <w:r>
        <w:rPr>
          <w:rFonts w:ascii="Arial" w:hAnsi="Arial" w:cs="Arial"/>
          <w:i/>
          <w:color w:val="00B0F0"/>
          <w:sz w:val="20"/>
          <w:szCs w:val="20"/>
        </w:rPr>
        <w:t>Sono, in ogni caso, da considerarsi non ricorrenti, le spese riguardanti:</w:t>
      </w:r>
    </w:p>
    <w:p w14:paraId="5B342F40" w14:textId="77777777" w:rsidR="009F183C" w:rsidRDefault="00757AA1">
      <w:pPr>
        <w:pStyle w:val="NormaleWeb"/>
        <w:spacing w:before="0" w:beforeAutospacing="0" w:after="265" w:afterAutospacing="0"/>
        <w:ind w:left="720"/>
        <w:rPr>
          <w:rStyle w:val="Enfasicorsivo"/>
          <w:color w:val="4F81BD" w:themeColor="accent1"/>
          <w:sz w:val="20"/>
        </w:rPr>
      </w:pPr>
      <w:r>
        <w:rPr>
          <w:rFonts w:ascii="Arial" w:hAnsi="Arial" w:cs="Arial"/>
          <w:i/>
          <w:color w:val="00B0F0"/>
          <w:sz w:val="20"/>
          <w:szCs w:val="20"/>
        </w:rPr>
        <w:t>a) le consultazioni elettorali o referendarie locali,</w:t>
      </w:r>
      <w:r>
        <w:rPr>
          <w:rFonts w:ascii="Arial" w:hAnsi="Arial" w:cs="Arial"/>
          <w:i/>
          <w:color w:val="00B0F0"/>
          <w:sz w:val="20"/>
          <w:szCs w:val="20"/>
        </w:rPr>
        <w:br/>
        <w:t>b) i ripiani disavanzi pregressi di aziende e società e gli altri trasferimenti in c/capitale,</w:t>
      </w:r>
      <w:r>
        <w:rPr>
          <w:rFonts w:ascii="Arial" w:hAnsi="Arial" w:cs="Arial"/>
          <w:i/>
          <w:color w:val="00B0F0"/>
          <w:sz w:val="20"/>
          <w:szCs w:val="20"/>
        </w:rPr>
        <w:br/>
        <w:t>c) gli eventi calamitosi,</w:t>
      </w:r>
      <w:r>
        <w:rPr>
          <w:rFonts w:ascii="Arial" w:hAnsi="Arial" w:cs="Arial"/>
          <w:i/>
          <w:color w:val="00B0F0"/>
          <w:sz w:val="20"/>
          <w:szCs w:val="20"/>
        </w:rPr>
        <w:br/>
        <w:t>d) le sentenze esecutive ed atti equiparati,</w:t>
      </w:r>
      <w:r>
        <w:rPr>
          <w:rFonts w:ascii="Arial" w:hAnsi="Arial" w:cs="Arial"/>
          <w:i/>
          <w:color w:val="00B0F0"/>
          <w:sz w:val="20"/>
          <w:szCs w:val="20"/>
        </w:rPr>
        <w:br/>
        <w:t>e) gli investimenti diretti,</w:t>
      </w:r>
      <w:r>
        <w:rPr>
          <w:rFonts w:ascii="Arial" w:hAnsi="Arial" w:cs="Arial"/>
          <w:i/>
          <w:color w:val="00B0F0"/>
          <w:sz w:val="20"/>
          <w:szCs w:val="20"/>
        </w:rPr>
        <w:br/>
        <w:t>f) i contributi agli investimenti.</w:t>
      </w:r>
    </w:p>
    <w:bookmarkStart w:id="24" w:name="_MON_1486993209"/>
    <w:bookmarkEnd w:id="24"/>
    <w:p w14:paraId="7C0585A9" w14:textId="77777777" w:rsidR="009F183C" w:rsidRDefault="00757AA1">
      <w:pPr>
        <w:numPr>
          <w:ilvl w:val="12"/>
          <w:numId w:val="0"/>
        </w:numPr>
        <w:jc w:val="left"/>
        <w:rPr>
          <w:rFonts w:cs="Arial"/>
          <w:sz w:val="20"/>
        </w:rPr>
      </w:pPr>
      <w:r>
        <w:rPr>
          <w:rFonts w:cs="Arial"/>
          <w:sz w:val="20"/>
        </w:rPr>
        <w:object w:dxaOrig="9583" w:dyaOrig="6993" w14:anchorId="09A5FDB8">
          <v:shape id="_x0000_i1034" type="#_x0000_t75" style="width:483pt;height:353.25pt" o:ole="">
            <v:imagedata r:id="rId28" o:title=""/>
          </v:shape>
          <o:OLEObject Type="Embed" ProgID="Excel.Sheet.12" ShapeID="_x0000_i1034" DrawAspect="Content" ObjectID="_1780988545" r:id="rId29"/>
        </w:object>
      </w:r>
    </w:p>
    <w:p w14:paraId="7AE5954F" w14:textId="77777777" w:rsidR="009F183C" w:rsidRDefault="00757AA1">
      <w:pPr>
        <w:numPr>
          <w:ilvl w:val="12"/>
          <w:numId w:val="0"/>
        </w:numPr>
        <w:jc w:val="left"/>
        <w:rPr>
          <w:rFonts w:cs="Arial"/>
          <w:sz w:val="20"/>
          <w:u w:val="single"/>
        </w:rPr>
      </w:pPr>
      <w:r>
        <w:rPr>
          <w:rFonts w:cs="Arial"/>
          <w:sz w:val="20"/>
          <w:u w:val="single"/>
        </w:rPr>
        <w:t>(</w:t>
      </w:r>
      <w:r>
        <w:rPr>
          <w:rFonts w:cs="Arial"/>
          <w:i/>
          <w:sz w:val="20"/>
          <w:u w:val="single"/>
        </w:rPr>
        <w:t>Lo sbilancio positivo fra entrate e spese non ricorrenti ai fini degli equilibri di bilancio deve finanziare spese del titolo 2.)</w:t>
      </w:r>
      <w:r>
        <w:rPr>
          <w:rFonts w:cs="Arial"/>
          <w:sz w:val="20"/>
          <w:u w:val="single"/>
        </w:rPr>
        <w:t xml:space="preserve">  </w:t>
      </w:r>
    </w:p>
    <w:p w14:paraId="549DEDB6" w14:textId="77777777" w:rsidR="009F183C" w:rsidRDefault="009F183C">
      <w:pPr>
        <w:numPr>
          <w:ilvl w:val="12"/>
          <w:numId w:val="0"/>
        </w:numPr>
        <w:jc w:val="left"/>
        <w:rPr>
          <w:rFonts w:cs="Arial"/>
          <w:i/>
          <w:color w:val="548DD4" w:themeColor="text2" w:themeTint="99"/>
          <w:sz w:val="20"/>
        </w:rPr>
      </w:pPr>
    </w:p>
    <w:p w14:paraId="49B53C41" w14:textId="77777777" w:rsidR="009F183C" w:rsidRDefault="009F183C">
      <w:pPr>
        <w:numPr>
          <w:ilvl w:val="12"/>
          <w:numId w:val="0"/>
        </w:numPr>
        <w:jc w:val="left"/>
        <w:rPr>
          <w:rFonts w:cs="Arial"/>
          <w:i/>
          <w:color w:val="548DD4" w:themeColor="text2" w:themeTint="99"/>
          <w:sz w:val="20"/>
        </w:rPr>
      </w:pPr>
    </w:p>
    <w:p w14:paraId="3C10596D" w14:textId="77777777" w:rsidR="009F183C" w:rsidRDefault="00757AA1">
      <w:pPr>
        <w:pStyle w:val="Titolo3"/>
        <w:rPr>
          <w:color w:val="76923C" w:themeColor="accent3" w:themeShade="BF"/>
        </w:rPr>
      </w:pPr>
      <w:bookmarkStart w:id="25" w:name="_Toc507691941"/>
      <w:r>
        <w:rPr>
          <w:color w:val="76923C" w:themeColor="accent3" w:themeShade="BF"/>
        </w:rPr>
        <w:t>Risultato di amministrazione</w:t>
      </w:r>
      <w:bookmarkEnd w:id="25"/>
    </w:p>
    <w:p w14:paraId="5A43894E" w14:textId="77777777" w:rsidR="009F183C" w:rsidRDefault="00757AA1">
      <w:pPr>
        <w:spacing w:before="120"/>
        <w:rPr>
          <w:rFonts w:cs="Arial"/>
          <w:bCs/>
          <w:sz w:val="20"/>
        </w:rPr>
      </w:pPr>
      <w:r>
        <w:rPr>
          <w:rFonts w:cs="Arial"/>
          <w:bCs/>
          <w:sz w:val="20"/>
        </w:rPr>
        <w:lastRenderedPageBreak/>
        <w:t>L’organo di revisione ha verificato e attesta che:</w:t>
      </w:r>
    </w:p>
    <w:p w14:paraId="6BF765F3" w14:textId="77777777" w:rsidR="009F183C" w:rsidRDefault="00757AA1">
      <w:pPr>
        <w:pStyle w:val="Paragrafoelenco"/>
        <w:numPr>
          <w:ilvl w:val="0"/>
          <w:numId w:val="29"/>
        </w:numPr>
        <w:spacing w:before="120"/>
        <w:rPr>
          <w:rFonts w:cs="Arial"/>
          <w:bCs/>
          <w:sz w:val="20"/>
        </w:rPr>
      </w:pPr>
      <w:r>
        <w:rPr>
          <w:rFonts w:cs="Arial"/>
          <w:bCs/>
          <w:sz w:val="20"/>
        </w:rPr>
        <w:t xml:space="preserve">Il risultato di amministrazione dell’esercizio 2017, presenta un </w:t>
      </w:r>
      <w:r>
        <w:rPr>
          <w:rFonts w:cs="Arial"/>
          <w:b/>
          <w:bCs/>
          <w:i/>
          <w:sz w:val="20"/>
        </w:rPr>
        <w:t>avanzo / disavanzo</w:t>
      </w:r>
      <w:r>
        <w:rPr>
          <w:rFonts w:cs="Arial"/>
          <w:bCs/>
          <w:sz w:val="20"/>
        </w:rPr>
        <w:t xml:space="preserve"> di Euro ……….., come risulta dai seguenti elementi:</w:t>
      </w:r>
    </w:p>
    <w:p w14:paraId="0D0F1BB5" w14:textId="77777777" w:rsidR="009F183C" w:rsidRDefault="009F183C">
      <w:pPr>
        <w:spacing w:before="120"/>
        <w:rPr>
          <w:rFonts w:cs="Arial"/>
          <w:bCs/>
          <w:sz w:val="20"/>
        </w:rPr>
      </w:pPr>
    </w:p>
    <w:bookmarkStart w:id="26" w:name="_MON_1519222246"/>
    <w:bookmarkEnd w:id="26"/>
    <w:p w14:paraId="17A6AF1F" w14:textId="7EA168E2" w:rsidR="009F183C" w:rsidRDefault="00185F7F">
      <w:pPr>
        <w:spacing w:before="120"/>
        <w:jc w:val="left"/>
        <w:rPr>
          <w:rFonts w:cs="Arial"/>
          <w:bCs/>
          <w:sz w:val="20"/>
        </w:rPr>
      </w:pPr>
      <w:r>
        <w:rPr>
          <w:rFonts w:cs="Arial"/>
          <w:bCs/>
          <w:sz w:val="20"/>
        </w:rPr>
        <w:object w:dxaOrig="8878" w:dyaOrig="9188" w14:anchorId="40032AC0">
          <v:shape id="_x0000_i1035" type="#_x0000_t75" style="width:461.25pt;height:460.5pt" o:ole="">
            <v:imagedata r:id="rId30" o:title=""/>
          </v:shape>
          <o:OLEObject Type="Embed" ProgID="Excel.Sheet.12" ShapeID="_x0000_i1035" DrawAspect="Content" ObjectID="_1780988546" r:id="rId31"/>
        </w:object>
      </w:r>
    </w:p>
    <w:p w14:paraId="7098ECDC" w14:textId="77777777" w:rsidR="009F183C" w:rsidRDefault="00757AA1">
      <w:pPr>
        <w:rPr>
          <w:rFonts w:cs="Arial"/>
          <w:i/>
          <w:color w:val="365F91"/>
          <w:sz w:val="20"/>
        </w:rPr>
      </w:pPr>
      <w:r>
        <w:rPr>
          <w:rFonts w:cs="Arial"/>
          <w:i/>
          <w:color w:val="365F91"/>
          <w:sz w:val="20"/>
        </w:rPr>
        <w:t>(eventuale)</w:t>
      </w:r>
    </w:p>
    <w:p w14:paraId="35C3A165" w14:textId="77777777" w:rsidR="009F183C" w:rsidRDefault="00757AA1">
      <w:pPr>
        <w:spacing w:before="120"/>
        <w:rPr>
          <w:rFonts w:cs="Arial"/>
          <w:bCs/>
          <w:sz w:val="20"/>
        </w:rPr>
      </w:pPr>
      <w:r>
        <w:rPr>
          <w:rFonts w:cs="Arial"/>
          <w:bCs/>
          <w:sz w:val="20"/>
        </w:rPr>
        <w:t>Nel conto del tesoriere al 31/12/2017, sono indicati pagamenti per esecuzione forzata per euro…….e al finanziamento di tali pagamenti si è provveduto come segue……….</w:t>
      </w:r>
    </w:p>
    <w:p w14:paraId="2D1361B4" w14:textId="77777777" w:rsidR="009F183C" w:rsidRDefault="00757AA1">
      <w:pPr>
        <w:rPr>
          <w:rFonts w:cs="Arial"/>
          <w:i/>
          <w:color w:val="365F91"/>
          <w:sz w:val="20"/>
        </w:rPr>
      </w:pPr>
      <w:r>
        <w:rPr>
          <w:rFonts w:cs="Arial"/>
          <w:i/>
          <w:color w:val="365F91"/>
          <w:sz w:val="20"/>
        </w:rPr>
        <w:t>(eventuale)</w:t>
      </w:r>
    </w:p>
    <w:p w14:paraId="5B981134" w14:textId="77777777" w:rsidR="009F183C" w:rsidRDefault="00757AA1">
      <w:pPr>
        <w:spacing w:before="120"/>
        <w:rPr>
          <w:rFonts w:cs="Arial"/>
          <w:bCs/>
          <w:sz w:val="20"/>
        </w:rPr>
      </w:pPr>
      <w:r>
        <w:rPr>
          <w:rFonts w:cs="Arial"/>
          <w:bCs/>
          <w:sz w:val="20"/>
        </w:rPr>
        <w:t>Nei residui attivi sono compresi euro …….. derivanti da accertamenti di tributi effettuati sulla base di stima del Dipartimento finanze.</w:t>
      </w:r>
    </w:p>
    <w:p w14:paraId="73D8D76C" w14:textId="77777777" w:rsidR="009F183C" w:rsidRDefault="009F183C">
      <w:pPr>
        <w:spacing w:before="120"/>
        <w:rPr>
          <w:rFonts w:cs="Arial"/>
          <w:bCs/>
          <w:sz w:val="20"/>
        </w:rPr>
      </w:pPr>
    </w:p>
    <w:p w14:paraId="60CD3AC6" w14:textId="77777777" w:rsidR="009F183C" w:rsidRDefault="009F183C">
      <w:pPr>
        <w:spacing w:before="120"/>
        <w:rPr>
          <w:rFonts w:cs="Arial"/>
          <w:bCs/>
          <w:sz w:val="20"/>
        </w:rPr>
      </w:pPr>
    </w:p>
    <w:p w14:paraId="3C54B78A" w14:textId="77777777" w:rsidR="009F183C" w:rsidRDefault="009F183C">
      <w:pPr>
        <w:spacing w:before="120"/>
        <w:rPr>
          <w:rFonts w:cs="Arial"/>
          <w:bCs/>
          <w:sz w:val="20"/>
        </w:rPr>
      </w:pPr>
    </w:p>
    <w:p w14:paraId="1911FB68" w14:textId="77777777" w:rsidR="009F183C" w:rsidRDefault="00757AA1">
      <w:pPr>
        <w:pStyle w:val="Paragrafoelenco"/>
        <w:numPr>
          <w:ilvl w:val="0"/>
          <w:numId w:val="29"/>
        </w:numPr>
        <w:rPr>
          <w:rFonts w:cs="Arial"/>
          <w:bCs/>
          <w:sz w:val="20"/>
        </w:rPr>
      </w:pPr>
      <w:r>
        <w:rPr>
          <w:rFonts w:cs="Arial"/>
          <w:bCs/>
          <w:sz w:val="20"/>
        </w:rPr>
        <w:t>Il risultato di amministrazione nell’ultimo triennio ha avuto la seguente evoluzione:</w:t>
      </w:r>
    </w:p>
    <w:p w14:paraId="61E68930" w14:textId="77777777" w:rsidR="009F183C" w:rsidRDefault="009F183C">
      <w:pPr>
        <w:rPr>
          <w:rFonts w:cs="Arial"/>
          <w:bCs/>
          <w:sz w:val="20"/>
        </w:rPr>
      </w:pPr>
    </w:p>
    <w:bookmarkStart w:id="27" w:name="_MON_1486993466"/>
    <w:bookmarkEnd w:id="27"/>
    <w:p w14:paraId="6429F06B" w14:textId="77777777" w:rsidR="009F183C" w:rsidRDefault="00757AA1">
      <w:pPr>
        <w:rPr>
          <w:rFonts w:cs="Arial"/>
          <w:sz w:val="20"/>
        </w:rPr>
      </w:pPr>
      <w:r>
        <w:rPr>
          <w:rFonts w:cs="Arial"/>
          <w:bCs/>
          <w:sz w:val="20"/>
        </w:rPr>
        <w:object w:dxaOrig="9119" w:dyaOrig="2919" w14:anchorId="548BD659">
          <v:shape id="_x0000_i1036" type="#_x0000_t75" style="width:454.5pt;height:2in" o:ole="">
            <v:imagedata r:id="rId32" o:title=""/>
          </v:shape>
          <o:OLEObject Type="Embed" ProgID="Excel.Sheet.12" ShapeID="_x0000_i1036" DrawAspect="Content" ObjectID="_1780988547" r:id="rId33"/>
        </w:object>
      </w:r>
      <w:r>
        <w:rPr>
          <w:rFonts w:cs="Arial"/>
          <w:i/>
          <w:color w:val="365F91"/>
          <w:sz w:val="18"/>
          <w:szCs w:val="18"/>
        </w:rPr>
        <w:t>* il fondo parte disponibile va espresso in valore positivo se il risultato di amministrazione è superiore alla sommatoria degli altri fondi. In tal caso, esso evidenzia la quota di avanzo disponibile. Va invece espresso in valore negativo se la sommatoria degli altri fondi è superiore al risultato di amministrazione poiché, in tal caso, esso evidenzia la quota di disavanzo applicata (o da applicare) obbligatoriamente al bilancio di previsione per ricostituire integralmente la parte vincolata, la parte accantonata e la parte destinata.</w:t>
      </w:r>
    </w:p>
    <w:p w14:paraId="37F92DFC" w14:textId="77777777" w:rsidR="009F183C" w:rsidRDefault="009F183C">
      <w:pPr>
        <w:rPr>
          <w:rFonts w:cs="Arial"/>
          <w:i/>
          <w:color w:val="365F91"/>
          <w:sz w:val="20"/>
        </w:rPr>
      </w:pPr>
    </w:p>
    <w:p w14:paraId="6D65F2B6" w14:textId="77777777" w:rsidR="009F183C" w:rsidRDefault="00757AA1">
      <w:pPr>
        <w:rPr>
          <w:rFonts w:cs="Arial"/>
          <w:i/>
          <w:color w:val="365F91"/>
          <w:sz w:val="20"/>
        </w:rPr>
      </w:pPr>
      <w:r>
        <w:rPr>
          <w:rFonts w:cs="Arial"/>
          <w:i/>
          <w:color w:val="365F91"/>
          <w:sz w:val="20"/>
        </w:rPr>
        <w:t>(eventuale)</w:t>
      </w:r>
    </w:p>
    <w:p w14:paraId="7B1D2BF8" w14:textId="77777777" w:rsidR="009F183C" w:rsidRDefault="009F183C">
      <w:pPr>
        <w:rPr>
          <w:rFonts w:cs="Arial"/>
          <w:i/>
          <w:color w:val="365F91"/>
          <w:sz w:val="20"/>
        </w:rPr>
      </w:pPr>
    </w:p>
    <w:p w14:paraId="292CD30A" w14:textId="77777777" w:rsidR="009F183C" w:rsidRDefault="00757AA1">
      <w:pPr>
        <w:numPr>
          <w:ilvl w:val="12"/>
          <w:numId w:val="0"/>
        </w:numPr>
        <w:rPr>
          <w:rFonts w:cs="Arial"/>
          <w:sz w:val="20"/>
        </w:rPr>
      </w:pPr>
      <w:r>
        <w:rPr>
          <w:rFonts w:cs="Arial"/>
        </w:rPr>
        <w:t xml:space="preserve"> </w:t>
      </w:r>
      <w:r>
        <w:rPr>
          <w:rFonts w:cs="Arial"/>
          <w:sz w:val="20"/>
        </w:rPr>
        <w:t>L’Organo di revisione ha accertato che l’ente ha apposto propri vincoli di destinazione all’avanzo di amministrazione in quanto non ha rinviato la copertura del disavanzo di amministrazione degli esercizi precedenti ed ha coperto tutti i debiti fuori bilancio riconosciuti.</w:t>
      </w:r>
    </w:p>
    <w:p w14:paraId="37A8E98B" w14:textId="77777777" w:rsidR="009F183C" w:rsidRDefault="009F183C">
      <w:pPr>
        <w:numPr>
          <w:ilvl w:val="12"/>
          <w:numId w:val="0"/>
        </w:numPr>
        <w:rPr>
          <w:rFonts w:cs="Arial"/>
          <w:sz w:val="20"/>
        </w:rPr>
      </w:pPr>
    </w:p>
    <w:p w14:paraId="66145B33" w14:textId="77777777" w:rsidR="00757AA1" w:rsidRDefault="00757AA1">
      <w:pPr>
        <w:numPr>
          <w:ilvl w:val="12"/>
          <w:numId w:val="0"/>
        </w:numPr>
        <w:rPr>
          <w:rFonts w:cs="Arial"/>
          <w:sz w:val="20"/>
        </w:rPr>
      </w:pPr>
    </w:p>
    <w:p w14:paraId="35FBAE56" w14:textId="77777777" w:rsidR="00757AA1" w:rsidRDefault="00757AA1">
      <w:pPr>
        <w:numPr>
          <w:ilvl w:val="12"/>
          <w:numId w:val="0"/>
        </w:numPr>
        <w:rPr>
          <w:rFonts w:cs="Arial"/>
          <w:sz w:val="20"/>
        </w:rPr>
      </w:pPr>
    </w:p>
    <w:p w14:paraId="135BE7EC" w14:textId="77777777" w:rsidR="00757AA1" w:rsidRDefault="00757AA1">
      <w:pPr>
        <w:numPr>
          <w:ilvl w:val="12"/>
          <w:numId w:val="0"/>
        </w:numPr>
        <w:rPr>
          <w:rFonts w:cs="Arial"/>
          <w:sz w:val="20"/>
        </w:rPr>
      </w:pPr>
    </w:p>
    <w:p w14:paraId="47DCF192" w14:textId="77777777" w:rsidR="00757AA1" w:rsidRDefault="00757AA1">
      <w:pPr>
        <w:numPr>
          <w:ilvl w:val="12"/>
          <w:numId w:val="0"/>
        </w:numPr>
        <w:rPr>
          <w:rFonts w:cs="Arial"/>
          <w:sz w:val="20"/>
        </w:rPr>
      </w:pPr>
    </w:p>
    <w:p w14:paraId="022C47A8" w14:textId="77777777" w:rsidR="00757AA1" w:rsidRDefault="00757AA1">
      <w:pPr>
        <w:numPr>
          <w:ilvl w:val="12"/>
          <w:numId w:val="0"/>
        </w:numPr>
        <w:rPr>
          <w:rFonts w:cs="Arial"/>
          <w:sz w:val="20"/>
        </w:rPr>
      </w:pPr>
    </w:p>
    <w:p w14:paraId="77C5B4CC" w14:textId="77777777" w:rsidR="00757AA1" w:rsidRDefault="00757AA1">
      <w:pPr>
        <w:numPr>
          <w:ilvl w:val="12"/>
          <w:numId w:val="0"/>
        </w:numPr>
        <w:rPr>
          <w:rFonts w:cs="Arial"/>
          <w:sz w:val="20"/>
        </w:rPr>
      </w:pPr>
    </w:p>
    <w:p w14:paraId="76B5DBDD" w14:textId="77777777" w:rsidR="00757AA1" w:rsidRDefault="00757AA1">
      <w:pPr>
        <w:numPr>
          <w:ilvl w:val="12"/>
          <w:numId w:val="0"/>
        </w:numPr>
        <w:rPr>
          <w:rFonts w:cs="Arial"/>
          <w:sz w:val="20"/>
        </w:rPr>
      </w:pPr>
    </w:p>
    <w:p w14:paraId="39C09177" w14:textId="77777777" w:rsidR="00757AA1" w:rsidRDefault="00757AA1">
      <w:pPr>
        <w:numPr>
          <w:ilvl w:val="12"/>
          <w:numId w:val="0"/>
        </w:numPr>
        <w:rPr>
          <w:rFonts w:cs="Arial"/>
          <w:sz w:val="20"/>
        </w:rPr>
      </w:pPr>
    </w:p>
    <w:p w14:paraId="2B995687" w14:textId="77777777" w:rsidR="00757AA1" w:rsidRDefault="00757AA1">
      <w:pPr>
        <w:numPr>
          <w:ilvl w:val="12"/>
          <w:numId w:val="0"/>
        </w:numPr>
        <w:rPr>
          <w:rFonts w:cs="Arial"/>
          <w:sz w:val="20"/>
        </w:rPr>
      </w:pPr>
    </w:p>
    <w:p w14:paraId="349939C8" w14:textId="77777777" w:rsidR="00757AA1" w:rsidRDefault="00757AA1">
      <w:pPr>
        <w:numPr>
          <w:ilvl w:val="12"/>
          <w:numId w:val="0"/>
        </w:numPr>
        <w:rPr>
          <w:rFonts w:cs="Arial"/>
          <w:sz w:val="20"/>
        </w:rPr>
      </w:pPr>
    </w:p>
    <w:p w14:paraId="754A8518" w14:textId="77777777" w:rsidR="00757AA1" w:rsidRDefault="00757AA1">
      <w:pPr>
        <w:numPr>
          <w:ilvl w:val="12"/>
          <w:numId w:val="0"/>
        </w:numPr>
        <w:rPr>
          <w:rFonts w:cs="Arial"/>
          <w:sz w:val="20"/>
        </w:rPr>
      </w:pPr>
    </w:p>
    <w:p w14:paraId="46E0E8F2" w14:textId="77777777" w:rsidR="00757AA1" w:rsidRDefault="00757AA1">
      <w:pPr>
        <w:numPr>
          <w:ilvl w:val="12"/>
          <w:numId w:val="0"/>
        </w:numPr>
        <w:rPr>
          <w:rFonts w:cs="Arial"/>
          <w:sz w:val="20"/>
        </w:rPr>
      </w:pPr>
    </w:p>
    <w:p w14:paraId="3D55763D" w14:textId="77777777" w:rsidR="00757AA1" w:rsidRDefault="00757AA1">
      <w:pPr>
        <w:numPr>
          <w:ilvl w:val="12"/>
          <w:numId w:val="0"/>
        </w:numPr>
        <w:rPr>
          <w:rFonts w:cs="Arial"/>
          <w:sz w:val="20"/>
        </w:rPr>
      </w:pPr>
    </w:p>
    <w:p w14:paraId="12A5D256" w14:textId="77777777" w:rsidR="00757AA1" w:rsidRDefault="00757AA1">
      <w:pPr>
        <w:numPr>
          <w:ilvl w:val="12"/>
          <w:numId w:val="0"/>
        </w:numPr>
        <w:rPr>
          <w:rFonts w:cs="Arial"/>
          <w:sz w:val="20"/>
        </w:rPr>
      </w:pPr>
    </w:p>
    <w:p w14:paraId="7E82EE5A" w14:textId="77777777" w:rsidR="00757AA1" w:rsidRDefault="00757AA1">
      <w:pPr>
        <w:numPr>
          <w:ilvl w:val="12"/>
          <w:numId w:val="0"/>
        </w:numPr>
        <w:rPr>
          <w:rFonts w:cs="Arial"/>
          <w:sz w:val="20"/>
        </w:rPr>
      </w:pPr>
    </w:p>
    <w:p w14:paraId="7FFEECFA" w14:textId="77777777" w:rsidR="00757AA1" w:rsidRDefault="00757AA1">
      <w:pPr>
        <w:numPr>
          <w:ilvl w:val="12"/>
          <w:numId w:val="0"/>
        </w:numPr>
        <w:rPr>
          <w:rFonts w:cs="Arial"/>
          <w:sz w:val="20"/>
        </w:rPr>
      </w:pPr>
    </w:p>
    <w:p w14:paraId="71D61D71" w14:textId="77777777" w:rsidR="00757AA1" w:rsidRDefault="00757AA1">
      <w:pPr>
        <w:numPr>
          <w:ilvl w:val="12"/>
          <w:numId w:val="0"/>
        </w:numPr>
        <w:rPr>
          <w:rFonts w:cs="Arial"/>
          <w:sz w:val="20"/>
        </w:rPr>
      </w:pPr>
    </w:p>
    <w:p w14:paraId="3E34642C" w14:textId="77777777" w:rsidR="00757AA1" w:rsidRDefault="00757AA1">
      <w:pPr>
        <w:numPr>
          <w:ilvl w:val="12"/>
          <w:numId w:val="0"/>
        </w:numPr>
        <w:rPr>
          <w:rFonts w:cs="Arial"/>
          <w:sz w:val="20"/>
        </w:rPr>
      </w:pPr>
    </w:p>
    <w:p w14:paraId="7AF3CA04" w14:textId="77777777" w:rsidR="00757AA1" w:rsidRDefault="00757AA1">
      <w:pPr>
        <w:numPr>
          <w:ilvl w:val="12"/>
          <w:numId w:val="0"/>
        </w:numPr>
        <w:rPr>
          <w:rFonts w:cs="Arial"/>
          <w:sz w:val="20"/>
        </w:rPr>
      </w:pPr>
    </w:p>
    <w:p w14:paraId="7599FA14" w14:textId="77777777" w:rsidR="00757AA1" w:rsidRDefault="00757AA1">
      <w:pPr>
        <w:numPr>
          <w:ilvl w:val="12"/>
          <w:numId w:val="0"/>
        </w:numPr>
        <w:rPr>
          <w:rFonts w:cs="Arial"/>
          <w:sz w:val="20"/>
        </w:rPr>
      </w:pPr>
    </w:p>
    <w:p w14:paraId="2F1BD092" w14:textId="77777777" w:rsidR="00757AA1" w:rsidRDefault="00757AA1">
      <w:pPr>
        <w:numPr>
          <w:ilvl w:val="12"/>
          <w:numId w:val="0"/>
        </w:numPr>
        <w:rPr>
          <w:rFonts w:cs="Arial"/>
          <w:sz w:val="20"/>
        </w:rPr>
      </w:pPr>
    </w:p>
    <w:p w14:paraId="591D3BE4" w14:textId="77777777" w:rsidR="009F183C" w:rsidRDefault="00757AA1">
      <w:pPr>
        <w:pStyle w:val="Paragrafoelenco"/>
        <w:numPr>
          <w:ilvl w:val="0"/>
          <w:numId w:val="29"/>
        </w:numPr>
        <w:rPr>
          <w:rFonts w:cs="Arial"/>
          <w:sz w:val="20"/>
        </w:rPr>
      </w:pPr>
      <w:r>
        <w:rPr>
          <w:rFonts w:cs="Arial"/>
          <w:sz w:val="20"/>
        </w:rPr>
        <w:t>il risultato di amministrazione è correttamente suddiviso nei seguenti fondi tenendo anche conto della natura del finanziamento:</w:t>
      </w:r>
    </w:p>
    <w:p w14:paraId="518F8546" w14:textId="77777777" w:rsidR="00757AA1" w:rsidRDefault="00757AA1" w:rsidP="00757AA1">
      <w:pPr>
        <w:rPr>
          <w:rFonts w:cs="Arial"/>
          <w:sz w:val="20"/>
        </w:rPr>
      </w:pPr>
    </w:p>
    <w:p w14:paraId="09F8BA68" w14:textId="77777777" w:rsidR="00757AA1" w:rsidRPr="00757AA1" w:rsidRDefault="00757AA1" w:rsidP="00757AA1">
      <w:pPr>
        <w:rPr>
          <w:rFonts w:cs="Arial"/>
          <w:sz w:val="20"/>
        </w:rPr>
      </w:pPr>
    </w:p>
    <w:bookmarkStart w:id="28" w:name="_MON_1580544258"/>
    <w:bookmarkEnd w:id="28"/>
    <w:p w14:paraId="2613D171" w14:textId="77777777" w:rsidR="009F183C" w:rsidRDefault="00757AA1">
      <w:pPr>
        <w:numPr>
          <w:ilvl w:val="12"/>
          <w:numId w:val="0"/>
        </w:numPr>
        <w:jc w:val="center"/>
        <w:rPr>
          <w:rFonts w:cs="Arial"/>
          <w:sz w:val="20"/>
        </w:rPr>
      </w:pPr>
      <w:r>
        <w:rPr>
          <w:rFonts w:cs="Arial"/>
          <w:sz w:val="20"/>
        </w:rPr>
        <w:object w:dxaOrig="5696" w:dyaOrig="5890" w14:anchorId="13AB02EE">
          <v:shape id="_x0000_i1037" type="#_x0000_t75" style="width:410.25pt;height:438.75pt" o:ole="">
            <v:imagedata r:id="rId34" o:title=""/>
          </v:shape>
          <o:OLEObject Type="Embed" ProgID="Excel.Sheet.12" ShapeID="_x0000_i1037" DrawAspect="Content" ObjectID="_1780988548" r:id="rId35"/>
        </w:object>
      </w:r>
      <w:r>
        <w:rPr>
          <w:rFonts w:cs="Arial"/>
          <w:sz w:val="20"/>
        </w:rPr>
        <w:t>-</w:t>
      </w:r>
    </w:p>
    <w:p w14:paraId="6156B597" w14:textId="77777777" w:rsidR="009F183C" w:rsidRDefault="009F183C">
      <w:pPr>
        <w:rPr>
          <w:rFonts w:cs="Arial"/>
          <w:b/>
          <w:i/>
          <w:color w:val="76923C" w:themeColor="accent3" w:themeShade="BF"/>
          <w:sz w:val="24"/>
          <w:szCs w:val="24"/>
          <w:u w:val="single"/>
        </w:rPr>
      </w:pPr>
    </w:p>
    <w:p w14:paraId="56813E04" w14:textId="77777777" w:rsidR="009F183C" w:rsidRDefault="009F183C">
      <w:pPr>
        <w:rPr>
          <w:rFonts w:cs="Arial"/>
          <w:b/>
          <w:i/>
          <w:color w:val="76923C" w:themeColor="accent3" w:themeShade="BF"/>
          <w:sz w:val="24"/>
          <w:szCs w:val="24"/>
          <w:u w:val="single"/>
        </w:rPr>
      </w:pPr>
    </w:p>
    <w:p w14:paraId="37350954" w14:textId="77777777" w:rsidR="00757AA1" w:rsidRDefault="00757AA1">
      <w:pPr>
        <w:rPr>
          <w:rFonts w:cs="Arial"/>
          <w:b/>
          <w:i/>
          <w:color w:val="76923C" w:themeColor="accent3" w:themeShade="BF"/>
          <w:sz w:val="24"/>
          <w:szCs w:val="24"/>
          <w:u w:val="single"/>
        </w:rPr>
      </w:pPr>
    </w:p>
    <w:p w14:paraId="08B3A83F" w14:textId="77777777" w:rsidR="00757AA1" w:rsidRDefault="00757AA1">
      <w:pPr>
        <w:rPr>
          <w:rFonts w:cs="Arial"/>
          <w:b/>
          <w:i/>
          <w:color w:val="76923C" w:themeColor="accent3" w:themeShade="BF"/>
          <w:sz w:val="24"/>
          <w:szCs w:val="24"/>
          <w:u w:val="single"/>
        </w:rPr>
      </w:pPr>
    </w:p>
    <w:p w14:paraId="6F4A2C5C" w14:textId="77777777" w:rsidR="00757AA1" w:rsidRDefault="00757AA1">
      <w:pPr>
        <w:rPr>
          <w:rFonts w:cs="Arial"/>
          <w:b/>
          <w:i/>
          <w:color w:val="76923C" w:themeColor="accent3" w:themeShade="BF"/>
          <w:sz w:val="24"/>
          <w:szCs w:val="24"/>
          <w:u w:val="single"/>
        </w:rPr>
      </w:pPr>
    </w:p>
    <w:p w14:paraId="0B94BD76" w14:textId="77777777" w:rsidR="00757AA1" w:rsidRDefault="00757AA1">
      <w:pPr>
        <w:rPr>
          <w:rFonts w:cs="Arial"/>
          <w:b/>
          <w:i/>
          <w:color w:val="76923C" w:themeColor="accent3" w:themeShade="BF"/>
          <w:sz w:val="24"/>
          <w:szCs w:val="24"/>
          <w:u w:val="single"/>
        </w:rPr>
      </w:pPr>
    </w:p>
    <w:p w14:paraId="64350B0B" w14:textId="77777777" w:rsidR="009F183C" w:rsidRDefault="009F183C">
      <w:pPr>
        <w:rPr>
          <w:rFonts w:cs="Arial"/>
          <w:b/>
          <w:i/>
          <w:color w:val="76923C" w:themeColor="accent3" w:themeShade="BF"/>
          <w:sz w:val="24"/>
          <w:szCs w:val="24"/>
          <w:u w:val="single"/>
        </w:rPr>
      </w:pPr>
    </w:p>
    <w:p w14:paraId="61F58128" w14:textId="77777777" w:rsidR="009F183C" w:rsidRDefault="009F183C">
      <w:pPr>
        <w:rPr>
          <w:rFonts w:cs="Arial"/>
          <w:b/>
          <w:i/>
          <w:color w:val="76923C" w:themeColor="accent3" w:themeShade="BF"/>
          <w:sz w:val="24"/>
          <w:szCs w:val="24"/>
          <w:u w:val="single"/>
        </w:rPr>
      </w:pPr>
    </w:p>
    <w:p w14:paraId="2268C568" w14:textId="77777777" w:rsidR="009F183C" w:rsidRDefault="009F183C">
      <w:pPr>
        <w:rPr>
          <w:rFonts w:cs="Arial"/>
          <w:b/>
          <w:i/>
          <w:color w:val="76923C" w:themeColor="accent3" w:themeShade="BF"/>
          <w:sz w:val="24"/>
          <w:szCs w:val="24"/>
          <w:u w:val="single"/>
        </w:rPr>
      </w:pPr>
    </w:p>
    <w:p w14:paraId="2869F382" w14:textId="77777777" w:rsidR="009F183C" w:rsidRDefault="009F183C">
      <w:pPr>
        <w:rPr>
          <w:rFonts w:cs="Arial"/>
          <w:b/>
          <w:i/>
          <w:color w:val="76923C" w:themeColor="accent3" w:themeShade="BF"/>
          <w:sz w:val="24"/>
          <w:szCs w:val="24"/>
          <w:u w:val="single"/>
        </w:rPr>
      </w:pPr>
    </w:p>
    <w:p w14:paraId="03AF9C12" w14:textId="77777777" w:rsidR="00757AA1" w:rsidRDefault="00757AA1">
      <w:pPr>
        <w:rPr>
          <w:b/>
          <w:i/>
          <w:color w:val="76923C" w:themeColor="accent3" w:themeShade="BF"/>
          <w:sz w:val="24"/>
          <w:szCs w:val="24"/>
          <w:u w:val="single"/>
        </w:rPr>
      </w:pPr>
    </w:p>
    <w:p w14:paraId="030309DA" w14:textId="77777777" w:rsidR="009F183C" w:rsidRDefault="00757AA1">
      <w:pPr>
        <w:rPr>
          <w:b/>
          <w:i/>
          <w:color w:val="76923C" w:themeColor="accent3" w:themeShade="BF"/>
          <w:sz w:val="24"/>
          <w:szCs w:val="24"/>
          <w:u w:val="single"/>
        </w:rPr>
      </w:pPr>
      <w:r>
        <w:rPr>
          <w:b/>
          <w:i/>
          <w:color w:val="76923C" w:themeColor="accent3" w:themeShade="BF"/>
          <w:sz w:val="24"/>
          <w:szCs w:val="24"/>
          <w:u w:val="single"/>
        </w:rPr>
        <w:t>Variazione dei residui anni precedenti</w:t>
      </w:r>
    </w:p>
    <w:p w14:paraId="269DA339" w14:textId="77777777" w:rsidR="009F183C" w:rsidRDefault="009F183C">
      <w:pPr>
        <w:rPr>
          <w:rFonts w:cs="Arial"/>
          <w:sz w:val="18"/>
          <w:szCs w:val="18"/>
        </w:rPr>
      </w:pPr>
    </w:p>
    <w:p w14:paraId="088B8FF0" w14:textId="77777777" w:rsidR="009F183C" w:rsidRDefault="00757AA1">
      <w:pPr>
        <w:rPr>
          <w:rFonts w:cs="Arial"/>
          <w:sz w:val="20"/>
        </w:rPr>
      </w:pPr>
      <w:r>
        <w:rPr>
          <w:rFonts w:cs="Arial"/>
          <w:sz w:val="20"/>
        </w:rPr>
        <w:t>La gestione dei residui di esercizi precedenti a seguito del riaccertamento ordinario deliberato con atto G.C. n…. del …. ha comportato le seguenti variazioni:</w:t>
      </w:r>
    </w:p>
    <w:p w14:paraId="6D1DA694" w14:textId="77777777" w:rsidR="009F183C" w:rsidRDefault="009F183C">
      <w:pPr>
        <w:rPr>
          <w:rFonts w:cs="Arial"/>
          <w:sz w:val="20"/>
        </w:rPr>
      </w:pPr>
    </w:p>
    <w:bookmarkStart w:id="29" w:name="_MON_1519223183"/>
    <w:bookmarkEnd w:id="29"/>
    <w:p w14:paraId="258C650B" w14:textId="77777777" w:rsidR="009F183C" w:rsidRDefault="00757AA1">
      <w:pPr>
        <w:widowControl/>
        <w:overflowPunct/>
        <w:autoSpaceDE/>
        <w:autoSpaceDN/>
        <w:adjustRightInd/>
        <w:spacing w:after="0"/>
        <w:jc w:val="left"/>
        <w:textAlignment w:val="auto"/>
      </w:pPr>
      <w:r>
        <w:object w:dxaOrig="8832" w:dyaOrig="1740" w14:anchorId="229C1BD6">
          <v:shape id="_x0000_i1038" type="#_x0000_t75" style="width:438.75pt;height:93.75pt" o:ole="">
            <v:imagedata r:id="rId36" o:title=""/>
          </v:shape>
          <o:OLEObject Type="Embed" ProgID="Excel.Sheet.12" ShapeID="_x0000_i1038" DrawAspect="Content" ObjectID="_1780988549" r:id="rId37"/>
        </w:object>
      </w:r>
    </w:p>
    <w:p w14:paraId="160D126B" w14:textId="77777777" w:rsidR="009F183C" w:rsidRDefault="009F183C">
      <w:pPr>
        <w:widowControl/>
        <w:overflowPunct/>
        <w:autoSpaceDE/>
        <w:autoSpaceDN/>
        <w:adjustRightInd/>
        <w:spacing w:after="0"/>
        <w:jc w:val="left"/>
        <w:textAlignment w:val="auto"/>
        <w:rPr>
          <w:b/>
          <w:i/>
          <w:sz w:val="24"/>
          <w:szCs w:val="24"/>
          <w:u w:val="single"/>
        </w:rPr>
      </w:pPr>
    </w:p>
    <w:p w14:paraId="0E8847EC" w14:textId="77777777" w:rsidR="009F183C" w:rsidRDefault="00757AA1">
      <w:pPr>
        <w:rPr>
          <w:b/>
          <w:i/>
          <w:color w:val="76923C" w:themeColor="accent3" w:themeShade="BF"/>
          <w:sz w:val="24"/>
          <w:szCs w:val="24"/>
          <w:u w:val="single"/>
        </w:rPr>
      </w:pPr>
      <w:r>
        <w:rPr>
          <w:b/>
          <w:i/>
          <w:color w:val="76923C" w:themeColor="accent3" w:themeShade="BF"/>
          <w:sz w:val="24"/>
          <w:szCs w:val="24"/>
          <w:u w:val="single"/>
        </w:rPr>
        <w:t>Conciliazione dei risultati finanziari</w:t>
      </w:r>
    </w:p>
    <w:p w14:paraId="1D3BF34A" w14:textId="77777777" w:rsidR="009F183C" w:rsidRDefault="00757AA1">
      <w:pPr>
        <w:rPr>
          <w:rFonts w:cs="Arial"/>
          <w:sz w:val="20"/>
        </w:rPr>
      </w:pPr>
      <w:r>
        <w:rPr>
          <w:rFonts w:cs="Arial"/>
          <w:sz w:val="20"/>
        </w:rPr>
        <w:t>La conciliazione tra il risultato della gestione di competenza e il risultato di amministrazione scaturisce dai seguenti elementi:</w:t>
      </w:r>
    </w:p>
    <w:bookmarkStart w:id="30" w:name="_MON_1486993773"/>
    <w:bookmarkEnd w:id="30"/>
    <w:p w14:paraId="1FF12D75" w14:textId="77777777" w:rsidR="009F183C" w:rsidRDefault="00757AA1">
      <w:pPr>
        <w:rPr>
          <w:rFonts w:cs="Arial"/>
          <w:b/>
          <w:sz w:val="20"/>
        </w:rPr>
      </w:pPr>
      <w:r>
        <w:rPr>
          <w:rFonts w:cs="Arial"/>
          <w:sz w:val="20"/>
        </w:rPr>
        <w:object w:dxaOrig="8925" w:dyaOrig="5320" w14:anchorId="59E49D22">
          <v:shape id="_x0000_i1039" type="#_x0000_t75" style="width:445.5pt;height:267pt" o:ole="">
            <v:imagedata r:id="rId38" o:title=""/>
          </v:shape>
          <o:OLEObject Type="Embed" ProgID="Excel.Sheet.12" ShapeID="_x0000_i1039" DrawAspect="Content" ObjectID="_1780988550" r:id="rId39"/>
        </w:object>
      </w:r>
    </w:p>
    <w:p w14:paraId="0269B79A" w14:textId="77777777" w:rsidR="009F183C" w:rsidRDefault="009F183C">
      <w:pPr>
        <w:numPr>
          <w:ilvl w:val="12"/>
          <w:numId w:val="0"/>
        </w:numPr>
        <w:rPr>
          <w:rFonts w:cs="Arial"/>
          <w:b/>
          <w:sz w:val="20"/>
        </w:rPr>
      </w:pPr>
    </w:p>
    <w:p w14:paraId="2CB5371C" w14:textId="77777777" w:rsidR="009F183C" w:rsidRDefault="009F183C">
      <w:pPr>
        <w:numPr>
          <w:ilvl w:val="12"/>
          <w:numId w:val="0"/>
        </w:numPr>
        <w:rPr>
          <w:rFonts w:cs="Arial"/>
          <w:b/>
          <w:sz w:val="20"/>
        </w:rPr>
      </w:pPr>
    </w:p>
    <w:p w14:paraId="3F0FEE70" w14:textId="77777777" w:rsidR="009F183C" w:rsidRDefault="009F183C">
      <w:pPr>
        <w:numPr>
          <w:ilvl w:val="12"/>
          <w:numId w:val="0"/>
        </w:numPr>
        <w:rPr>
          <w:rFonts w:cs="Arial"/>
          <w:b/>
          <w:sz w:val="20"/>
        </w:rPr>
      </w:pPr>
    </w:p>
    <w:p w14:paraId="613B112F" w14:textId="77777777" w:rsidR="009F183C" w:rsidRDefault="009F183C">
      <w:pPr>
        <w:numPr>
          <w:ilvl w:val="12"/>
          <w:numId w:val="0"/>
        </w:numPr>
        <w:rPr>
          <w:rFonts w:cs="Arial"/>
          <w:b/>
          <w:sz w:val="20"/>
        </w:rPr>
      </w:pPr>
    </w:p>
    <w:p w14:paraId="320F1164" w14:textId="77777777" w:rsidR="009F183C" w:rsidRDefault="009F183C">
      <w:pPr>
        <w:numPr>
          <w:ilvl w:val="12"/>
          <w:numId w:val="0"/>
        </w:numPr>
        <w:rPr>
          <w:rFonts w:cs="Arial"/>
          <w:b/>
          <w:sz w:val="20"/>
        </w:rPr>
      </w:pPr>
    </w:p>
    <w:p w14:paraId="071AF097" w14:textId="77777777" w:rsidR="009F183C" w:rsidRDefault="009F183C">
      <w:pPr>
        <w:numPr>
          <w:ilvl w:val="12"/>
          <w:numId w:val="0"/>
        </w:numPr>
        <w:rPr>
          <w:rFonts w:cs="Arial"/>
          <w:b/>
          <w:sz w:val="20"/>
        </w:rPr>
      </w:pPr>
    </w:p>
    <w:p w14:paraId="2F8C7A5E" w14:textId="77777777" w:rsidR="009F183C" w:rsidRDefault="009F183C">
      <w:pPr>
        <w:numPr>
          <w:ilvl w:val="12"/>
          <w:numId w:val="0"/>
        </w:numPr>
        <w:rPr>
          <w:rFonts w:cs="Arial"/>
          <w:b/>
          <w:sz w:val="20"/>
        </w:rPr>
      </w:pPr>
    </w:p>
    <w:p w14:paraId="11419E71" w14:textId="77777777" w:rsidR="00185F7F" w:rsidRDefault="00185F7F">
      <w:pPr>
        <w:numPr>
          <w:ilvl w:val="12"/>
          <w:numId w:val="0"/>
        </w:numPr>
        <w:rPr>
          <w:rFonts w:cs="Arial"/>
          <w:b/>
          <w:sz w:val="20"/>
        </w:rPr>
      </w:pPr>
    </w:p>
    <w:p w14:paraId="32EC599E" w14:textId="77777777" w:rsidR="00185F7F" w:rsidRDefault="00185F7F">
      <w:pPr>
        <w:numPr>
          <w:ilvl w:val="12"/>
          <w:numId w:val="0"/>
        </w:numPr>
        <w:rPr>
          <w:rFonts w:cs="Arial"/>
          <w:b/>
          <w:sz w:val="20"/>
        </w:rPr>
      </w:pPr>
    </w:p>
    <w:p w14:paraId="36DAA705" w14:textId="77777777" w:rsidR="009F183C" w:rsidRDefault="00757AA1">
      <w:pPr>
        <w:pStyle w:val="Titolo1"/>
        <w:shd w:val="clear" w:color="auto" w:fill="D6E3BC" w:themeFill="accent3" w:themeFillTint="66"/>
      </w:pPr>
      <w:bookmarkStart w:id="31" w:name="_Toc507691942"/>
      <w:r>
        <w:t>VERIFICA CONGRUITA’ FONDI</w:t>
      </w:r>
      <w:bookmarkEnd w:id="31"/>
    </w:p>
    <w:p w14:paraId="7D463824" w14:textId="77777777" w:rsidR="009F183C" w:rsidRDefault="009F183C">
      <w:pPr>
        <w:widowControl/>
        <w:overflowPunct/>
        <w:autoSpaceDE/>
        <w:autoSpaceDN/>
        <w:adjustRightInd/>
        <w:spacing w:after="0"/>
        <w:jc w:val="left"/>
        <w:textAlignment w:val="auto"/>
        <w:rPr>
          <w:b/>
        </w:rPr>
      </w:pPr>
    </w:p>
    <w:p w14:paraId="09E4A84E" w14:textId="77777777" w:rsidR="009F183C" w:rsidRDefault="00757AA1">
      <w:pPr>
        <w:pStyle w:val="Titolo2"/>
        <w:rPr>
          <w:b w:val="0"/>
        </w:rPr>
      </w:pPr>
      <w:bookmarkStart w:id="32" w:name="_Toc507691943"/>
      <w:r>
        <w:t>Fondo Pluriennale vincolato</w:t>
      </w:r>
      <w:bookmarkEnd w:id="32"/>
    </w:p>
    <w:p w14:paraId="2419691E" w14:textId="0EAA2C28" w:rsidR="009F183C" w:rsidRDefault="00757AA1">
      <w:pPr>
        <w:rPr>
          <w:rFonts w:cs="Arial"/>
          <w:sz w:val="20"/>
        </w:rPr>
      </w:pPr>
      <w:r>
        <w:rPr>
          <w:rFonts w:cs="Arial"/>
          <w:sz w:val="20"/>
        </w:rPr>
        <w:lastRenderedPageBreak/>
        <w:t>Il Fondo Pluriennale vincolato nasce dall’applicazione del principio della competenza finanziaria di cui all’allegato 4/2 al D.L</w:t>
      </w:r>
      <w:r w:rsidR="00722CDB">
        <w:rPr>
          <w:rFonts w:cs="Arial"/>
          <w:sz w:val="20"/>
        </w:rPr>
        <w:t>g</w:t>
      </w:r>
      <w:r>
        <w:rPr>
          <w:rFonts w:cs="Arial"/>
          <w:sz w:val="20"/>
        </w:rPr>
        <w:t>s.118/2011 e s.m.i..</w:t>
      </w:r>
    </w:p>
    <w:p w14:paraId="7DE260E3" w14:textId="77777777" w:rsidR="009F183C" w:rsidRDefault="00757AA1">
      <w:pPr>
        <w:rPr>
          <w:rFonts w:cs="Arial"/>
          <w:b/>
          <w:sz w:val="20"/>
        </w:rPr>
      </w:pPr>
      <w:r>
        <w:rPr>
          <w:rFonts w:cs="Arial"/>
          <w:b/>
          <w:sz w:val="20"/>
        </w:rPr>
        <w:t>Il Fondo Pluriennale vincolato accantonato alla data del 31/12, risulta così determinato:</w:t>
      </w:r>
    </w:p>
    <w:p w14:paraId="70ABDF1F" w14:textId="77777777" w:rsidR="009F183C" w:rsidRDefault="009F183C">
      <w:pPr>
        <w:rPr>
          <w:rFonts w:cs="Arial"/>
          <w:b/>
          <w:sz w:val="20"/>
        </w:rPr>
      </w:pPr>
    </w:p>
    <w:bookmarkStart w:id="33" w:name="_MON_1556356693"/>
    <w:bookmarkEnd w:id="33"/>
    <w:p w14:paraId="0C9B8F71" w14:textId="77777777" w:rsidR="009F183C" w:rsidRDefault="00757AA1">
      <w:pPr>
        <w:rPr>
          <w:rFonts w:cs="Arial"/>
          <w:sz w:val="20"/>
        </w:rPr>
      </w:pPr>
      <w:r>
        <w:rPr>
          <w:rFonts w:cs="Arial"/>
          <w:sz w:val="20"/>
        </w:rPr>
        <w:object w:dxaOrig="8846" w:dyaOrig="11900" w14:anchorId="326D0AA1">
          <v:shape id="_x0000_i1040" type="#_x0000_t75" style="width:417.75pt;height:568.5pt" o:ole="">
            <v:imagedata r:id="rId40" o:title=""/>
          </v:shape>
          <o:OLEObject Type="Embed" ProgID="Excel.Sheet.12" ShapeID="_x0000_i1040" DrawAspect="Content" ObjectID="_1780988551" r:id="rId41"/>
        </w:object>
      </w:r>
    </w:p>
    <w:p w14:paraId="46DA9A2C" w14:textId="77777777" w:rsidR="00757AA1" w:rsidRDefault="00757AA1">
      <w:pPr>
        <w:spacing w:after="0"/>
        <w:rPr>
          <w:rFonts w:cs="Arial"/>
          <w:sz w:val="20"/>
        </w:rPr>
      </w:pPr>
    </w:p>
    <w:p w14:paraId="4B5965B2" w14:textId="77777777" w:rsidR="009F183C" w:rsidRDefault="00757AA1">
      <w:pPr>
        <w:spacing w:after="0"/>
        <w:rPr>
          <w:rFonts w:cs="Arial"/>
          <w:sz w:val="20"/>
        </w:rPr>
      </w:pPr>
      <w:r>
        <w:rPr>
          <w:rFonts w:cs="Arial"/>
          <w:sz w:val="20"/>
        </w:rPr>
        <w:t>L’Organo di revisione ha verificato, con la tecnica del campionamento, che il FPV di spesa c/capitale è stato attivato in presenza delle seguenti condizioni:</w:t>
      </w:r>
    </w:p>
    <w:p w14:paraId="3F9F4417" w14:textId="77777777" w:rsidR="009F183C" w:rsidRDefault="009F183C">
      <w:pPr>
        <w:spacing w:after="0"/>
        <w:rPr>
          <w:rFonts w:cs="Arial"/>
          <w:sz w:val="20"/>
        </w:rPr>
      </w:pPr>
    </w:p>
    <w:p w14:paraId="5C040BCF" w14:textId="77777777" w:rsidR="009F183C" w:rsidRDefault="00757AA1">
      <w:pPr>
        <w:pStyle w:val="Paragrafoelenco"/>
        <w:numPr>
          <w:ilvl w:val="0"/>
          <w:numId w:val="32"/>
        </w:numPr>
        <w:spacing w:after="0"/>
        <w:rPr>
          <w:rFonts w:cs="Arial"/>
          <w:sz w:val="20"/>
        </w:rPr>
      </w:pPr>
      <w:r>
        <w:rPr>
          <w:rFonts w:cs="Arial"/>
          <w:sz w:val="20"/>
        </w:rPr>
        <w:t>Entrata esigibile</w:t>
      </w:r>
    </w:p>
    <w:p w14:paraId="2245DBCB" w14:textId="77777777" w:rsidR="009F183C" w:rsidRDefault="00757AA1">
      <w:pPr>
        <w:pStyle w:val="Paragrafoelenco"/>
        <w:numPr>
          <w:ilvl w:val="0"/>
          <w:numId w:val="32"/>
        </w:numPr>
        <w:spacing w:after="0"/>
        <w:rPr>
          <w:rFonts w:cs="Arial"/>
          <w:sz w:val="20"/>
        </w:rPr>
      </w:pPr>
      <w:r>
        <w:rPr>
          <w:rFonts w:cs="Arial"/>
          <w:sz w:val="20"/>
        </w:rPr>
        <w:t xml:space="preserve">Tipologia di spesa rientrante nelle ipotesi di cui al punto 5.4 del principio contabile applicato </w:t>
      </w:r>
      <w:r>
        <w:rPr>
          <w:rFonts w:cs="Arial"/>
          <w:sz w:val="20"/>
        </w:rPr>
        <w:lastRenderedPageBreak/>
        <w:t>della competenza potenziata (spesa impegnata o, nel caso di lavori pubblici, gara bandita).</w:t>
      </w:r>
    </w:p>
    <w:p w14:paraId="6D0DBB2F" w14:textId="77777777" w:rsidR="009F183C" w:rsidRDefault="009F183C">
      <w:pPr>
        <w:rPr>
          <w:rFonts w:cs="Arial"/>
          <w:sz w:val="20"/>
        </w:rPr>
      </w:pPr>
    </w:p>
    <w:p w14:paraId="42D2DC01" w14:textId="77777777" w:rsidR="009F183C" w:rsidRDefault="00757AA1">
      <w:pPr>
        <w:rPr>
          <w:rFonts w:cs="Arial"/>
          <w:sz w:val="20"/>
        </w:rPr>
      </w:pPr>
      <w:r>
        <w:rPr>
          <w:rFonts w:cs="Arial"/>
          <w:i/>
          <w:sz w:val="20"/>
        </w:rPr>
        <w:t>In caso di risposta negativa, indicare le ragioni:</w:t>
      </w:r>
      <w:r>
        <w:rPr>
          <w:rFonts w:cs="Arial"/>
          <w:sz w:val="20"/>
        </w:rPr>
        <w:t>…………………………..</w:t>
      </w:r>
    </w:p>
    <w:p w14:paraId="2E4EFBCA" w14:textId="77777777" w:rsidR="009F183C" w:rsidRDefault="009F183C">
      <w:pPr>
        <w:rPr>
          <w:rFonts w:cs="Arial"/>
          <w:sz w:val="20"/>
        </w:rPr>
      </w:pPr>
    </w:p>
    <w:p w14:paraId="271E3DAA" w14:textId="77777777" w:rsidR="009F183C" w:rsidRDefault="00757AA1">
      <w:pPr>
        <w:rPr>
          <w:rFonts w:cs="Arial"/>
          <w:sz w:val="20"/>
        </w:rPr>
      </w:pPr>
      <w:r>
        <w:rPr>
          <w:rFonts w:cs="Arial"/>
          <w:sz w:val="20"/>
        </w:rPr>
        <w:t>L’Organo di revisione ha verificato, con la tecnica del campionamento, che la reimputazione degli impegni, secondo il criterio dell’esigibilità, è conforma all’evoluzione del cronoprogramma di spesa.</w:t>
      </w:r>
    </w:p>
    <w:p w14:paraId="4E306EF6" w14:textId="77777777" w:rsidR="009F183C" w:rsidRDefault="009F183C">
      <w:pPr>
        <w:rPr>
          <w:rFonts w:cs="Arial"/>
          <w:sz w:val="20"/>
        </w:rPr>
      </w:pPr>
    </w:p>
    <w:p w14:paraId="331DA2CB" w14:textId="77777777" w:rsidR="009F183C" w:rsidRDefault="00757AA1">
      <w:pPr>
        <w:rPr>
          <w:rFonts w:cs="Arial"/>
          <w:sz w:val="20"/>
        </w:rPr>
      </w:pPr>
      <w:r>
        <w:rPr>
          <w:rFonts w:cs="Arial"/>
          <w:i/>
          <w:sz w:val="20"/>
        </w:rPr>
        <w:t>In caso di risposta negativa, indicare le ragioni:</w:t>
      </w:r>
      <w:r>
        <w:rPr>
          <w:rFonts w:cs="Arial"/>
          <w:sz w:val="20"/>
        </w:rPr>
        <w:t>……………………</w:t>
      </w:r>
    </w:p>
    <w:p w14:paraId="12FB0DE8" w14:textId="77777777" w:rsidR="009F183C" w:rsidRDefault="009F183C">
      <w:pPr>
        <w:rPr>
          <w:rFonts w:cs="Arial"/>
          <w:sz w:val="20"/>
        </w:rPr>
      </w:pPr>
    </w:p>
    <w:p w14:paraId="44512DAF" w14:textId="77777777" w:rsidR="009F183C" w:rsidRDefault="00757AA1">
      <w:pPr>
        <w:rPr>
          <w:rFonts w:cs="Arial"/>
          <w:sz w:val="20"/>
        </w:rPr>
      </w:pPr>
      <w:r>
        <w:rPr>
          <w:rFonts w:cs="Arial"/>
          <w:sz w:val="20"/>
        </w:rPr>
        <w:t>L’Organo di revisione ha verificato che alla chiusura dell’esercizio le entrate esigibili che hanno finanziato spese di investimento per le quali, sulla base del principio contabile applicato di cui all’All.4/2 al D.Lgs.118/2011 e s.m.i., non è stato costituito il F.P.V., sono confluite nella corrispondente quota del risultato di amministrazione vincolato, destinato ad investimento o libero, a seconda della fonte di finanziamento.</w:t>
      </w:r>
    </w:p>
    <w:p w14:paraId="79527973" w14:textId="77777777" w:rsidR="009F183C" w:rsidRDefault="009F183C">
      <w:pPr>
        <w:rPr>
          <w:rFonts w:cs="Arial"/>
          <w:sz w:val="20"/>
        </w:rPr>
      </w:pPr>
    </w:p>
    <w:p w14:paraId="6C0A19AD" w14:textId="77777777" w:rsidR="009F183C" w:rsidRDefault="00757AA1">
      <w:pPr>
        <w:rPr>
          <w:rFonts w:cs="Arial"/>
          <w:sz w:val="20"/>
        </w:rPr>
      </w:pPr>
      <w:r>
        <w:rPr>
          <w:rFonts w:cs="Arial"/>
          <w:i/>
          <w:sz w:val="20"/>
        </w:rPr>
        <w:t>In caso di risposta negativa, indicare le ragioni:………………………….</w:t>
      </w:r>
    </w:p>
    <w:p w14:paraId="5A87E713" w14:textId="77777777" w:rsidR="009F183C" w:rsidRDefault="009F183C">
      <w:pPr>
        <w:rPr>
          <w:rFonts w:cs="Arial"/>
          <w:sz w:val="20"/>
        </w:rPr>
      </w:pPr>
    </w:p>
    <w:p w14:paraId="2AB8AD07" w14:textId="77777777" w:rsidR="009F183C" w:rsidRDefault="009F183C">
      <w:pPr>
        <w:widowControl/>
        <w:overflowPunct/>
        <w:autoSpaceDE/>
        <w:autoSpaceDN/>
        <w:adjustRightInd/>
        <w:spacing w:after="0"/>
        <w:jc w:val="left"/>
        <w:textAlignment w:val="auto"/>
        <w:rPr>
          <w:b/>
        </w:rPr>
      </w:pPr>
    </w:p>
    <w:p w14:paraId="09D2B951" w14:textId="77777777" w:rsidR="009F183C" w:rsidRDefault="00757AA1">
      <w:pPr>
        <w:pStyle w:val="Titolo2"/>
      </w:pPr>
      <w:bookmarkStart w:id="34" w:name="_Toc507691944"/>
      <w:r>
        <w:t>Fondo crediti di dubbia esigibilità</w:t>
      </w:r>
      <w:bookmarkEnd w:id="34"/>
    </w:p>
    <w:p w14:paraId="741C0EBF" w14:textId="77777777" w:rsidR="009F183C" w:rsidRDefault="00757AA1">
      <w:pPr>
        <w:widowControl/>
        <w:overflowPunct/>
        <w:autoSpaceDE/>
        <w:autoSpaceDN/>
        <w:adjustRightInd/>
        <w:spacing w:after="0"/>
        <w:jc w:val="left"/>
        <w:textAlignment w:val="auto"/>
        <w:rPr>
          <w:rFonts w:cs="Arial"/>
          <w:sz w:val="20"/>
        </w:rPr>
      </w:pPr>
      <w:r>
        <w:rPr>
          <w:sz w:val="20"/>
        </w:rPr>
        <w:t>L’ente ha provveduto all’accantonamento di una quota del risultato di amministrazione al fondo crediti di dubbia esigibilità come richiesto al punto 3.3 del principio contabile applicato 4.2.</w:t>
      </w:r>
      <w:r>
        <w:rPr>
          <w:rFonts w:cs="Arial"/>
          <w:sz w:val="20"/>
        </w:rPr>
        <w:t xml:space="preserve"> al D.Lgs.118/2011 e s.m.i..</w:t>
      </w:r>
    </w:p>
    <w:p w14:paraId="736EA9AC" w14:textId="77777777" w:rsidR="009F183C" w:rsidRDefault="009F183C">
      <w:pPr>
        <w:widowControl/>
        <w:overflowPunct/>
        <w:autoSpaceDE/>
        <w:autoSpaceDN/>
        <w:adjustRightInd/>
        <w:spacing w:after="0"/>
        <w:jc w:val="left"/>
        <w:textAlignment w:val="auto"/>
        <w:rPr>
          <w:rFonts w:cs="Arial"/>
          <w:sz w:val="20"/>
        </w:rPr>
      </w:pPr>
    </w:p>
    <w:p w14:paraId="77702816" w14:textId="77777777" w:rsidR="009F183C" w:rsidRDefault="00757AA1">
      <w:pPr>
        <w:rPr>
          <w:rFonts w:cs="Arial"/>
          <w:sz w:val="20"/>
        </w:rPr>
      </w:pPr>
      <w:r>
        <w:rPr>
          <w:rFonts w:cs="Arial"/>
          <w:sz w:val="20"/>
        </w:rPr>
        <w:t>Per la determinazione del F.C.D.E. l’Ente ha utilizzato il:</w:t>
      </w:r>
    </w:p>
    <w:p w14:paraId="24BED6E5" w14:textId="77777777" w:rsidR="009F183C" w:rsidRDefault="009F183C">
      <w:pPr>
        <w:rPr>
          <w:rFonts w:cs="Arial"/>
          <w:sz w:val="20"/>
        </w:rPr>
      </w:pPr>
    </w:p>
    <w:p w14:paraId="4846CF41" w14:textId="77777777" w:rsidR="009F183C" w:rsidRDefault="00757AA1">
      <w:pPr>
        <w:pStyle w:val="Paragrafoelenco"/>
        <w:numPr>
          <w:ilvl w:val="0"/>
          <w:numId w:val="33"/>
        </w:numPr>
        <w:rPr>
          <w:rFonts w:cs="Arial"/>
          <w:sz w:val="20"/>
        </w:rPr>
      </w:pPr>
      <w:r>
        <w:rPr>
          <w:rFonts w:cs="Arial"/>
          <w:b/>
          <w:sz w:val="20"/>
          <w:u w:val="single"/>
        </w:rPr>
        <w:t>Metodo semplificato</w:t>
      </w:r>
      <w:r>
        <w:rPr>
          <w:rFonts w:cs="Arial"/>
          <w:sz w:val="20"/>
        </w:rPr>
        <w:t>, secondo il seguente prospetto:</w:t>
      </w:r>
    </w:p>
    <w:bookmarkStart w:id="35" w:name="_MON_1556356936"/>
    <w:bookmarkEnd w:id="35"/>
    <w:p w14:paraId="5F89D611" w14:textId="77777777" w:rsidR="009F183C" w:rsidRDefault="00757AA1">
      <w:pPr>
        <w:rPr>
          <w:rFonts w:cs="Arial"/>
          <w:sz w:val="20"/>
        </w:rPr>
      </w:pPr>
      <w:r>
        <w:rPr>
          <w:rFonts w:cs="Arial"/>
          <w:sz w:val="20"/>
        </w:rPr>
        <w:object w:dxaOrig="10936" w:dyaOrig="2093" w14:anchorId="1C3D7DD6">
          <v:shape id="_x0000_i1041" type="#_x0000_t75" style="width:438.75pt;height:108pt" o:ole="">
            <v:imagedata r:id="rId42" o:title=""/>
          </v:shape>
          <o:OLEObject Type="Embed" ProgID="Excel.Sheet.12" ShapeID="_x0000_i1041" DrawAspect="Content" ObjectID="_1780988552" r:id="rId43"/>
        </w:object>
      </w:r>
    </w:p>
    <w:p w14:paraId="45E621C4" w14:textId="77777777" w:rsidR="009F183C" w:rsidRDefault="009F183C">
      <w:pPr>
        <w:widowControl/>
        <w:overflowPunct/>
        <w:autoSpaceDE/>
        <w:autoSpaceDN/>
        <w:adjustRightInd/>
        <w:spacing w:after="0"/>
        <w:jc w:val="left"/>
        <w:textAlignment w:val="auto"/>
      </w:pPr>
    </w:p>
    <w:p w14:paraId="28AA4302" w14:textId="77777777" w:rsidR="009F183C" w:rsidRDefault="00757AA1">
      <w:pPr>
        <w:pStyle w:val="Paragrafoelenco"/>
        <w:widowControl/>
        <w:numPr>
          <w:ilvl w:val="0"/>
          <w:numId w:val="33"/>
        </w:numPr>
        <w:overflowPunct/>
        <w:autoSpaceDE/>
        <w:autoSpaceDN/>
        <w:adjustRightInd/>
        <w:spacing w:after="0"/>
        <w:jc w:val="left"/>
        <w:textAlignment w:val="auto"/>
        <w:rPr>
          <w:rFonts w:cs="Arial"/>
          <w:b/>
          <w:sz w:val="20"/>
          <w:u w:val="single"/>
        </w:rPr>
      </w:pPr>
      <w:r>
        <w:rPr>
          <w:rFonts w:cs="Arial"/>
          <w:b/>
          <w:sz w:val="20"/>
          <w:u w:val="single"/>
        </w:rPr>
        <w:t>Metodo ordinario</w:t>
      </w:r>
    </w:p>
    <w:p w14:paraId="26D95F4C" w14:textId="77777777" w:rsidR="00757AA1" w:rsidRDefault="00757AA1">
      <w:pPr>
        <w:widowControl/>
        <w:overflowPunct/>
        <w:autoSpaceDE/>
        <w:autoSpaceDN/>
        <w:adjustRightInd/>
        <w:spacing w:after="0"/>
        <w:textAlignment w:val="auto"/>
        <w:rPr>
          <w:sz w:val="20"/>
        </w:rPr>
      </w:pPr>
    </w:p>
    <w:p w14:paraId="7C29A998" w14:textId="77777777" w:rsidR="009F183C" w:rsidRDefault="00757AA1">
      <w:pPr>
        <w:widowControl/>
        <w:overflowPunct/>
        <w:autoSpaceDE/>
        <w:autoSpaceDN/>
        <w:adjustRightInd/>
        <w:spacing w:after="0"/>
        <w:textAlignment w:val="auto"/>
        <w:rPr>
          <w:sz w:val="20"/>
        </w:rPr>
      </w:pPr>
      <w:r>
        <w:rPr>
          <w:sz w:val="20"/>
        </w:rPr>
        <w:t>Il fondo crediti di dubbia esigibilità da accantonare nel rendiconto 2017 da calcolare col metodo ordinario è determinato applicando al volume dei residui attivi riferiti alle entrate di dubbia esigibilità, la percentuale determinata come complemento a 100 della media delle riscossioni in conto residui intervenuta nel quinquennio precedente rispetto al totale dei residui attivi conservati al primo gennaio degli stessi esercizi.</w:t>
      </w:r>
    </w:p>
    <w:p w14:paraId="655C14E4" w14:textId="77777777" w:rsidR="009F183C" w:rsidRDefault="00757AA1">
      <w:pPr>
        <w:widowControl/>
        <w:overflowPunct/>
        <w:autoSpaceDE/>
        <w:autoSpaceDN/>
        <w:adjustRightInd/>
        <w:spacing w:after="0"/>
        <w:textAlignment w:val="auto"/>
        <w:rPr>
          <w:sz w:val="20"/>
        </w:rPr>
      </w:pPr>
      <w:r>
        <w:rPr>
          <w:sz w:val="20"/>
        </w:rPr>
        <w:t>L’Ente ha evidenziato nella Relazione al Rendiconto le diverse modalità di calcolo applicate (media semplice, media ponderata, ecc.) in relazione alle singole tipologie di entrata.</w:t>
      </w:r>
    </w:p>
    <w:p w14:paraId="189A6598" w14:textId="77777777" w:rsidR="009F183C" w:rsidRDefault="009F183C">
      <w:pPr>
        <w:widowControl/>
        <w:overflowPunct/>
        <w:autoSpaceDE/>
        <w:autoSpaceDN/>
        <w:adjustRightInd/>
        <w:spacing w:after="0"/>
        <w:ind w:left="709"/>
        <w:textAlignment w:val="auto"/>
        <w:rPr>
          <w:sz w:val="20"/>
        </w:rPr>
      </w:pPr>
    </w:p>
    <w:p w14:paraId="763827DF" w14:textId="77777777" w:rsidR="009F183C" w:rsidRDefault="00757AA1">
      <w:pPr>
        <w:widowControl/>
        <w:overflowPunct/>
        <w:autoSpaceDE/>
        <w:autoSpaceDN/>
        <w:adjustRightInd/>
        <w:spacing w:after="0"/>
        <w:jc w:val="left"/>
        <w:textAlignment w:val="auto"/>
        <w:rPr>
          <w:b/>
        </w:rPr>
      </w:pPr>
      <w:r>
        <w:rPr>
          <w:sz w:val="20"/>
        </w:rPr>
        <w:t>In applicazione del metodo ordinario, l’accantonamento a F.C.D.E. iscritto a rendiconto ammonta a complessivi euro………………...</w:t>
      </w:r>
    </w:p>
    <w:p w14:paraId="635E83EE" w14:textId="77777777" w:rsidR="009F183C" w:rsidRDefault="009F183C">
      <w:pPr>
        <w:widowControl/>
        <w:overflowPunct/>
        <w:autoSpaceDE/>
        <w:autoSpaceDN/>
        <w:adjustRightInd/>
        <w:spacing w:after="0"/>
        <w:jc w:val="left"/>
        <w:textAlignment w:val="auto"/>
        <w:rPr>
          <w:b/>
        </w:rPr>
      </w:pPr>
    </w:p>
    <w:p w14:paraId="3BF82D49" w14:textId="77777777" w:rsidR="009F183C" w:rsidRDefault="00757AA1">
      <w:pPr>
        <w:widowControl/>
        <w:overflowPunct/>
        <w:autoSpaceDE/>
        <w:autoSpaceDN/>
        <w:adjustRightInd/>
        <w:textAlignment w:val="auto"/>
        <w:rPr>
          <w:sz w:val="20"/>
        </w:rPr>
      </w:pPr>
      <w:r>
        <w:rPr>
          <w:sz w:val="20"/>
        </w:rPr>
        <w:t>Con riferimento ai crediti riconosciuti inesigibili, l’Organo di revisione ha verificato:</w:t>
      </w:r>
    </w:p>
    <w:p w14:paraId="3AEE0B9B" w14:textId="77777777" w:rsidR="009F183C" w:rsidRDefault="00757AA1">
      <w:pPr>
        <w:pStyle w:val="Paragrafoelenco"/>
        <w:widowControl/>
        <w:numPr>
          <w:ilvl w:val="0"/>
          <w:numId w:val="34"/>
        </w:numPr>
        <w:overflowPunct/>
        <w:autoSpaceDE/>
        <w:autoSpaceDN/>
        <w:adjustRightInd/>
        <w:contextualSpacing w:val="0"/>
        <w:textAlignment w:val="auto"/>
        <w:rPr>
          <w:sz w:val="20"/>
        </w:rPr>
      </w:pPr>
      <w:r>
        <w:rPr>
          <w:sz w:val="20"/>
        </w:rPr>
        <w:lastRenderedPageBreak/>
        <w:t>L’eventuale e motivata eliminazione di crediti iscritti fra i residui attivi da oltre 3 anni dalla loro scadenza e non riscossi, ancorché non ancora prescritti, per euro………… e contestualmente iscritti nel conto del patrimonio</w:t>
      </w:r>
    </w:p>
    <w:p w14:paraId="59401B17" w14:textId="77777777" w:rsidR="009F183C" w:rsidRDefault="00757AA1">
      <w:pPr>
        <w:pStyle w:val="Paragrafoelenco"/>
        <w:widowControl/>
        <w:numPr>
          <w:ilvl w:val="0"/>
          <w:numId w:val="34"/>
        </w:numPr>
        <w:overflowPunct/>
        <w:autoSpaceDE/>
        <w:autoSpaceDN/>
        <w:adjustRightInd/>
        <w:contextualSpacing w:val="0"/>
        <w:textAlignment w:val="auto"/>
        <w:rPr>
          <w:sz w:val="20"/>
        </w:rPr>
      </w:pPr>
      <w:r>
        <w:rPr>
          <w:sz w:val="20"/>
        </w:rPr>
        <w:t>La corrispondente riduzione del FCDE</w:t>
      </w:r>
    </w:p>
    <w:p w14:paraId="0B5C1CC6" w14:textId="77777777" w:rsidR="009F183C" w:rsidRDefault="00757AA1">
      <w:pPr>
        <w:pStyle w:val="Paragrafoelenco"/>
        <w:widowControl/>
        <w:numPr>
          <w:ilvl w:val="0"/>
          <w:numId w:val="34"/>
        </w:numPr>
        <w:overflowPunct/>
        <w:autoSpaceDE/>
        <w:autoSpaceDN/>
        <w:adjustRightInd/>
        <w:contextualSpacing w:val="0"/>
        <w:textAlignment w:val="auto"/>
        <w:rPr>
          <w:sz w:val="20"/>
        </w:rPr>
      </w:pPr>
      <w:r>
        <w:rPr>
          <w:sz w:val="20"/>
        </w:rPr>
        <w:t>L’iscrizione di tali crediti in apposito elenco crediti inesigibili allegato al rendiconto</w:t>
      </w:r>
    </w:p>
    <w:p w14:paraId="67C87C1E" w14:textId="77777777" w:rsidR="009F183C" w:rsidRDefault="00757AA1">
      <w:pPr>
        <w:pStyle w:val="Paragrafoelenco"/>
        <w:widowControl/>
        <w:numPr>
          <w:ilvl w:val="0"/>
          <w:numId w:val="34"/>
        </w:numPr>
        <w:overflowPunct/>
        <w:autoSpaceDE/>
        <w:autoSpaceDN/>
        <w:adjustRightInd/>
        <w:contextualSpacing w:val="0"/>
        <w:textAlignment w:val="auto"/>
        <w:rPr>
          <w:sz w:val="20"/>
        </w:rPr>
      </w:pPr>
      <w:r>
        <w:rPr>
          <w:sz w:val="20"/>
        </w:rPr>
        <w:t>L’avvenuto mantenimento nello Stato patrimoniale di detti crediti, ai sensi dell’art.230, comma 5, del TUEL e la prosecuzione delle azioni di recupero</w:t>
      </w:r>
    </w:p>
    <w:p w14:paraId="114E80D7" w14:textId="77777777" w:rsidR="009F183C" w:rsidRDefault="009F183C">
      <w:pPr>
        <w:widowControl/>
        <w:overflowPunct/>
        <w:autoSpaceDE/>
        <w:autoSpaceDN/>
        <w:adjustRightInd/>
        <w:spacing w:after="0"/>
        <w:jc w:val="left"/>
        <w:textAlignment w:val="auto"/>
        <w:rPr>
          <w:b/>
        </w:rPr>
      </w:pPr>
    </w:p>
    <w:p w14:paraId="0BB167D7" w14:textId="77777777" w:rsidR="009F183C" w:rsidRDefault="00757AA1">
      <w:pPr>
        <w:pStyle w:val="Titolo2"/>
      </w:pPr>
      <w:bookmarkStart w:id="36" w:name="_Toc507691945"/>
      <w:r>
        <w:t>Fondi spese e rischi futuri</w:t>
      </w:r>
      <w:bookmarkEnd w:id="36"/>
    </w:p>
    <w:p w14:paraId="2FE94B45" w14:textId="77777777" w:rsidR="009F183C" w:rsidRDefault="00757AA1">
      <w:pPr>
        <w:rPr>
          <w:b/>
          <w:u w:val="single"/>
        </w:rPr>
      </w:pPr>
      <w:r>
        <w:rPr>
          <w:b/>
          <w:u w:val="single"/>
        </w:rPr>
        <w:t>Fondo contenziosi</w:t>
      </w:r>
    </w:p>
    <w:p w14:paraId="23F95755" w14:textId="77777777" w:rsidR="009F183C" w:rsidRDefault="00757AA1">
      <w:pPr>
        <w:rPr>
          <w:sz w:val="20"/>
        </w:rPr>
      </w:pPr>
      <w:r>
        <w:rPr>
          <w:sz w:val="20"/>
        </w:rPr>
        <w:t>Il risultato di amministrazione presenta un accantonamento per fondo rischi contenzioso per euro……………, determinato secondo le modalità previste dal principio applicato alla contabilità finanziaria al punto 5.2 lettera h) per il pagamento di potenziali oneri derivanti da sentenze.</w:t>
      </w:r>
    </w:p>
    <w:p w14:paraId="2F981360" w14:textId="77777777" w:rsidR="009F183C" w:rsidRDefault="009F183C">
      <w:pPr>
        <w:rPr>
          <w:sz w:val="20"/>
        </w:rPr>
      </w:pPr>
    </w:p>
    <w:p w14:paraId="782C05E4" w14:textId="77777777" w:rsidR="009F183C" w:rsidRDefault="00757AA1">
      <w:pPr>
        <w:rPr>
          <w:sz w:val="20"/>
        </w:rPr>
      </w:pPr>
      <w:r>
        <w:rPr>
          <w:sz w:val="20"/>
        </w:rPr>
        <w:t>Dalla ricognizione del contenzioso esistente a carico dell’ente esistente al 31/12 è stata calcolata una passività potenziale probabile di euro……………. disponendo i seguenti accantonamenti:</w:t>
      </w:r>
    </w:p>
    <w:p w14:paraId="4BEAE8A0" w14:textId="77777777" w:rsidR="009F183C" w:rsidRDefault="00757AA1">
      <w:pPr>
        <w:rPr>
          <w:sz w:val="20"/>
        </w:rPr>
      </w:pPr>
      <w:r>
        <w:rPr>
          <w:sz w:val="20"/>
        </w:rPr>
        <w:t>Euro………………già accantonati nel risultato di amministrazione al 31/12 dell’esercizio precedente</w:t>
      </w:r>
    </w:p>
    <w:p w14:paraId="0DEB1214" w14:textId="77777777" w:rsidR="009F183C" w:rsidRDefault="00757AA1">
      <w:pPr>
        <w:rPr>
          <w:sz w:val="20"/>
        </w:rPr>
      </w:pPr>
      <w:r>
        <w:rPr>
          <w:sz w:val="20"/>
        </w:rPr>
        <w:t>Euro………………già accantonati sugli stanziamenti di competenza del bilancio dell’esercizio in corso</w:t>
      </w:r>
    </w:p>
    <w:p w14:paraId="0E21357A" w14:textId="77777777" w:rsidR="009F183C" w:rsidRDefault="00757AA1">
      <w:pPr>
        <w:rPr>
          <w:sz w:val="20"/>
        </w:rPr>
      </w:pPr>
      <w:r>
        <w:rPr>
          <w:sz w:val="20"/>
        </w:rPr>
        <w:t>Euro………………già accantonati negli esercizi successivi cui il bilancio in corso si riferisce</w:t>
      </w:r>
    </w:p>
    <w:p w14:paraId="2B0D433E" w14:textId="77777777" w:rsidR="009F183C" w:rsidRDefault="009F183C">
      <w:pPr>
        <w:rPr>
          <w:sz w:val="20"/>
        </w:rPr>
      </w:pPr>
    </w:p>
    <w:p w14:paraId="36D964A9" w14:textId="77777777" w:rsidR="009F183C" w:rsidRDefault="00757AA1">
      <w:pPr>
        <w:rPr>
          <w:b/>
          <w:i/>
          <w:sz w:val="20"/>
          <w:u w:val="single"/>
        </w:rPr>
      </w:pPr>
      <w:r>
        <w:rPr>
          <w:sz w:val="20"/>
        </w:rPr>
        <w:t>In relazione alla congruità delle quote accantonate a copertura degli oneri da contenzioso, l’organo di revisione ritiene …….</w:t>
      </w:r>
      <w:r>
        <w:rPr>
          <w:i/>
          <w:sz w:val="20"/>
        </w:rPr>
        <w:t>(motivare………..)</w:t>
      </w:r>
    </w:p>
    <w:p w14:paraId="4CF777A4" w14:textId="77777777" w:rsidR="009F183C" w:rsidRDefault="009F183C">
      <w:pPr>
        <w:rPr>
          <w:b/>
          <w:sz w:val="20"/>
          <w:u w:val="single"/>
        </w:rPr>
      </w:pPr>
    </w:p>
    <w:p w14:paraId="4CB5BD06" w14:textId="77777777" w:rsidR="009F183C" w:rsidRDefault="00757AA1">
      <w:pPr>
        <w:rPr>
          <w:b/>
          <w:szCs w:val="22"/>
          <w:u w:val="single"/>
        </w:rPr>
      </w:pPr>
      <w:r>
        <w:rPr>
          <w:b/>
          <w:szCs w:val="22"/>
          <w:u w:val="single"/>
        </w:rPr>
        <w:t>Fondo perdite aziende e società partecipate</w:t>
      </w:r>
    </w:p>
    <w:p w14:paraId="73215EFA" w14:textId="3E5465B1" w:rsidR="009F183C" w:rsidRDefault="00722CDB">
      <w:pPr>
        <w:rPr>
          <w:sz w:val="20"/>
        </w:rPr>
      </w:pPr>
      <w:r>
        <w:rPr>
          <w:sz w:val="20"/>
        </w:rPr>
        <w:t>È</w:t>
      </w:r>
      <w:r w:rsidR="00757AA1">
        <w:rPr>
          <w:sz w:val="20"/>
        </w:rPr>
        <w:t xml:space="preserve"> stata accantonata la somma di euro ……………….quale fondo per perdite risultanti dal bilancio d’esercizio delle aziende speciali, istituzioni ai sensi dell’art.1, comma 551 della legge 147/2013.</w:t>
      </w:r>
    </w:p>
    <w:p w14:paraId="624587D1" w14:textId="0A054D4D" w:rsidR="009F183C" w:rsidRDefault="00722CDB">
      <w:pPr>
        <w:rPr>
          <w:sz w:val="20"/>
        </w:rPr>
      </w:pPr>
      <w:r>
        <w:rPr>
          <w:sz w:val="20"/>
        </w:rPr>
        <w:t>È</w:t>
      </w:r>
      <w:r w:rsidR="00757AA1">
        <w:rPr>
          <w:sz w:val="20"/>
        </w:rPr>
        <w:t xml:space="preserve"> stata accantonata la somma di euro ……………….quale fondo per perdite risultanti dal bilancio d’esercizio delle società partecipate ai sensi dell’art.21, commi 1 e 2 del d.lgs. n.175/2016.</w:t>
      </w:r>
    </w:p>
    <w:p w14:paraId="20784574" w14:textId="77777777" w:rsidR="009F183C" w:rsidRDefault="00757AA1">
      <w:pPr>
        <w:rPr>
          <w:sz w:val="20"/>
        </w:rPr>
      </w:pPr>
      <w:r>
        <w:rPr>
          <w:sz w:val="20"/>
        </w:rPr>
        <w:t>Il fondo è stato calcolato in relazione alle perdite del bilancio d’esercizio 2016 dei seguenti organismi, applicando la gradualità di cui al comma 552 del citato art. 1 della legge 147/2013 e al comma 2 dell’art.21 del d.lgs.175/2016:</w:t>
      </w:r>
    </w:p>
    <w:p w14:paraId="410D3587" w14:textId="77777777" w:rsidR="009F183C" w:rsidRDefault="009F183C">
      <w:pPr>
        <w:rPr>
          <w:sz w:val="20"/>
        </w:rPr>
      </w:pPr>
    </w:p>
    <w:bookmarkStart w:id="37" w:name="_MON_1554713255"/>
    <w:bookmarkEnd w:id="37"/>
    <w:p w14:paraId="32CB5356" w14:textId="77777777" w:rsidR="009F183C" w:rsidRDefault="00757AA1">
      <w:r>
        <w:object w:dxaOrig="7705" w:dyaOrig="1469" w14:anchorId="7E1128D2">
          <v:shape id="_x0000_i1042" type="#_x0000_t75" style="width:389.25pt;height:1in" o:ole="">
            <v:imagedata r:id="rId44" o:title=""/>
          </v:shape>
          <o:OLEObject Type="Embed" ProgID="Excel.Sheet.12" ShapeID="_x0000_i1042" DrawAspect="Content" ObjectID="_1780988553" r:id="rId45"/>
        </w:object>
      </w:r>
    </w:p>
    <w:p w14:paraId="3D48D52C" w14:textId="77777777" w:rsidR="009F183C" w:rsidRDefault="009F183C">
      <w:pPr>
        <w:rPr>
          <w:b/>
          <w:szCs w:val="22"/>
          <w:u w:val="single"/>
        </w:rPr>
      </w:pPr>
    </w:p>
    <w:p w14:paraId="2E26C50A" w14:textId="77777777" w:rsidR="009F183C" w:rsidRDefault="009F183C">
      <w:pPr>
        <w:rPr>
          <w:b/>
          <w:szCs w:val="22"/>
          <w:u w:val="single"/>
        </w:rPr>
      </w:pPr>
    </w:p>
    <w:p w14:paraId="2061D21F" w14:textId="77777777" w:rsidR="009F183C" w:rsidRDefault="009F183C">
      <w:pPr>
        <w:rPr>
          <w:b/>
          <w:szCs w:val="22"/>
          <w:u w:val="single"/>
        </w:rPr>
      </w:pPr>
    </w:p>
    <w:p w14:paraId="63C6BFA8" w14:textId="77777777" w:rsidR="009F183C" w:rsidRDefault="009F183C">
      <w:pPr>
        <w:rPr>
          <w:b/>
          <w:szCs w:val="22"/>
          <w:u w:val="single"/>
        </w:rPr>
      </w:pPr>
    </w:p>
    <w:p w14:paraId="5AB38C69" w14:textId="77777777" w:rsidR="009F183C" w:rsidRDefault="009F183C">
      <w:pPr>
        <w:rPr>
          <w:b/>
          <w:szCs w:val="22"/>
          <w:u w:val="single"/>
        </w:rPr>
      </w:pPr>
    </w:p>
    <w:p w14:paraId="351E8611" w14:textId="77777777" w:rsidR="009F183C" w:rsidRDefault="00757AA1">
      <w:pPr>
        <w:rPr>
          <w:b/>
          <w:szCs w:val="22"/>
          <w:u w:val="single"/>
        </w:rPr>
      </w:pPr>
      <w:r>
        <w:rPr>
          <w:b/>
          <w:szCs w:val="22"/>
          <w:u w:val="single"/>
        </w:rPr>
        <w:t>Fondo indennità di fine mandato</w:t>
      </w:r>
    </w:p>
    <w:p w14:paraId="6F09FF8F" w14:textId="0E9BA301" w:rsidR="009F183C" w:rsidRDefault="00722CDB">
      <w:pPr>
        <w:rPr>
          <w:sz w:val="20"/>
        </w:rPr>
      </w:pPr>
      <w:r>
        <w:rPr>
          <w:sz w:val="20"/>
        </w:rPr>
        <w:lastRenderedPageBreak/>
        <w:t>È</w:t>
      </w:r>
      <w:r w:rsidR="00757AA1">
        <w:rPr>
          <w:sz w:val="20"/>
        </w:rPr>
        <w:t xml:space="preserve"> stato costituito un fondo per indennità di fine mandato, così determinato:</w:t>
      </w:r>
    </w:p>
    <w:bookmarkStart w:id="38" w:name="_MON_1556357824"/>
    <w:bookmarkEnd w:id="38"/>
    <w:p w14:paraId="6D9DF26E" w14:textId="77777777" w:rsidR="009F183C" w:rsidRDefault="00757AA1">
      <w:pPr>
        <w:rPr>
          <w:sz w:val="20"/>
        </w:rPr>
      </w:pPr>
      <w:r>
        <w:object w:dxaOrig="10098" w:dyaOrig="1759" w14:anchorId="7357F553">
          <v:shape id="_x0000_i1043" type="#_x0000_t75" style="width:375pt;height:108pt" o:ole="">
            <v:imagedata r:id="rId46" o:title=""/>
          </v:shape>
          <o:OLEObject Type="Embed" ProgID="Excel.Sheet.12" ShapeID="_x0000_i1043" DrawAspect="Content" ObjectID="_1780988554" r:id="rId47"/>
        </w:object>
      </w:r>
    </w:p>
    <w:p w14:paraId="5F6A4BF0" w14:textId="77777777" w:rsidR="009F183C" w:rsidRDefault="00757AA1">
      <w:pPr>
        <w:rPr>
          <w:b/>
          <w:szCs w:val="22"/>
          <w:u w:val="single"/>
        </w:rPr>
      </w:pPr>
      <w:r>
        <w:rPr>
          <w:b/>
          <w:szCs w:val="22"/>
          <w:u w:val="single"/>
        </w:rPr>
        <w:t>Altri fondi e accantonamenti</w:t>
      </w:r>
    </w:p>
    <w:p w14:paraId="0BF01846" w14:textId="77777777" w:rsidR="009F183C" w:rsidRDefault="00757AA1">
      <w:r>
        <w:t>…………………………………….</w:t>
      </w:r>
    </w:p>
    <w:p w14:paraId="14DFDFFE" w14:textId="77777777" w:rsidR="009F183C" w:rsidRDefault="00757AA1">
      <w:r>
        <w:t>……………………………………..</w:t>
      </w:r>
    </w:p>
    <w:p w14:paraId="6BA0CD57" w14:textId="77777777" w:rsidR="009F183C" w:rsidRDefault="00757AA1">
      <w:pPr>
        <w:rPr>
          <w:sz w:val="20"/>
        </w:rPr>
      </w:pPr>
      <w:r>
        <w:rPr>
          <w:sz w:val="20"/>
        </w:rPr>
        <w:t xml:space="preserve">L’Organo di Revisione ha verificato che le quote accantonate per la copertura dei debiti fuori bilancio </w:t>
      </w:r>
      <w:r>
        <w:rPr>
          <w:b/>
          <w:i/>
          <w:sz w:val="20"/>
        </w:rPr>
        <w:t>sono / non sono</w:t>
      </w:r>
      <w:r>
        <w:rPr>
          <w:sz w:val="20"/>
        </w:rPr>
        <w:t xml:space="preserve"> risultate congrue rispetto ai debiti fuori bilancio da riconoscere alla data del 31/12 che possono costituire passività potenziali probabili.</w:t>
      </w:r>
    </w:p>
    <w:p w14:paraId="12F27A0B" w14:textId="77777777" w:rsidR="009F183C" w:rsidRDefault="00757AA1">
      <w:pPr>
        <w:rPr>
          <w:i/>
          <w:sz w:val="20"/>
        </w:rPr>
      </w:pPr>
      <w:r>
        <w:rPr>
          <w:i/>
          <w:sz w:val="20"/>
        </w:rPr>
        <w:t>In caso di risposta negativa, specificare: _____________________________________________</w:t>
      </w:r>
    </w:p>
    <w:p w14:paraId="7B40C026" w14:textId="77777777" w:rsidR="009F183C" w:rsidRDefault="009F183C">
      <w:pPr>
        <w:rPr>
          <w:highlight w:val="yellow"/>
        </w:rPr>
      </w:pPr>
    </w:p>
    <w:p w14:paraId="7E186EEE" w14:textId="77777777" w:rsidR="009F183C" w:rsidRDefault="00757AA1">
      <w:pPr>
        <w:pStyle w:val="Titolo1"/>
        <w:shd w:val="clear" w:color="auto" w:fill="D6E3BC" w:themeFill="accent3" w:themeFillTint="66"/>
        <w:rPr>
          <w:b w:val="0"/>
          <w:szCs w:val="28"/>
        </w:rPr>
      </w:pPr>
      <w:bookmarkStart w:id="39" w:name="_Toc507691946"/>
      <w:r>
        <w:t>VERIFICA OBIETTIVI DI FINANZA PUBBLICA</w:t>
      </w:r>
      <w:bookmarkEnd w:id="39"/>
    </w:p>
    <w:p w14:paraId="0A64ADDB" w14:textId="77777777" w:rsidR="009F183C" w:rsidRDefault="009F183C">
      <w:pPr>
        <w:rPr>
          <w:rFonts w:cs="Arial"/>
          <w:sz w:val="20"/>
        </w:rPr>
      </w:pPr>
      <w:bookmarkStart w:id="40" w:name="_MON_1550494959"/>
      <w:bookmarkEnd w:id="40"/>
    </w:p>
    <w:p w14:paraId="536E54BE" w14:textId="77777777" w:rsidR="009F183C" w:rsidRDefault="00757AA1">
      <w:pPr>
        <w:rPr>
          <w:rFonts w:cs="Arial"/>
          <w:sz w:val="20"/>
        </w:rPr>
      </w:pPr>
      <w:r>
        <w:rPr>
          <w:rFonts w:cs="Arial"/>
          <w:sz w:val="20"/>
        </w:rPr>
        <w:t>L’Ente</w:t>
      </w:r>
      <w:r>
        <w:rPr>
          <w:rFonts w:cs="Arial"/>
          <w:color w:val="0070C0"/>
          <w:sz w:val="20"/>
        </w:rPr>
        <w:t xml:space="preserve"> </w:t>
      </w:r>
      <w:r>
        <w:rPr>
          <w:rFonts w:cs="Arial"/>
          <w:b/>
          <w:i/>
          <w:sz w:val="20"/>
        </w:rPr>
        <w:t>ha /non ha</w:t>
      </w:r>
      <w:r>
        <w:rPr>
          <w:rFonts w:cs="Arial"/>
          <w:sz w:val="20"/>
        </w:rPr>
        <w:t xml:space="preserve"> conseguito il saldo relativo al rispetto degli obiettivi dei vincoli di finanza pubblica per l’esercizio ______, ai sensi della Legge 243/2012, come modificata dalla Legge 164/2016.</w:t>
      </w:r>
    </w:p>
    <w:p w14:paraId="4AB5E0FA" w14:textId="77777777" w:rsidR="009F183C" w:rsidRDefault="00757AA1">
      <w:pPr>
        <w:rPr>
          <w:rFonts w:cs="Arial"/>
          <w:i/>
          <w:color w:val="365F91"/>
          <w:sz w:val="20"/>
        </w:rPr>
      </w:pPr>
      <w:r>
        <w:rPr>
          <w:rFonts w:cs="Arial"/>
          <w:i/>
          <w:color w:val="365F91"/>
          <w:sz w:val="20"/>
        </w:rPr>
        <w:t>(eventuale)</w:t>
      </w:r>
    </w:p>
    <w:p w14:paraId="3E84BC80" w14:textId="77777777" w:rsidR="009F183C" w:rsidRDefault="00757AA1">
      <w:pPr>
        <w:tabs>
          <w:tab w:val="left" w:pos="284"/>
        </w:tabs>
        <w:spacing w:before="120" w:after="60"/>
        <w:rPr>
          <w:rFonts w:cs="Arial"/>
          <w:sz w:val="20"/>
        </w:rPr>
      </w:pPr>
      <w:r>
        <w:rPr>
          <w:rFonts w:cs="Arial"/>
          <w:sz w:val="20"/>
        </w:rPr>
        <w:t>Al mancato conseguimento degli obiettivi di finanza pubblica l’organo di revisione osserva quanto segue ………………………</w:t>
      </w:r>
    </w:p>
    <w:p w14:paraId="054040A3" w14:textId="77777777" w:rsidR="009F183C" w:rsidRDefault="00757AA1">
      <w:pPr>
        <w:rPr>
          <w:rFonts w:cs="Arial"/>
          <w:sz w:val="20"/>
        </w:rPr>
      </w:pPr>
      <w:r>
        <w:rPr>
          <w:rFonts w:cs="Arial"/>
          <w:sz w:val="20"/>
        </w:rPr>
        <w:t>Al fine di conseguire formalmente gli obiettivi di finanza pubblica l’ente ha posto in essere le seguenti azioni ritenute dall’organo di revisione elusive dei vincoli normativi, come indicato nel verbale in data ………….</w:t>
      </w:r>
    </w:p>
    <w:p w14:paraId="0CFC614B" w14:textId="77777777" w:rsidR="009F183C" w:rsidRDefault="00757AA1">
      <w:pPr>
        <w:rPr>
          <w:rFonts w:cs="Arial"/>
          <w:i/>
          <w:color w:val="365F91"/>
          <w:sz w:val="20"/>
        </w:rPr>
      </w:pPr>
      <w:r>
        <w:rPr>
          <w:rFonts w:cs="Arial"/>
          <w:i/>
          <w:color w:val="365F91"/>
          <w:sz w:val="20"/>
        </w:rPr>
        <w:t>Le principali ipotesi sono le seguenti:</w:t>
      </w:r>
    </w:p>
    <w:p w14:paraId="492D36F0" w14:textId="77777777" w:rsidR="009F183C" w:rsidRDefault="00757AA1">
      <w:pPr>
        <w:numPr>
          <w:ilvl w:val="0"/>
          <w:numId w:val="16"/>
        </w:numPr>
        <w:rPr>
          <w:rFonts w:cs="Arial"/>
          <w:i/>
          <w:color w:val="365F91"/>
          <w:sz w:val="20"/>
        </w:rPr>
      </w:pPr>
      <w:r>
        <w:rPr>
          <w:rFonts w:cs="Arial"/>
          <w:i/>
          <w:color w:val="365F91"/>
          <w:sz w:val="20"/>
        </w:rPr>
        <w:t>spese dell’ente locale valide ai fini degli obiettivi di finanza pubblica e rilevate nel bilancio dell’organismo partecipato o costituito con l’evidente fine di aggirare i relativi vincoli.</w:t>
      </w:r>
    </w:p>
    <w:p w14:paraId="66A173F8" w14:textId="77777777" w:rsidR="009F183C" w:rsidRDefault="00757AA1">
      <w:pPr>
        <w:numPr>
          <w:ilvl w:val="0"/>
          <w:numId w:val="16"/>
        </w:numPr>
        <w:rPr>
          <w:rFonts w:cs="Arial"/>
          <w:i/>
          <w:color w:val="365F91"/>
          <w:sz w:val="20"/>
        </w:rPr>
      </w:pPr>
      <w:r>
        <w:rPr>
          <w:rFonts w:cs="Arial"/>
          <w:i/>
          <w:color w:val="365F91"/>
          <w:sz w:val="20"/>
        </w:rPr>
        <w:t>sottostima dei contratti di servizio tra l’ente e gli organismi partecipati;</w:t>
      </w:r>
    </w:p>
    <w:p w14:paraId="5AEAE8AE" w14:textId="77777777" w:rsidR="009F183C" w:rsidRDefault="00757AA1">
      <w:pPr>
        <w:numPr>
          <w:ilvl w:val="0"/>
          <w:numId w:val="16"/>
        </w:numPr>
        <w:rPr>
          <w:rFonts w:cs="Arial"/>
          <w:i/>
          <w:color w:val="365F91"/>
          <w:sz w:val="20"/>
        </w:rPr>
      </w:pPr>
      <w:r>
        <w:rPr>
          <w:rFonts w:cs="Arial"/>
          <w:i/>
          <w:color w:val="365F91"/>
          <w:sz w:val="20"/>
        </w:rPr>
        <w:t>traslazione di pagamenti dall’ente ad organismi partecipati realizzate attraverso un utilizzo improprio delle concessioni e riscossioni di crediti;</w:t>
      </w:r>
    </w:p>
    <w:p w14:paraId="00ED3128" w14:textId="77777777" w:rsidR="009F183C" w:rsidRDefault="00757AA1">
      <w:pPr>
        <w:numPr>
          <w:ilvl w:val="0"/>
          <w:numId w:val="16"/>
        </w:numPr>
        <w:rPr>
          <w:rFonts w:cs="Arial"/>
          <w:i/>
          <w:color w:val="365F91"/>
          <w:sz w:val="20"/>
        </w:rPr>
      </w:pPr>
      <w:r>
        <w:rPr>
          <w:rFonts w:cs="Arial"/>
          <w:i/>
          <w:color w:val="365F91"/>
          <w:sz w:val="20"/>
        </w:rPr>
        <w:t>operazione sugli immobili con società partecipate tese a reperire risorse finanziarie senza giungere ad una effettiva vendita del patrimonio;</w:t>
      </w:r>
    </w:p>
    <w:p w14:paraId="26838C1F" w14:textId="77777777" w:rsidR="009F183C" w:rsidRDefault="00757AA1">
      <w:pPr>
        <w:numPr>
          <w:ilvl w:val="0"/>
          <w:numId w:val="16"/>
        </w:numPr>
        <w:rPr>
          <w:rFonts w:cs="Arial"/>
          <w:i/>
          <w:color w:val="365F91"/>
          <w:sz w:val="20"/>
        </w:rPr>
      </w:pPr>
      <w:r>
        <w:rPr>
          <w:rFonts w:cs="Arial"/>
          <w:i/>
          <w:color w:val="365F91"/>
          <w:sz w:val="20"/>
        </w:rPr>
        <w:t>non corretta imputazione di entrate e delle spese ai pertinenti capitoli di bilancio o in poste non rilevanti ai fini degli obiettivi di finanza pubblica;</w:t>
      </w:r>
    </w:p>
    <w:p w14:paraId="1FA34AC5" w14:textId="77777777" w:rsidR="009F183C" w:rsidRDefault="00757AA1">
      <w:pPr>
        <w:numPr>
          <w:ilvl w:val="0"/>
          <w:numId w:val="16"/>
        </w:numPr>
        <w:rPr>
          <w:rFonts w:cs="Arial"/>
          <w:i/>
          <w:color w:val="365F91"/>
          <w:sz w:val="20"/>
        </w:rPr>
      </w:pPr>
      <w:r>
        <w:rPr>
          <w:rFonts w:cs="Arial"/>
          <w:i/>
          <w:color w:val="365F91"/>
          <w:sz w:val="20"/>
        </w:rPr>
        <w:t>sovrastima di accertamenti di entrate correnti o accertamenti effettuati in assenza dei presupposti di cui all’</w:t>
      </w:r>
      <w:hyperlink r:id="rId48" w:history="1">
        <w:r>
          <w:rPr>
            <w:rStyle w:val="Collegamentoipertestuale"/>
            <w:rFonts w:cs="Arial"/>
            <w:i/>
            <w:color w:val="365F91"/>
            <w:sz w:val="20"/>
          </w:rPr>
          <w:t>art.179 del Tuel</w:t>
        </w:r>
      </w:hyperlink>
      <w:r>
        <w:rPr>
          <w:rFonts w:cs="Arial"/>
          <w:i/>
          <w:color w:val="365F91"/>
          <w:sz w:val="20"/>
        </w:rPr>
        <w:t>;</w:t>
      </w:r>
    </w:p>
    <w:p w14:paraId="56782DD0" w14:textId="77777777" w:rsidR="009F183C" w:rsidRDefault="00757AA1">
      <w:pPr>
        <w:numPr>
          <w:ilvl w:val="0"/>
          <w:numId w:val="16"/>
        </w:numPr>
        <w:rPr>
          <w:rFonts w:cs="Arial"/>
          <w:i/>
          <w:color w:val="365F91"/>
          <w:sz w:val="20"/>
        </w:rPr>
      </w:pPr>
      <w:r>
        <w:rPr>
          <w:rFonts w:cs="Arial"/>
          <w:i/>
          <w:color w:val="365F91"/>
          <w:sz w:val="20"/>
        </w:rPr>
        <w:t>imputazione delle spese correnti di competenza di un esercizio nell’esercizio successivo.</w:t>
      </w:r>
    </w:p>
    <w:p w14:paraId="5B825645" w14:textId="77777777" w:rsidR="009F183C" w:rsidRDefault="00757AA1">
      <w:pPr>
        <w:numPr>
          <w:ilvl w:val="0"/>
          <w:numId w:val="16"/>
        </w:numPr>
        <w:rPr>
          <w:rFonts w:cs="Arial"/>
          <w:i/>
          <w:color w:val="365F91"/>
          <w:sz w:val="20"/>
        </w:rPr>
      </w:pPr>
      <w:r>
        <w:rPr>
          <w:rFonts w:cs="Arial"/>
          <w:i/>
          <w:color w:val="365F91"/>
          <w:sz w:val="20"/>
        </w:rPr>
        <w:t>emersione di maggiori debiti nei confronti delle società partecipate per effetto della verifica dei crediti e dei debiti reciproci aventi fonte in impegni non assunti nell’esercizio 2017;</w:t>
      </w:r>
    </w:p>
    <w:p w14:paraId="3036C10A" w14:textId="77777777" w:rsidR="00185F7F" w:rsidRDefault="00185F7F">
      <w:pPr>
        <w:rPr>
          <w:rFonts w:cs="Arial"/>
          <w:sz w:val="20"/>
        </w:rPr>
      </w:pPr>
    </w:p>
    <w:p w14:paraId="32348529" w14:textId="77777777" w:rsidR="009F183C" w:rsidRDefault="00757AA1">
      <w:pPr>
        <w:rPr>
          <w:rFonts w:cs="Arial"/>
          <w:sz w:val="20"/>
        </w:rPr>
      </w:pPr>
      <w:r>
        <w:rPr>
          <w:rFonts w:cs="Arial"/>
          <w:sz w:val="20"/>
        </w:rPr>
        <w:t xml:space="preserve">L’ente </w:t>
      </w:r>
      <w:r>
        <w:rPr>
          <w:rFonts w:cs="Arial"/>
          <w:b/>
          <w:sz w:val="20"/>
        </w:rPr>
        <w:t>ha</w:t>
      </w:r>
      <w:r>
        <w:rPr>
          <w:rFonts w:cs="Arial"/>
          <w:b/>
          <w:i/>
          <w:color w:val="0070C0"/>
          <w:sz w:val="20"/>
        </w:rPr>
        <w:t xml:space="preserve"> </w:t>
      </w:r>
      <w:r>
        <w:rPr>
          <w:rFonts w:cs="Arial"/>
          <w:sz w:val="20"/>
        </w:rPr>
        <w:t>provveduto in data ______________ (</w:t>
      </w:r>
      <w:r>
        <w:rPr>
          <w:rFonts w:cs="Arial"/>
          <w:b/>
          <w:sz w:val="20"/>
        </w:rPr>
        <w:t>dovrà provvedere entro il 31/03/2018</w:t>
      </w:r>
      <w:r>
        <w:rPr>
          <w:rFonts w:cs="Arial"/>
          <w:b/>
          <w:i/>
          <w:sz w:val="20"/>
        </w:rPr>
        <w:t xml:space="preserve">) </w:t>
      </w:r>
      <w:r>
        <w:rPr>
          <w:rFonts w:cs="Arial"/>
          <w:sz w:val="20"/>
        </w:rPr>
        <w:t>a trasmettere al Ministero dell’economia e delle finanze, la certificazione secondo i prospetti allegati al decreto del Ministero dell’Economia e delle finanze n. _______ del __________.</w:t>
      </w:r>
    </w:p>
    <w:p w14:paraId="23E5458C" w14:textId="77777777" w:rsidR="009F183C" w:rsidRDefault="009F183C">
      <w:pPr>
        <w:rPr>
          <w:rFonts w:cs="Arial"/>
          <w:sz w:val="20"/>
        </w:rPr>
      </w:pPr>
    </w:p>
    <w:p w14:paraId="2DA9C28F" w14:textId="77777777" w:rsidR="009F183C" w:rsidRDefault="00757AA1">
      <w:pPr>
        <w:rPr>
          <w:rFonts w:cs="Arial"/>
          <w:sz w:val="20"/>
        </w:rPr>
      </w:pPr>
      <w:r>
        <w:rPr>
          <w:rFonts w:cs="Arial"/>
          <w:sz w:val="20"/>
        </w:rPr>
        <w:t>L’Organo di Revisione ha provveduto a verificare che i dati trasmessi con la certificazione dei risultati corrispondono alle risultanze del Rendiconto della Gestione.</w:t>
      </w:r>
    </w:p>
    <w:p w14:paraId="6499B25A" w14:textId="77777777" w:rsidR="009F183C" w:rsidRDefault="00757AA1">
      <w:pPr>
        <w:rPr>
          <w:rFonts w:cs="Arial"/>
          <w:i/>
          <w:color w:val="365F91"/>
          <w:sz w:val="20"/>
        </w:rPr>
      </w:pPr>
      <w:r>
        <w:rPr>
          <w:rFonts w:cs="Arial"/>
          <w:i/>
          <w:color w:val="365F91"/>
          <w:sz w:val="20"/>
        </w:rPr>
        <w:t>(eventuale)</w:t>
      </w:r>
    </w:p>
    <w:p w14:paraId="775C0EB1" w14:textId="77777777" w:rsidR="009F183C" w:rsidRDefault="00757AA1">
      <w:pPr>
        <w:rPr>
          <w:rFonts w:cs="Arial"/>
          <w:sz w:val="20"/>
        </w:rPr>
      </w:pPr>
      <w:r>
        <w:rPr>
          <w:rFonts w:cs="Arial"/>
          <w:sz w:val="20"/>
        </w:rPr>
        <w:t>In caso contrario, l’Organo di revisione invita l’Ente a predisporre ed inviare una nuova certificazione, a rettifica della precedente, entro il termine perentorio di 60 gg dall’avvenuta approvazione del rendiconto e, comunque, entro il termine del 30/06.</w:t>
      </w:r>
    </w:p>
    <w:p w14:paraId="21ACA100" w14:textId="77777777" w:rsidR="009F183C" w:rsidRDefault="009F183C">
      <w:pPr>
        <w:widowControl/>
        <w:overflowPunct/>
        <w:autoSpaceDE/>
        <w:autoSpaceDN/>
        <w:adjustRightInd/>
        <w:spacing w:after="0"/>
        <w:jc w:val="left"/>
        <w:textAlignment w:val="auto"/>
        <w:rPr>
          <w:rFonts w:cs="Arial"/>
          <w:b/>
          <w:sz w:val="24"/>
          <w:szCs w:val="24"/>
        </w:rPr>
      </w:pPr>
    </w:p>
    <w:p w14:paraId="76A94AD9" w14:textId="77777777" w:rsidR="009F183C" w:rsidRDefault="00757AA1">
      <w:pPr>
        <w:widowControl/>
        <w:overflowPunct/>
        <w:autoSpaceDE/>
        <w:autoSpaceDN/>
        <w:adjustRightInd/>
        <w:spacing w:after="0"/>
        <w:textAlignment w:val="auto"/>
        <w:rPr>
          <w:rFonts w:cs="Arial"/>
          <w:b/>
          <w:i/>
          <w:sz w:val="24"/>
          <w:szCs w:val="24"/>
        </w:rPr>
      </w:pPr>
      <w:r>
        <w:rPr>
          <w:rFonts w:cs="Arial"/>
          <w:b/>
          <w:i/>
          <w:sz w:val="24"/>
          <w:szCs w:val="24"/>
        </w:rPr>
        <w:t>ANALISI DI PARTICOLARI ENTRATE IN TERMINI DI EFFICIENZA NELLA FASE DI ACCERTAMENTO E RISCOSSIONE E ANDAMENTO DELLA RISCOSSIONE IN CONTO RESIDUI ED ENTITA’ DEL FONDO CREDITI DI DUBBIA ESIGIBILITA’</w:t>
      </w:r>
    </w:p>
    <w:p w14:paraId="57A95C78" w14:textId="77777777" w:rsidR="009F183C" w:rsidRDefault="009F183C">
      <w:pPr>
        <w:numPr>
          <w:ilvl w:val="12"/>
          <w:numId w:val="0"/>
        </w:numPr>
        <w:rPr>
          <w:rFonts w:cs="Arial"/>
          <w:i/>
          <w:sz w:val="20"/>
        </w:rPr>
      </w:pPr>
    </w:p>
    <w:p w14:paraId="174D4854" w14:textId="77777777" w:rsidR="009F183C" w:rsidRDefault="00757AA1">
      <w:pPr>
        <w:numPr>
          <w:ilvl w:val="12"/>
          <w:numId w:val="0"/>
        </w:numPr>
        <w:rPr>
          <w:rFonts w:cs="Arial"/>
          <w:b/>
          <w:sz w:val="24"/>
          <w:szCs w:val="24"/>
          <w:u w:val="single"/>
        </w:rPr>
      </w:pPr>
      <w:r>
        <w:rPr>
          <w:rFonts w:cs="Arial"/>
          <w:b/>
          <w:sz w:val="24"/>
          <w:szCs w:val="24"/>
          <w:u w:val="single"/>
        </w:rPr>
        <w:t>Entrate per recupero evasione tributaria</w:t>
      </w:r>
    </w:p>
    <w:p w14:paraId="0ADC851A" w14:textId="77777777" w:rsidR="009F183C" w:rsidRDefault="00757AA1">
      <w:pPr>
        <w:numPr>
          <w:ilvl w:val="12"/>
          <w:numId w:val="0"/>
        </w:numPr>
        <w:rPr>
          <w:rFonts w:cs="Arial"/>
          <w:sz w:val="20"/>
        </w:rPr>
      </w:pPr>
      <w:r>
        <w:rPr>
          <w:rFonts w:cs="Arial"/>
          <w:sz w:val="20"/>
        </w:rPr>
        <w:t xml:space="preserve">In merito all’attività di controllo delle dichiarazioni e dei versamenti l’organo di revisione rileva che </w:t>
      </w:r>
      <w:r>
        <w:rPr>
          <w:rFonts w:cs="Arial"/>
          <w:b/>
          <w:sz w:val="20"/>
        </w:rPr>
        <w:t xml:space="preserve">sono </w:t>
      </w:r>
      <w:r>
        <w:rPr>
          <w:rFonts w:cs="Arial"/>
          <w:b/>
          <w:i/>
          <w:sz w:val="20"/>
        </w:rPr>
        <w:t>(o non sono)</w:t>
      </w:r>
      <w:r>
        <w:rPr>
          <w:rFonts w:cs="Arial"/>
          <w:sz w:val="20"/>
        </w:rPr>
        <w:t xml:space="preserve"> stati conseguiti i risultati attesi e che in particolare le entrate per recupero evasione sono state le seguenti:</w:t>
      </w:r>
    </w:p>
    <w:bookmarkStart w:id="41" w:name="_MON_1581268250"/>
    <w:bookmarkEnd w:id="41"/>
    <w:p w14:paraId="48EAEDF8" w14:textId="77777777" w:rsidR="009F183C" w:rsidRDefault="00B215DB">
      <w:pPr>
        <w:numPr>
          <w:ilvl w:val="12"/>
          <w:numId w:val="0"/>
        </w:numPr>
        <w:rPr>
          <w:rFonts w:cs="Arial"/>
          <w:sz w:val="20"/>
        </w:rPr>
      </w:pPr>
      <w:r>
        <w:rPr>
          <w:rFonts w:cs="Arial"/>
          <w:sz w:val="20"/>
        </w:rPr>
        <w:object w:dxaOrig="9790" w:dyaOrig="2179" w14:anchorId="106B66DE">
          <v:shape id="_x0000_i1044" type="#_x0000_t75" style="width:489.75pt;height:108pt" o:ole="">
            <v:imagedata r:id="rId49" o:title=""/>
          </v:shape>
          <o:OLEObject Type="Embed" ProgID="Excel.Sheet.12" ShapeID="_x0000_i1044" DrawAspect="Content" ObjectID="_1780988555" r:id="rId50"/>
        </w:object>
      </w:r>
    </w:p>
    <w:p w14:paraId="77B80D6B" w14:textId="77777777" w:rsidR="009F183C" w:rsidRDefault="00757AA1">
      <w:pPr>
        <w:rPr>
          <w:sz w:val="20"/>
        </w:rPr>
      </w:pPr>
      <w:r>
        <w:rPr>
          <w:sz w:val="20"/>
        </w:rPr>
        <w:t>In merito si osserva ……………</w:t>
      </w:r>
    </w:p>
    <w:p w14:paraId="6AE7C944" w14:textId="77777777" w:rsidR="00B215DB" w:rsidRDefault="00B215DB">
      <w:pPr>
        <w:rPr>
          <w:sz w:val="20"/>
        </w:rPr>
      </w:pPr>
    </w:p>
    <w:p w14:paraId="5921183C" w14:textId="77777777" w:rsidR="009F183C" w:rsidRDefault="00757AA1">
      <w:pPr>
        <w:rPr>
          <w:sz w:val="20"/>
        </w:rPr>
      </w:pPr>
      <w:r>
        <w:rPr>
          <w:sz w:val="20"/>
        </w:rPr>
        <w:t>La movimentazione delle somme rimaste a residuo per recupero evasione è stata la seguente:</w:t>
      </w:r>
    </w:p>
    <w:bookmarkStart w:id="42" w:name="_MON_1486994283"/>
    <w:bookmarkEnd w:id="42"/>
    <w:p w14:paraId="65AB8A3D" w14:textId="77777777" w:rsidR="009F183C" w:rsidRDefault="00757AA1">
      <w:pPr>
        <w:rPr>
          <w:sz w:val="20"/>
        </w:rPr>
      </w:pPr>
      <w:r>
        <w:rPr>
          <w:sz w:val="20"/>
        </w:rPr>
        <w:object w:dxaOrig="8540" w:dyaOrig="2919" w14:anchorId="035613EA">
          <v:shape id="_x0000_i1045" type="#_x0000_t75" style="width:424.5pt;height:2in" o:ole="">
            <v:imagedata r:id="rId51" o:title=""/>
          </v:shape>
          <o:OLEObject Type="Embed" ProgID="Excel.Sheet.12" ShapeID="_x0000_i1045" DrawAspect="Content" ObjectID="_1780988556" r:id="rId52"/>
        </w:object>
      </w:r>
    </w:p>
    <w:p w14:paraId="00E33B34" w14:textId="77777777" w:rsidR="00B215DB" w:rsidRDefault="00B215DB" w:rsidP="00B215DB">
      <w:pPr>
        <w:rPr>
          <w:sz w:val="20"/>
        </w:rPr>
      </w:pPr>
      <w:r>
        <w:rPr>
          <w:sz w:val="20"/>
        </w:rPr>
        <w:t>In merito si osserva ……………</w:t>
      </w:r>
    </w:p>
    <w:p w14:paraId="2862E2BA" w14:textId="77777777" w:rsidR="00B215DB" w:rsidRDefault="00B215DB">
      <w:pPr>
        <w:numPr>
          <w:ilvl w:val="12"/>
          <w:numId w:val="0"/>
        </w:numPr>
        <w:rPr>
          <w:rFonts w:cs="Arial"/>
          <w:b/>
          <w:sz w:val="24"/>
          <w:szCs w:val="24"/>
          <w:u w:val="single"/>
        </w:rPr>
      </w:pPr>
    </w:p>
    <w:p w14:paraId="74A0D32F" w14:textId="77777777" w:rsidR="009F183C" w:rsidRDefault="00757AA1">
      <w:pPr>
        <w:numPr>
          <w:ilvl w:val="12"/>
          <w:numId w:val="0"/>
        </w:numPr>
        <w:rPr>
          <w:rFonts w:cs="Arial"/>
          <w:b/>
          <w:sz w:val="24"/>
          <w:szCs w:val="24"/>
          <w:u w:val="single"/>
        </w:rPr>
      </w:pPr>
      <w:r>
        <w:rPr>
          <w:rFonts w:cs="Arial"/>
          <w:b/>
          <w:sz w:val="24"/>
          <w:szCs w:val="24"/>
          <w:u w:val="single"/>
        </w:rPr>
        <w:t>IMU</w:t>
      </w:r>
    </w:p>
    <w:p w14:paraId="58D2A0B4" w14:textId="77777777" w:rsidR="009F183C" w:rsidRDefault="00757AA1">
      <w:pPr>
        <w:numPr>
          <w:ilvl w:val="12"/>
          <w:numId w:val="0"/>
        </w:numPr>
        <w:spacing w:before="120"/>
        <w:rPr>
          <w:rFonts w:cs="Arial"/>
          <w:sz w:val="20"/>
        </w:rPr>
      </w:pPr>
      <w:r>
        <w:rPr>
          <w:rFonts w:cs="Arial"/>
          <w:sz w:val="20"/>
        </w:rPr>
        <w:t xml:space="preserve">Le entrate accertate nell’anno 2017 sono </w:t>
      </w:r>
      <w:r>
        <w:rPr>
          <w:rFonts w:cs="Arial"/>
          <w:b/>
          <w:sz w:val="20"/>
        </w:rPr>
        <w:t>aumentate / diminuite</w:t>
      </w:r>
      <w:r>
        <w:rPr>
          <w:rFonts w:cs="Arial"/>
          <w:i/>
          <w:sz w:val="20"/>
        </w:rPr>
        <w:t xml:space="preserve"> </w:t>
      </w:r>
      <w:r>
        <w:rPr>
          <w:rFonts w:cs="Arial"/>
          <w:sz w:val="20"/>
        </w:rPr>
        <w:t>di Euro ……. rispetto a quelle dell’esercizio 2016 per i seguenti motivi: ……………………</w:t>
      </w:r>
    </w:p>
    <w:p w14:paraId="236C0DE8" w14:textId="77777777" w:rsidR="009F183C" w:rsidRDefault="00757AA1">
      <w:pPr>
        <w:rPr>
          <w:sz w:val="20"/>
        </w:rPr>
      </w:pPr>
      <w:r>
        <w:rPr>
          <w:sz w:val="20"/>
        </w:rPr>
        <w:t>La movimentazione delle somme rimaste a residuo per IMU è stata la seguente:</w:t>
      </w:r>
    </w:p>
    <w:p w14:paraId="035E4212" w14:textId="77777777" w:rsidR="009F183C" w:rsidRDefault="009F183C">
      <w:pPr>
        <w:rPr>
          <w:sz w:val="20"/>
        </w:rPr>
      </w:pPr>
    </w:p>
    <w:bookmarkStart w:id="43" w:name="_MON_1571078051"/>
    <w:bookmarkEnd w:id="43"/>
    <w:p w14:paraId="52195646" w14:textId="77777777" w:rsidR="009F183C" w:rsidRDefault="00757AA1">
      <w:pPr>
        <w:rPr>
          <w:sz w:val="20"/>
        </w:rPr>
      </w:pPr>
      <w:r>
        <w:rPr>
          <w:sz w:val="20"/>
        </w:rPr>
        <w:object w:dxaOrig="9265" w:dyaOrig="3310" w14:anchorId="1846B381">
          <v:shape id="_x0000_i1046" type="#_x0000_t75" style="width:424.5pt;height:180pt" o:ole="">
            <v:imagedata r:id="rId53" o:title=""/>
          </v:shape>
          <o:OLEObject Type="Embed" ProgID="Excel.Sheet.12" ShapeID="_x0000_i1046" DrawAspect="Content" ObjectID="_1780988557" r:id="rId54"/>
        </w:object>
      </w:r>
    </w:p>
    <w:p w14:paraId="310F9BF0" w14:textId="77777777" w:rsidR="009F183C" w:rsidRDefault="009F183C">
      <w:pPr>
        <w:numPr>
          <w:ilvl w:val="12"/>
          <w:numId w:val="0"/>
        </w:numPr>
        <w:rPr>
          <w:rFonts w:cs="Arial"/>
          <w:sz w:val="20"/>
        </w:rPr>
      </w:pPr>
    </w:p>
    <w:p w14:paraId="3EDE1E3B" w14:textId="77777777" w:rsidR="009F183C" w:rsidRDefault="00757AA1">
      <w:pPr>
        <w:numPr>
          <w:ilvl w:val="12"/>
          <w:numId w:val="0"/>
        </w:numPr>
        <w:rPr>
          <w:rFonts w:cs="Arial"/>
          <w:sz w:val="20"/>
        </w:rPr>
      </w:pPr>
      <w:r>
        <w:rPr>
          <w:rFonts w:cs="Arial"/>
          <w:sz w:val="20"/>
        </w:rPr>
        <w:t>In merito si osserva …….</w:t>
      </w:r>
    </w:p>
    <w:p w14:paraId="6A3A8151" w14:textId="77777777" w:rsidR="009F183C" w:rsidRDefault="009F183C">
      <w:pPr>
        <w:rPr>
          <w:highlight w:val="green"/>
        </w:rPr>
      </w:pPr>
    </w:p>
    <w:p w14:paraId="617FEFFE" w14:textId="77777777" w:rsidR="009F183C" w:rsidRDefault="00757AA1">
      <w:pPr>
        <w:numPr>
          <w:ilvl w:val="12"/>
          <w:numId w:val="0"/>
        </w:numPr>
        <w:rPr>
          <w:rFonts w:cs="Arial"/>
          <w:b/>
          <w:sz w:val="24"/>
          <w:szCs w:val="24"/>
          <w:u w:val="single"/>
        </w:rPr>
      </w:pPr>
      <w:r>
        <w:rPr>
          <w:rFonts w:cs="Arial"/>
          <w:b/>
          <w:sz w:val="24"/>
          <w:szCs w:val="24"/>
          <w:u w:val="single"/>
        </w:rPr>
        <w:t>TASI</w:t>
      </w:r>
    </w:p>
    <w:p w14:paraId="0426CEE0" w14:textId="77777777" w:rsidR="009F183C" w:rsidRDefault="00757AA1">
      <w:pPr>
        <w:numPr>
          <w:ilvl w:val="12"/>
          <w:numId w:val="0"/>
        </w:numPr>
        <w:spacing w:before="120"/>
        <w:rPr>
          <w:rFonts w:cs="Arial"/>
          <w:sz w:val="20"/>
        </w:rPr>
      </w:pPr>
      <w:r>
        <w:rPr>
          <w:rFonts w:cs="Arial"/>
          <w:sz w:val="20"/>
        </w:rPr>
        <w:t xml:space="preserve">Le entrate accertate nell’anno 2017 sono </w:t>
      </w:r>
      <w:r>
        <w:rPr>
          <w:rFonts w:cs="Arial"/>
          <w:b/>
          <w:sz w:val="20"/>
        </w:rPr>
        <w:t>aumentate / diminuite</w:t>
      </w:r>
      <w:r>
        <w:rPr>
          <w:rFonts w:cs="Arial"/>
          <w:i/>
          <w:sz w:val="20"/>
        </w:rPr>
        <w:t xml:space="preserve"> </w:t>
      </w:r>
      <w:r>
        <w:rPr>
          <w:rFonts w:cs="Arial"/>
          <w:sz w:val="20"/>
        </w:rPr>
        <w:t>di Euro ……. rispetto a quelle dell’esercizio 2016 per i seguenti motivi: ……………………</w:t>
      </w:r>
    </w:p>
    <w:p w14:paraId="5FDB148E" w14:textId="77777777" w:rsidR="009F183C" w:rsidRDefault="00757AA1">
      <w:pPr>
        <w:rPr>
          <w:sz w:val="20"/>
        </w:rPr>
      </w:pPr>
      <w:r>
        <w:rPr>
          <w:sz w:val="20"/>
        </w:rPr>
        <w:t>La movimentazione delle somme rimaste a residuo per IMU è stata la seguente:</w:t>
      </w:r>
    </w:p>
    <w:p w14:paraId="72B079BA" w14:textId="77777777" w:rsidR="009F183C" w:rsidRDefault="009F183C">
      <w:pPr>
        <w:rPr>
          <w:sz w:val="20"/>
        </w:rPr>
      </w:pPr>
    </w:p>
    <w:bookmarkStart w:id="44" w:name="_MON_1580461498"/>
    <w:bookmarkEnd w:id="44"/>
    <w:p w14:paraId="773AD538" w14:textId="77777777" w:rsidR="009F183C" w:rsidRDefault="00757AA1">
      <w:pPr>
        <w:rPr>
          <w:sz w:val="20"/>
        </w:rPr>
      </w:pPr>
      <w:r>
        <w:rPr>
          <w:sz w:val="20"/>
        </w:rPr>
        <w:object w:dxaOrig="9265" w:dyaOrig="3310" w14:anchorId="6B6117E1">
          <v:shape id="_x0000_i1047" type="#_x0000_t75" style="width:424.5pt;height:180pt" o:ole="">
            <v:imagedata r:id="rId55" o:title=""/>
          </v:shape>
          <o:OLEObject Type="Embed" ProgID="Excel.Sheet.12" ShapeID="_x0000_i1047" DrawAspect="Content" ObjectID="_1780988558" r:id="rId56"/>
        </w:object>
      </w:r>
    </w:p>
    <w:p w14:paraId="2712C0E7" w14:textId="77777777" w:rsidR="009F183C" w:rsidRDefault="009F183C">
      <w:pPr>
        <w:numPr>
          <w:ilvl w:val="12"/>
          <w:numId w:val="0"/>
        </w:numPr>
        <w:rPr>
          <w:rFonts w:cs="Arial"/>
          <w:sz w:val="20"/>
        </w:rPr>
      </w:pPr>
    </w:p>
    <w:p w14:paraId="157F25A1" w14:textId="77777777" w:rsidR="009F183C" w:rsidRDefault="00757AA1">
      <w:pPr>
        <w:numPr>
          <w:ilvl w:val="12"/>
          <w:numId w:val="0"/>
        </w:numPr>
        <w:rPr>
          <w:rFonts w:cs="Arial"/>
          <w:sz w:val="20"/>
        </w:rPr>
      </w:pPr>
      <w:r>
        <w:rPr>
          <w:rFonts w:cs="Arial"/>
          <w:sz w:val="20"/>
        </w:rPr>
        <w:t>In merito si osserva …….</w:t>
      </w:r>
    </w:p>
    <w:p w14:paraId="49D33E72" w14:textId="77777777" w:rsidR="009F183C" w:rsidRDefault="009F183C">
      <w:pPr>
        <w:rPr>
          <w:highlight w:val="green"/>
        </w:rPr>
      </w:pPr>
    </w:p>
    <w:p w14:paraId="480F74A7" w14:textId="77777777" w:rsidR="009F183C" w:rsidRDefault="00757AA1">
      <w:pPr>
        <w:numPr>
          <w:ilvl w:val="12"/>
          <w:numId w:val="0"/>
        </w:numPr>
        <w:rPr>
          <w:rFonts w:cs="Arial"/>
          <w:b/>
          <w:sz w:val="24"/>
          <w:szCs w:val="24"/>
          <w:u w:val="single"/>
        </w:rPr>
      </w:pPr>
      <w:r>
        <w:rPr>
          <w:rFonts w:cs="Arial"/>
          <w:b/>
          <w:sz w:val="24"/>
          <w:szCs w:val="24"/>
          <w:u w:val="single"/>
        </w:rPr>
        <w:t>TARSU-TIA-TARI</w:t>
      </w:r>
    </w:p>
    <w:p w14:paraId="13FB1153" w14:textId="77777777" w:rsidR="009F183C" w:rsidRDefault="00757AA1">
      <w:pPr>
        <w:numPr>
          <w:ilvl w:val="12"/>
          <w:numId w:val="0"/>
        </w:numPr>
        <w:spacing w:before="120"/>
        <w:rPr>
          <w:rFonts w:cs="Arial"/>
          <w:sz w:val="20"/>
        </w:rPr>
      </w:pPr>
      <w:r>
        <w:rPr>
          <w:rFonts w:cs="Arial"/>
          <w:sz w:val="20"/>
        </w:rPr>
        <w:t xml:space="preserve">Le entrate accertate nell’anno 2017 sono </w:t>
      </w:r>
      <w:r>
        <w:rPr>
          <w:rFonts w:cs="Arial"/>
          <w:b/>
          <w:sz w:val="20"/>
        </w:rPr>
        <w:t>aumentate / diminuite</w:t>
      </w:r>
      <w:r>
        <w:rPr>
          <w:rFonts w:cs="Arial"/>
          <w:i/>
          <w:sz w:val="20"/>
        </w:rPr>
        <w:t xml:space="preserve"> </w:t>
      </w:r>
      <w:r>
        <w:rPr>
          <w:rFonts w:cs="Arial"/>
          <w:sz w:val="20"/>
        </w:rPr>
        <w:t>di Euro ……. rispetto a quelle dell’esercizio 2016 per i seguenti motivi: ……………………</w:t>
      </w:r>
    </w:p>
    <w:p w14:paraId="21D44AC9" w14:textId="4585E822" w:rsidR="009F183C" w:rsidRDefault="00757AA1">
      <w:pPr>
        <w:rPr>
          <w:sz w:val="20"/>
        </w:rPr>
      </w:pPr>
      <w:r>
        <w:rPr>
          <w:sz w:val="20"/>
        </w:rPr>
        <w:t>La movimentazione delle somme rimaste a residuo per TARSU-TIA-TARI è stata l</w:t>
      </w:r>
      <w:r w:rsidR="00722CDB">
        <w:rPr>
          <w:sz w:val="20"/>
        </w:rPr>
        <w:t>a</w:t>
      </w:r>
      <w:r>
        <w:rPr>
          <w:sz w:val="20"/>
        </w:rPr>
        <w:t xml:space="preserve"> seguente:</w:t>
      </w:r>
    </w:p>
    <w:p w14:paraId="6845CC3F" w14:textId="77777777" w:rsidR="009F183C" w:rsidRDefault="009F183C">
      <w:pPr>
        <w:rPr>
          <w:sz w:val="20"/>
        </w:rPr>
      </w:pPr>
    </w:p>
    <w:bookmarkStart w:id="45" w:name="_MON_1571078212"/>
    <w:bookmarkEnd w:id="45"/>
    <w:p w14:paraId="58B974D0" w14:textId="77777777" w:rsidR="009F183C" w:rsidRDefault="00757AA1">
      <w:pPr>
        <w:rPr>
          <w:sz w:val="20"/>
        </w:rPr>
      </w:pPr>
      <w:r>
        <w:rPr>
          <w:sz w:val="20"/>
        </w:rPr>
        <w:object w:dxaOrig="9265" w:dyaOrig="3020" w14:anchorId="06DDFF8A">
          <v:shape id="_x0000_i1048" type="#_x0000_t75" style="width:461.25pt;height:150.75pt" o:ole="">
            <v:imagedata r:id="rId57" o:title=""/>
          </v:shape>
          <o:OLEObject Type="Embed" ProgID="Excel.Sheet.12" ShapeID="_x0000_i1048" DrawAspect="Content" ObjectID="_1780988559" r:id="rId58"/>
        </w:object>
      </w:r>
    </w:p>
    <w:p w14:paraId="5DC326ED" w14:textId="77777777" w:rsidR="009F183C" w:rsidRDefault="00757AA1">
      <w:pPr>
        <w:rPr>
          <w:b/>
          <w:i/>
        </w:rPr>
      </w:pPr>
      <w:r>
        <w:rPr>
          <w:rFonts w:cs="Arial"/>
          <w:sz w:val="20"/>
        </w:rPr>
        <w:t>In merito si osserva …….</w:t>
      </w:r>
    </w:p>
    <w:p w14:paraId="22B94A5C" w14:textId="77777777" w:rsidR="009F183C" w:rsidRPr="00766AA6" w:rsidRDefault="009F183C">
      <w:pPr>
        <w:rPr>
          <w:highlight w:val="green"/>
        </w:rPr>
      </w:pPr>
    </w:p>
    <w:p w14:paraId="3966735B" w14:textId="77777777" w:rsidR="009F183C" w:rsidRPr="00766AA6" w:rsidRDefault="00757AA1" w:rsidP="00766AA6">
      <w:pPr>
        <w:rPr>
          <w:rFonts w:cs="Arial"/>
          <w:b/>
          <w:sz w:val="24"/>
          <w:szCs w:val="24"/>
          <w:u w:val="single"/>
        </w:rPr>
      </w:pPr>
      <w:bookmarkStart w:id="46" w:name="_Toc379377460"/>
      <w:r w:rsidRPr="00766AA6">
        <w:rPr>
          <w:rFonts w:cs="Arial"/>
          <w:b/>
          <w:sz w:val="24"/>
          <w:szCs w:val="24"/>
          <w:u w:val="single"/>
        </w:rPr>
        <w:t>Contributi per permessi di costruire</w:t>
      </w:r>
      <w:bookmarkEnd w:id="46"/>
    </w:p>
    <w:p w14:paraId="2A642BEC" w14:textId="77777777" w:rsidR="009F183C" w:rsidRDefault="00757AA1">
      <w:pPr>
        <w:spacing w:before="120" w:after="240"/>
        <w:rPr>
          <w:sz w:val="20"/>
        </w:rPr>
      </w:pPr>
      <w:r>
        <w:rPr>
          <w:sz w:val="20"/>
        </w:rPr>
        <w:t>Gli accertamenti negli ultimi tre esercizi hanno subito la seguente evoluzione:</w:t>
      </w:r>
    </w:p>
    <w:tbl>
      <w:tblPr>
        <w:tblStyle w:val="Grigliatabella"/>
        <w:tblW w:w="0" w:type="auto"/>
        <w:tblLook w:val="04A0" w:firstRow="1" w:lastRow="0" w:firstColumn="1" w:lastColumn="0" w:noHBand="0" w:noVBand="1"/>
      </w:tblPr>
      <w:tblGrid>
        <w:gridCol w:w="3652"/>
        <w:gridCol w:w="1701"/>
        <w:gridCol w:w="1701"/>
        <w:gridCol w:w="1276"/>
      </w:tblGrid>
      <w:tr w:rsidR="009F183C" w14:paraId="4A8C16DF" w14:textId="77777777">
        <w:tc>
          <w:tcPr>
            <w:tcW w:w="3652" w:type="dxa"/>
          </w:tcPr>
          <w:p w14:paraId="5FF5C99C" w14:textId="77777777" w:rsidR="009F183C" w:rsidRPr="00E455CA" w:rsidRDefault="00757AA1">
            <w:pPr>
              <w:pStyle w:val="Titolo3"/>
              <w:rPr>
                <w:i w:val="0"/>
                <w:sz w:val="20"/>
                <w:u w:val="none"/>
              </w:rPr>
            </w:pPr>
            <w:bookmarkStart w:id="47" w:name="_Toc506810481"/>
            <w:bookmarkStart w:id="48" w:name="_Toc506810511"/>
            <w:bookmarkStart w:id="49" w:name="_Toc506810671"/>
            <w:bookmarkStart w:id="50" w:name="_Toc507691605"/>
            <w:bookmarkStart w:id="51" w:name="_Toc507691947"/>
            <w:r w:rsidRPr="00E455CA">
              <w:rPr>
                <w:i w:val="0"/>
                <w:sz w:val="20"/>
                <w:szCs w:val="20"/>
                <w:u w:val="none"/>
              </w:rPr>
              <w:t>Contributi permessi a costruire e relative sanzioni</w:t>
            </w:r>
            <w:bookmarkEnd w:id="47"/>
            <w:bookmarkEnd w:id="48"/>
            <w:bookmarkEnd w:id="49"/>
            <w:bookmarkEnd w:id="50"/>
            <w:bookmarkEnd w:id="51"/>
          </w:p>
        </w:tc>
        <w:tc>
          <w:tcPr>
            <w:tcW w:w="1701" w:type="dxa"/>
          </w:tcPr>
          <w:p w14:paraId="73444D72" w14:textId="77777777" w:rsidR="009F183C" w:rsidRDefault="00757AA1">
            <w:pPr>
              <w:spacing w:before="120" w:after="240"/>
              <w:rPr>
                <w:b/>
                <w:sz w:val="20"/>
              </w:rPr>
            </w:pPr>
            <w:r>
              <w:rPr>
                <w:b/>
                <w:sz w:val="20"/>
              </w:rPr>
              <w:t>2015</w:t>
            </w:r>
          </w:p>
        </w:tc>
        <w:tc>
          <w:tcPr>
            <w:tcW w:w="1701" w:type="dxa"/>
          </w:tcPr>
          <w:p w14:paraId="1E5BFE36" w14:textId="77777777" w:rsidR="009F183C" w:rsidRDefault="00757AA1">
            <w:pPr>
              <w:spacing w:before="120" w:after="240"/>
              <w:rPr>
                <w:b/>
                <w:sz w:val="20"/>
              </w:rPr>
            </w:pPr>
            <w:r>
              <w:rPr>
                <w:b/>
                <w:sz w:val="20"/>
              </w:rPr>
              <w:t>2016</w:t>
            </w:r>
          </w:p>
        </w:tc>
        <w:tc>
          <w:tcPr>
            <w:tcW w:w="1276" w:type="dxa"/>
          </w:tcPr>
          <w:p w14:paraId="4A341164" w14:textId="77777777" w:rsidR="009F183C" w:rsidRDefault="00757AA1">
            <w:pPr>
              <w:spacing w:before="120" w:after="240"/>
              <w:rPr>
                <w:b/>
                <w:sz w:val="20"/>
              </w:rPr>
            </w:pPr>
            <w:r>
              <w:rPr>
                <w:b/>
                <w:sz w:val="20"/>
              </w:rPr>
              <w:t>2017</w:t>
            </w:r>
          </w:p>
        </w:tc>
      </w:tr>
      <w:tr w:rsidR="009F183C" w14:paraId="26973436" w14:textId="77777777">
        <w:tc>
          <w:tcPr>
            <w:tcW w:w="3652" w:type="dxa"/>
          </w:tcPr>
          <w:p w14:paraId="7B565847" w14:textId="77777777" w:rsidR="009F183C" w:rsidRDefault="00757AA1">
            <w:pPr>
              <w:spacing w:before="120" w:after="240"/>
              <w:rPr>
                <w:sz w:val="20"/>
              </w:rPr>
            </w:pPr>
            <w:r>
              <w:rPr>
                <w:sz w:val="20"/>
              </w:rPr>
              <w:t xml:space="preserve">Accertamento </w:t>
            </w:r>
          </w:p>
        </w:tc>
        <w:tc>
          <w:tcPr>
            <w:tcW w:w="1701" w:type="dxa"/>
          </w:tcPr>
          <w:p w14:paraId="3A8591E1" w14:textId="77777777" w:rsidR="009F183C" w:rsidRDefault="009F183C">
            <w:pPr>
              <w:spacing w:before="120" w:after="240"/>
              <w:rPr>
                <w:sz w:val="20"/>
              </w:rPr>
            </w:pPr>
          </w:p>
        </w:tc>
        <w:tc>
          <w:tcPr>
            <w:tcW w:w="1701" w:type="dxa"/>
          </w:tcPr>
          <w:p w14:paraId="313A48C5" w14:textId="77777777" w:rsidR="009F183C" w:rsidRDefault="009F183C">
            <w:pPr>
              <w:spacing w:before="120" w:after="240"/>
              <w:rPr>
                <w:sz w:val="20"/>
              </w:rPr>
            </w:pPr>
          </w:p>
        </w:tc>
        <w:tc>
          <w:tcPr>
            <w:tcW w:w="1276" w:type="dxa"/>
          </w:tcPr>
          <w:p w14:paraId="240673DA" w14:textId="77777777" w:rsidR="009F183C" w:rsidRDefault="009F183C">
            <w:pPr>
              <w:spacing w:before="120" w:after="240"/>
              <w:rPr>
                <w:sz w:val="20"/>
              </w:rPr>
            </w:pPr>
          </w:p>
        </w:tc>
      </w:tr>
      <w:tr w:rsidR="009F183C" w14:paraId="3B5AD917" w14:textId="77777777">
        <w:tc>
          <w:tcPr>
            <w:tcW w:w="3652" w:type="dxa"/>
          </w:tcPr>
          <w:p w14:paraId="11BAB012" w14:textId="77777777" w:rsidR="009F183C" w:rsidRDefault="00757AA1">
            <w:pPr>
              <w:spacing w:before="120" w:after="240"/>
              <w:rPr>
                <w:sz w:val="20"/>
              </w:rPr>
            </w:pPr>
            <w:r>
              <w:rPr>
                <w:sz w:val="20"/>
              </w:rPr>
              <w:t>Riscossione</w:t>
            </w:r>
          </w:p>
        </w:tc>
        <w:tc>
          <w:tcPr>
            <w:tcW w:w="1701" w:type="dxa"/>
          </w:tcPr>
          <w:p w14:paraId="42015BB6" w14:textId="77777777" w:rsidR="009F183C" w:rsidRDefault="009F183C">
            <w:pPr>
              <w:spacing w:before="120" w:after="240"/>
              <w:rPr>
                <w:sz w:val="20"/>
              </w:rPr>
            </w:pPr>
          </w:p>
        </w:tc>
        <w:tc>
          <w:tcPr>
            <w:tcW w:w="1701" w:type="dxa"/>
          </w:tcPr>
          <w:p w14:paraId="49281F4C" w14:textId="77777777" w:rsidR="009F183C" w:rsidRDefault="009F183C">
            <w:pPr>
              <w:spacing w:before="120" w:after="240"/>
              <w:rPr>
                <w:sz w:val="20"/>
              </w:rPr>
            </w:pPr>
          </w:p>
        </w:tc>
        <w:tc>
          <w:tcPr>
            <w:tcW w:w="1276" w:type="dxa"/>
          </w:tcPr>
          <w:p w14:paraId="234579B5" w14:textId="77777777" w:rsidR="009F183C" w:rsidRDefault="009F183C">
            <w:pPr>
              <w:spacing w:before="120" w:after="240"/>
              <w:rPr>
                <w:sz w:val="20"/>
              </w:rPr>
            </w:pPr>
          </w:p>
        </w:tc>
      </w:tr>
    </w:tbl>
    <w:p w14:paraId="27471402" w14:textId="77777777" w:rsidR="009F183C" w:rsidRDefault="00757AA1">
      <w:pPr>
        <w:spacing w:before="240"/>
        <w:rPr>
          <w:rFonts w:cs="Arial"/>
          <w:sz w:val="20"/>
        </w:rPr>
      </w:pPr>
      <w:r>
        <w:rPr>
          <w:rFonts w:cs="Arial"/>
          <w:sz w:val="20"/>
        </w:rPr>
        <w:t>La destinazione percentuale del contributo al finanziamento della spesa del titolo 1 è stata la seguente:</w:t>
      </w:r>
    </w:p>
    <w:bookmarkStart w:id="52" w:name="_MON_1486994402"/>
    <w:bookmarkEnd w:id="52"/>
    <w:p w14:paraId="6CD76398" w14:textId="75C494E8" w:rsidR="009F183C" w:rsidRDefault="00E455CA">
      <w:pPr>
        <w:spacing w:before="240"/>
        <w:rPr>
          <w:rFonts w:cs="Arial"/>
          <w:sz w:val="20"/>
        </w:rPr>
      </w:pPr>
      <w:r>
        <w:rPr>
          <w:rFonts w:cs="Arial"/>
          <w:sz w:val="20"/>
        </w:rPr>
        <w:object w:dxaOrig="6835" w:dyaOrig="2670" w14:anchorId="0DA0FAB9">
          <v:shape id="_x0000_i1049" type="#_x0000_t75" style="width:345.75pt;height:137.25pt" o:ole="">
            <v:imagedata r:id="rId59" o:title=""/>
          </v:shape>
          <o:OLEObject Type="Embed" ProgID="Excel.Sheet.12" ShapeID="_x0000_i1049" DrawAspect="Content" ObjectID="_1780988560" r:id="rId60"/>
        </w:object>
      </w:r>
    </w:p>
    <w:p w14:paraId="1E14BA61" w14:textId="77777777" w:rsidR="009F183C" w:rsidRDefault="00757AA1">
      <w:pPr>
        <w:pStyle w:val="NormaleWeb"/>
        <w:jc w:val="both"/>
        <w:rPr>
          <w:rFonts w:ascii="Arial" w:hAnsi="Arial" w:cs="Arial"/>
          <w:i/>
          <w:color w:val="1F497D" w:themeColor="text2"/>
          <w:sz w:val="20"/>
          <w:szCs w:val="20"/>
        </w:rPr>
      </w:pPr>
      <w:r>
        <w:rPr>
          <w:rFonts w:ascii="Arial" w:hAnsi="Arial" w:cs="Arial"/>
          <w:i/>
          <w:color w:val="1F497D" w:themeColor="text2"/>
          <w:sz w:val="20"/>
          <w:szCs w:val="20"/>
        </w:rPr>
        <w:t>Disciplina per il 2017</w:t>
      </w:r>
    </w:p>
    <w:p w14:paraId="1C3ECDF8" w14:textId="77777777" w:rsidR="009F183C" w:rsidRDefault="00757AA1">
      <w:pPr>
        <w:pStyle w:val="NormaleWeb"/>
        <w:jc w:val="both"/>
        <w:rPr>
          <w:rFonts w:ascii="Arial" w:hAnsi="Arial" w:cs="Arial"/>
          <w:i/>
          <w:color w:val="1F497D" w:themeColor="text2"/>
          <w:sz w:val="20"/>
          <w:szCs w:val="20"/>
        </w:rPr>
      </w:pPr>
      <w:r>
        <w:rPr>
          <w:rFonts w:ascii="Arial" w:hAnsi="Arial" w:cs="Arial"/>
          <w:i/>
          <w:color w:val="1F497D" w:themeColor="text2"/>
          <w:sz w:val="20"/>
          <w:szCs w:val="20"/>
        </w:rPr>
        <w:t>Limitatamente all’esercizio 2017 l’utilizzo dei proventi da permessi di costruire è disciplinato dall’articolo 1, comma 737, della legge 208/2015 che consente che i proventi delle concessioni edilizie e delle relative sanzioni possano essere utilizzati fino al 100% del loro ammontare per spese di manutenzione ordinaria del verde, delle strade e del patrimonio comunale, nonché per la progettazione delle opere pubbliche, con l’obbligo di dimostrare nel prospetto specifico il perseguimento dell’equilibrio economico-finanziario previsto dall’articolo 162, comma 6 del Tuel mediante l’utilizzo di entrate di parte capitale (Titolo IV) avvalendosi della specifica eccezione di legge.</w:t>
      </w:r>
    </w:p>
    <w:p w14:paraId="30705572" w14:textId="77777777" w:rsidR="009F183C" w:rsidRDefault="009F183C">
      <w:pPr>
        <w:rPr>
          <w:sz w:val="20"/>
        </w:rPr>
      </w:pPr>
    </w:p>
    <w:p w14:paraId="608AD2A6" w14:textId="77777777" w:rsidR="009F183C" w:rsidRDefault="009F183C">
      <w:pPr>
        <w:rPr>
          <w:sz w:val="20"/>
        </w:rPr>
      </w:pPr>
    </w:p>
    <w:p w14:paraId="46B31B5C" w14:textId="77777777" w:rsidR="009F183C" w:rsidRDefault="00757AA1">
      <w:pPr>
        <w:rPr>
          <w:sz w:val="20"/>
        </w:rPr>
      </w:pPr>
      <w:r>
        <w:rPr>
          <w:sz w:val="20"/>
        </w:rPr>
        <w:t xml:space="preserve">La movimentazione delle somme rimaste a residuo per contributo per permesso di costruire è stata </w:t>
      </w:r>
      <w:r>
        <w:rPr>
          <w:sz w:val="20"/>
        </w:rPr>
        <w:lastRenderedPageBreak/>
        <w:t>la seguente:</w:t>
      </w:r>
    </w:p>
    <w:p w14:paraId="602D6692" w14:textId="77777777" w:rsidR="009F183C" w:rsidRDefault="00757AA1">
      <w:pPr>
        <w:rPr>
          <w:sz w:val="20"/>
        </w:rPr>
      </w:pPr>
      <w:r>
        <w:rPr>
          <w:sz w:val="20"/>
        </w:rPr>
        <w:t xml:space="preserve"> </w:t>
      </w:r>
      <w:bookmarkStart w:id="53" w:name="_MON_1486994426"/>
      <w:bookmarkEnd w:id="53"/>
      <w:r>
        <w:rPr>
          <w:sz w:val="20"/>
        </w:rPr>
        <w:object w:dxaOrig="8525" w:dyaOrig="2629" w14:anchorId="73BF3769">
          <v:shape id="_x0000_i1050" type="#_x0000_t75" style="width:425.25pt;height:129.75pt" o:ole="">
            <v:imagedata r:id="rId61" o:title=""/>
          </v:shape>
          <o:OLEObject Type="Embed" ProgID="Excel.Sheet.12" ShapeID="_x0000_i1050" DrawAspect="Content" ObjectID="_1780988561" r:id="rId62"/>
        </w:object>
      </w:r>
    </w:p>
    <w:p w14:paraId="48C4DA30" w14:textId="77777777" w:rsidR="00B215DB" w:rsidRDefault="00B215DB" w:rsidP="00B215DB">
      <w:pPr>
        <w:rPr>
          <w:sz w:val="20"/>
        </w:rPr>
      </w:pPr>
      <w:bookmarkStart w:id="54" w:name="_Toc379377463"/>
      <w:r>
        <w:rPr>
          <w:sz w:val="20"/>
        </w:rPr>
        <w:t>In merito si osserva ……………</w:t>
      </w:r>
    </w:p>
    <w:p w14:paraId="42F33389" w14:textId="77777777" w:rsidR="009F183C" w:rsidRDefault="009F183C">
      <w:pPr>
        <w:numPr>
          <w:ilvl w:val="12"/>
          <w:numId w:val="0"/>
        </w:numPr>
        <w:rPr>
          <w:rFonts w:cs="Arial"/>
          <w:b/>
          <w:sz w:val="24"/>
          <w:szCs w:val="24"/>
          <w:u w:val="single"/>
        </w:rPr>
      </w:pPr>
    </w:p>
    <w:p w14:paraId="070CEF48" w14:textId="77777777" w:rsidR="009F183C" w:rsidRDefault="00757AA1">
      <w:pPr>
        <w:numPr>
          <w:ilvl w:val="12"/>
          <w:numId w:val="0"/>
        </w:numPr>
        <w:rPr>
          <w:rFonts w:cs="Arial"/>
          <w:b/>
          <w:sz w:val="24"/>
          <w:szCs w:val="24"/>
          <w:u w:val="single"/>
        </w:rPr>
      </w:pPr>
      <w:r>
        <w:rPr>
          <w:rFonts w:cs="Arial"/>
          <w:b/>
          <w:sz w:val="24"/>
          <w:szCs w:val="24"/>
          <w:u w:val="single"/>
        </w:rPr>
        <w:t>Sanzioni amministrative pecuniarie per violazione codice della strada</w:t>
      </w:r>
      <w:bookmarkEnd w:id="54"/>
    </w:p>
    <w:p w14:paraId="16444ED6" w14:textId="77777777" w:rsidR="009F183C" w:rsidRDefault="00757AA1">
      <w:pPr>
        <w:rPr>
          <w:sz w:val="20"/>
        </w:rPr>
      </w:pPr>
      <w:r>
        <w:rPr>
          <w:sz w:val="20"/>
        </w:rPr>
        <w:t>(artt. 142 e 208 D.Lgs. 285/92)</w:t>
      </w:r>
    </w:p>
    <w:p w14:paraId="55912BA0" w14:textId="77777777" w:rsidR="009F183C" w:rsidRDefault="00757AA1">
      <w:pPr>
        <w:spacing w:before="120" w:after="240"/>
        <w:rPr>
          <w:rFonts w:cs="Arial"/>
          <w:sz w:val="20"/>
        </w:rPr>
      </w:pPr>
      <w:r>
        <w:rPr>
          <w:rFonts w:cs="Arial"/>
          <w:sz w:val="20"/>
        </w:rPr>
        <w:t>Le somme accertate negli ultimi tre esercizi hanno subito la seguente evoluzione:</w:t>
      </w:r>
    </w:p>
    <w:bookmarkStart w:id="55" w:name="_MON_1550308093"/>
    <w:bookmarkEnd w:id="55"/>
    <w:p w14:paraId="3D4388B2" w14:textId="1C3D2BFA" w:rsidR="009F183C" w:rsidRDefault="00574F77">
      <w:pPr>
        <w:spacing w:before="120" w:after="240"/>
        <w:rPr>
          <w:rFonts w:cs="Arial"/>
          <w:sz w:val="20"/>
        </w:rPr>
      </w:pPr>
      <w:r>
        <w:rPr>
          <w:rFonts w:cs="Arial"/>
          <w:sz w:val="20"/>
        </w:rPr>
        <w:object w:dxaOrig="8892" w:dyaOrig="1932" w14:anchorId="09BDBDCB">
          <v:shape id="_x0000_i1051" type="#_x0000_t75" style="width:438.75pt;height:93.75pt" o:ole="">
            <v:imagedata r:id="rId63" o:title=""/>
          </v:shape>
          <o:OLEObject Type="Embed" ProgID="Excel.Sheet.12" ShapeID="_x0000_i1051" DrawAspect="Content" ObjectID="_1780988562" r:id="rId64"/>
        </w:object>
      </w:r>
    </w:p>
    <w:p w14:paraId="62DFD9E5" w14:textId="77777777" w:rsidR="009F183C" w:rsidRDefault="00757AA1">
      <w:pPr>
        <w:spacing w:before="120" w:after="240"/>
        <w:rPr>
          <w:rFonts w:cs="Arial"/>
          <w:sz w:val="20"/>
        </w:rPr>
      </w:pPr>
      <w:bookmarkStart w:id="56" w:name="_MON_1550308093"/>
      <w:bookmarkEnd w:id="56"/>
      <w:r>
        <w:rPr>
          <w:rFonts w:cs="Arial"/>
          <w:sz w:val="20"/>
        </w:rPr>
        <w:t>La parte vincolata del (50%) risulta destinata come segue:</w:t>
      </w:r>
    </w:p>
    <w:bookmarkStart w:id="57" w:name="_MON_1519313886"/>
    <w:bookmarkEnd w:id="57"/>
    <w:p w14:paraId="40B7201A" w14:textId="77777777" w:rsidR="009F183C" w:rsidRDefault="00757AA1">
      <w:pPr>
        <w:spacing w:before="360"/>
        <w:rPr>
          <w:rFonts w:cs="Arial"/>
          <w:sz w:val="20"/>
        </w:rPr>
      </w:pPr>
      <w:r>
        <w:rPr>
          <w:rFonts w:cs="Arial"/>
          <w:sz w:val="20"/>
        </w:rPr>
        <w:object w:dxaOrig="9045" w:dyaOrig="2940" w14:anchorId="4F26D7F5">
          <v:shape id="_x0000_i1052" type="#_x0000_t75" style="width:453.75pt;height:2in" o:ole="">
            <v:imagedata r:id="rId65" o:title=""/>
          </v:shape>
          <o:OLEObject Type="Embed" ProgID="Excel.Sheet.12" ShapeID="_x0000_i1052" DrawAspect="Content" ObjectID="_1780988563" r:id="rId66"/>
        </w:object>
      </w:r>
    </w:p>
    <w:p w14:paraId="4C574D3A" w14:textId="77777777" w:rsidR="009F183C" w:rsidRDefault="009F183C">
      <w:pPr>
        <w:rPr>
          <w:sz w:val="20"/>
        </w:rPr>
      </w:pPr>
    </w:p>
    <w:p w14:paraId="4C3A845C" w14:textId="77777777" w:rsidR="009F183C" w:rsidRDefault="00757AA1">
      <w:pPr>
        <w:rPr>
          <w:sz w:val="20"/>
        </w:rPr>
      </w:pPr>
      <w:r>
        <w:rPr>
          <w:sz w:val="20"/>
        </w:rPr>
        <w:t>La movimentazione delle somme rimaste a residuo è stata la seguente:</w:t>
      </w:r>
    </w:p>
    <w:bookmarkStart w:id="58" w:name="_MON_1580462523"/>
    <w:bookmarkEnd w:id="58"/>
    <w:p w14:paraId="7BF49289" w14:textId="77777777" w:rsidR="009F183C" w:rsidRDefault="00757AA1">
      <w:pPr>
        <w:rPr>
          <w:sz w:val="20"/>
        </w:rPr>
      </w:pPr>
      <w:r>
        <w:rPr>
          <w:sz w:val="20"/>
        </w:rPr>
        <w:object w:dxaOrig="8525" w:dyaOrig="2629" w14:anchorId="2037A939">
          <v:shape id="_x0000_i1053" type="#_x0000_t75" style="width:425.25pt;height:129.75pt" o:ole="">
            <v:imagedata r:id="rId67" o:title=""/>
          </v:shape>
          <o:OLEObject Type="Embed" ProgID="Excel.Sheet.12" ShapeID="_x0000_i1053" DrawAspect="Content" ObjectID="_1780988564" r:id="rId68"/>
        </w:object>
      </w:r>
    </w:p>
    <w:p w14:paraId="70A69F28" w14:textId="77777777" w:rsidR="009F183C" w:rsidRDefault="009F183C">
      <w:pPr>
        <w:rPr>
          <w:sz w:val="20"/>
        </w:rPr>
      </w:pPr>
      <w:bookmarkStart w:id="59" w:name="_MON_1486996463"/>
      <w:bookmarkEnd w:id="59"/>
    </w:p>
    <w:p w14:paraId="4334B871" w14:textId="29DD73AA" w:rsidR="009F183C" w:rsidRDefault="00757AA1">
      <w:pPr>
        <w:rPr>
          <w:rStyle w:val="Collegamentoipertestuale"/>
          <w:sz w:val="20"/>
        </w:rPr>
      </w:pPr>
      <w:bookmarkStart w:id="60" w:name="_Toc379377464"/>
      <w:r>
        <w:rPr>
          <w:sz w:val="20"/>
        </w:rPr>
        <w:t xml:space="preserve">Rilevato che nel rispetto del comma 12 bis dell’art.142 del </w:t>
      </w:r>
      <w:r w:rsidR="00C0640C">
        <w:rPr>
          <w:sz w:val="20"/>
        </w:rPr>
        <w:t>d.lgs.</w:t>
      </w:r>
      <w:r>
        <w:rPr>
          <w:sz w:val="20"/>
        </w:rPr>
        <w:t xml:space="preserve"> 285/1992, i proventi delle sanzioni derivanti da violazioni al limite massimo di velocità, sono stati attribuiti in misura pari al 50% all’ente proprietario della strada in cui è stato effettuato l’accertamento.</w:t>
      </w:r>
      <w:r>
        <w:rPr>
          <w:sz w:val="20"/>
        </w:rPr>
        <w:fldChar w:fldCharType="begin"/>
      </w:r>
      <w:r>
        <w:rPr>
          <w:sz w:val="20"/>
        </w:rPr>
        <w:instrText xml:space="preserve"> HYPERLINK "http://www.comune.novara.it/comune/bilanci/2014/delibereGC/gcSanzioniCdS2014.pdf" \l "page=2" \o "Pagina 2" </w:instrText>
      </w:r>
      <w:r>
        <w:rPr>
          <w:sz w:val="20"/>
        </w:rPr>
      </w:r>
      <w:r>
        <w:rPr>
          <w:sz w:val="20"/>
        </w:rPr>
        <w:fldChar w:fldCharType="separate"/>
      </w:r>
    </w:p>
    <w:p w14:paraId="5894AB14" w14:textId="77777777" w:rsidR="00B215DB" w:rsidRDefault="00757AA1">
      <w:pPr>
        <w:rPr>
          <w:sz w:val="20"/>
        </w:rPr>
      </w:pPr>
      <w:r>
        <w:rPr>
          <w:sz w:val="20"/>
        </w:rPr>
        <w:fldChar w:fldCharType="end"/>
      </w:r>
      <w:bookmarkStart w:id="61" w:name="1"/>
      <w:bookmarkEnd w:id="61"/>
    </w:p>
    <w:p w14:paraId="5A740AE9" w14:textId="77777777" w:rsidR="009F183C" w:rsidRDefault="00757AA1">
      <w:pPr>
        <w:rPr>
          <w:rFonts w:cs="Arial"/>
          <w:i/>
          <w:color w:val="1F497D" w:themeColor="text2"/>
          <w:sz w:val="20"/>
        </w:rPr>
      </w:pPr>
      <w:r>
        <w:rPr>
          <w:rFonts w:cs="Arial"/>
          <w:i/>
          <w:color w:val="1F497D" w:themeColor="text2"/>
          <w:sz w:val="20"/>
        </w:rPr>
        <w:t xml:space="preserve">L’art. 208 del D. Lgs. 285/1992, stabilisce: </w:t>
      </w:r>
    </w:p>
    <w:p w14:paraId="30D37505" w14:textId="77777777" w:rsidR="009F183C" w:rsidRDefault="00757AA1">
      <w:pPr>
        <w:rPr>
          <w:rFonts w:cs="Arial"/>
          <w:i/>
          <w:color w:val="1F497D" w:themeColor="text2"/>
          <w:sz w:val="20"/>
        </w:rPr>
      </w:pPr>
      <w:r>
        <w:rPr>
          <w:rFonts w:cs="Arial"/>
          <w:i/>
          <w:color w:val="1F497D" w:themeColor="text2"/>
          <w:sz w:val="20"/>
        </w:rPr>
        <w:t xml:space="preserve">-al comma 1 che i proventi delle sanzioni amministrative pecuniarie per le violazioni previste dal citato D. Lgs. sono devoluti alle regioni, province e comuni, quando le violazioni siano accertate da funzionari, ufficiali ed agenti, rispettivamente, delle regioni, delle province e dei comuni; </w:t>
      </w:r>
    </w:p>
    <w:p w14:paraId="3B3D1BA1" w14:textId="77777777" w:rsidR="009F183C" w:rsidRDefault="00757AA1">
      <w:pPr>
        <w:rPr>
          <w:rFonts w:cs="Arial"/>
          <w:i/>
          <w:color w:val="1F497D" w:themeColor="text2"/>
          <w:sz w:val="20"/>
        </w:rPr>
      </w:pPr>
      <w:r>
        <w:rPr>
          <w:rFonts w:cs="Arial"/>
          <w:i/>
          <w:color w:val="1F497D" w:themeColor="text2"/>
          <w:sz w:val="20"/>
        </w:rPr>
        <w:t xml:space="preserve">-al comma 4 che una quota pari al 50% dei proventi spettanti ai Comuni è destinata: </w:t>
      </w:r>
    </w:p>
    <w:p w14:paraId="3259CF06" w14:textId="0D9804FC" w:rsidR="009F183C" w:rsidRDefault="00C0640C">
      <w:pPr>
        <w:rPr>
          <w:rFonts w:cs="Arial"/>
          <w:i/>
          <w:color w:val="1F497D" w:themeColor="text2"/>
          <w:sz w:val="20"/>
        </w:rPr>
      </w:pPr>
      <w:r>
        <w:rPr>
          <w:rFonts w:cs="Arial"/>
          <w:i/>
          <w:color w:val="1F497D" w:themeColor="text2"/>
          <w:sz w:val="20"/>
        </w:rPr>
        <w:t>a) in</w:t>
      </w:r>
      <w:r w:rsidR="00757AA1">
        <w:rPr>
          <w:rFonts w:cs="Arial"/>
          <w:i/>
          <w:color w:val="1F497D" w:themeColor="text2"/>
          <w:sz w:val="20"/>
        </w:rPr>
        <w:t xml:space="preserve"> misura non inferiore a un quarto della quota citata, cioè non inferiore al 12,5% del totale, ad interventi di sostituzione, di ammodernamento, di potenziamento, di messa a norma e di manutenzione della segnaletica delle strade di proprietà dell'ente; </w:t>
      </w:r>
    </w:p>
    <w:p w14:paraId="3A67E35C" w14:textId="544EF6CA" w:rsidR="009F183C" w:rsidRDefault="00C0640C">
      <w:pPr>
        <w:rPr>
          <w:rFonts w:cs="Arial"/>
          <w:i/>
          <w:color w:val="1F497D" w:themeColor="text2"/>
          <w:sz w:val="20"/>
        </w:rPr>
      </w:pPr>
      <w:r>
        <w:rPr>
          <w:rFonts w:cs="Arial"/>
          <w:i/>
          <w:color w:val="1F497D" w:themeColor="text2"/>
          <w:sz w:val="20"/>
        </w:rPr>
        <w:t>b) in</w:t>
      </w:r>
      <w:r w:rsidR="00757AA1">
        <w:rPr>
          <w:rFonts w:cs="Arial"/>
          <w:i/>
          <w:color w:val="1F497D" w:themeColor="text2"/>
          <w:sz w:val="20"/>
        </w:rPr>
        <w:t xml:space="preserve"> misura non inferiore a un quarto della quota citata, cioè non inferiore al 12,5% del totale, al potenziamento delle attività di controllo e di accertamento delle violazioni in materia di circolazione stradale, anche attraverso l'acquisto di automezzi, mezzi e attrezzature dei Corpi e dei servizi di polizia provinciale e di polizia municipale di cui alle lettere d-bis) ed e) del comma 1 dell'articolo 12; </w:t>
      </w:r>
    </w:p>
    <w:p w14:paraId="3E8A1385" w14:textId="77777777" w:rsidR="009F183C" w:rsidRDefault="00757AA1">
      <w:pPr>
        <w:rPr>
          <w:rFonts w:cs="Arial"/>
          <w:i/>
          <w:color w:val="1F497D" w:themeColor="text2"/>
          <w:sz w:val="20"/>
        </w:rPr>
      </w:pPr>
      <w:r>
        <w:rPr>
          <w:rFonts w:cs="Arial"/>
          <w:i/>
          <w:color w:val="1F497D" w:themeColor="text2"/>
          <w:sz w:val="20"/>
        </w:rPr>
        <w:t xml:space="preserve">c)ad altre finalità, in misura non superiore al 25% del totale, connesse a miglioramento della sicurezza stradale, </w:t>
      </w:r>
    </w:p>
    <w:p w14:paraId="521B99A6" w14:textId="77777777" w:rsidR="009F183C" w:rsidRDefault="00757AA1">
      <w:pPr>
        <w:rPr>
          <w:rFonts w:cs="Arial"/>
          <w:i/>
          <w:color w:val="1F497D" w:themeColor="text2"/>
          <w:sz w:val="20"/>
        </w:rPr>
      </w:pPr>
      <w:r>
        <w:rPr>
          <w:rFonts w:cs="Arial"/>
          <w:i/>
          <w:color w:val="1F497D" w:themeColor="text2"/>
          <w:sz w:val="20"/>
        </w:rPr>
        <w:t xml:space="preserve">-al comma 5 che i Comuni (indipendentemente dalla popolazione ivi residente) determinano annualmente, in via previsionale, con delibera della Giunta, le quote da destinare alle predette finalità, ferma restando la facoltà del Comune di destinare, in tutto o in parte, la restante quota del 50 per cento dei proventi alle finalità di cui al citato comma 4; </w:t>
      </w:r>
    </w:p>
    <w:p w14:paraId="07E26853" w14:textId="77777777" w:rsidR="009F183C" w:rsidRDefault="00757AA1">
      <w:pPr>
        <w:rPr>
          <w:rFonts w:cs="Arial"/>
          <w:i/>
          <w:color w:val="1F497D" w:themeColor="text2"/>
          <w:sz w:val="20"/>
        </w:rPr>
      </w:pPr>
      <w:r>
        <w:rPr>
          <w:rFonts w:cs="Arial"/>
          <w:i/>
          <w:color w:val="1F497D" w:themeColor="text2"/>
          <w:sz w:val="20"/>
        </w:rPr>
        <w:t xml:space="preserve">-al comma 5 bis che la quota dei proventi delle sanzioni amministrative pecuniarie citata nella lettera c del comma 4 (che non può essere superiore al 25% del totale) può essere anche destinata ad assunzioni stagionali a progetto nelle forme di contratti a tempo determinato ed a forme flessibili di lavoro, al finanziamento di progetti di potenziamento dei servizi di controllo finalizzati alla sicurezza urbana e alla sicurezza stradale, al finanziamento di progetti di potenziamento dei servizi notturni e di prevenzione delle violazioni di cui agli articoli 186, 186-bis e 187,all’acquisto di automezzi, mezzi e attrezzature dei Corpi e dei servizi di polizia provinciale e di polizia municipale di cui alle lettere d-bis) ed e) del comma 1 dell'articolo 12, al potenziamento dei servizi di controllo finalizzati alla sicurezza urbana ed alla sicurezza stradale. </w:t>
      </w:r>
    </w:p>
    <w:p w14:paraId="13C8E4AA" w14:textId="77777777" w:rsidR="009F183C" w:rsidRDefault="00757AA1">
      <w:pPr>
        <w:rPr>
          <w:rFonts w:cs="Arial"/>
          <w:i/>
          <w:color w:val="1F497D" w:themeColor="text2"/>
          <w:sz w:val="20"/>
        </w:rPr>
      </w:pPr>
      <w:r>
        <w:rPr>
          <w:rFonts w:cs="Arial"/>
          <w:i/>
          <w:color w:val="1F497D" w:themeColor="text2"/>
          <w:sz w:val="20"/>
        </w:rPr>
        <w:t xml:space="preserve">Occorre attestare che i proventi delle sanzioni derivanti dall'accertamento delle violazioni dei limiti massimi di velocità, attraverso l'impiego di apparecchi o di sistemi di rilevamento della velocità ovvero attraverso l'utilizzazione di dispositivi o di mezzi tecnici di controllo a distanza delle violazioni ai sensi dell'articolo 4 del DL 121/2002 e smi sono attribuiti, in misura pari al 50% ciascuno, all'ente proprietario della strada su cui è stato effettuato l'accertamento o agli enti che esercitano le relative funzioni ai sensi dell'articolo 39 del DPR 381/1974 e all'ente da cui dipende l'organo accertatore. La disposizione non si applica alle strade in concessione. </w:t>
      </w:r>
    </w:p>
    <w:p w14:paraId="1CF8FD31" w14:textId="7C940817" w:rsidR="009F183C" w:rsidRDefault="009F183C">
      <w:pPr>
        <w:rPr>
          <w:rFonts w:cs="Arial"/>
          <w:i/>
          <w:color w:val="1F497D" w:themeColor="text2"/>
          <w:sz w:val="20"/>
        </w:rPr>
      </w:pPr>
    </w:p>
    <w:p w14:paraId="56074CEB" w14:textId="656C86F2" w:rsidR="00C247DA" w:rsidRDefault="00C247DA">
      <w:pPr>
        <w:rPr>
          <w:rFonts w:cs="Arial"/>
          <w:i/>
          <w:color w:val="1F497D" w:themeColor="text2"/>
          <w:sz w:val="20"/>
        </w:rPr>
      </w:pPr>
    </w:p>
    <w:p w14:paraId="0F81E575" w14:textId="77777777" w:rsidR="00C247DA" w:rsidRDefault="00C247DA">
      <w:pPr>
        <w:rPr>
          <w:rFonts w:cs="Arial"/>
          <w:i/>
          <w:color w:val="1F497D" w:themeColor="text2"/>
          <w:sz w:val="20"/>
        </w:rPr>
      </w:pPr>
    </w:p>
    <w:p w14:paraId="1715F375" w14:textId="77777777" w:rsidR="009F183C" w:rsidRDefault="00757AA1">
      <w:pPr>
        <w:numPr>
          <w:ilvl w:val="12"/>
          <w:numId w:val="0"/>
        </w:numPr>
        <w:jc w:val="left"/>
        <w:rPr>
          <w:rFonts w:cs="Arial"/>
          <w:b/>
          <w:sz w:val="24"/>
          <w:szCs w:val="24"/>
          <w:u w:val="single"/>
        </w:rPr>
      </w:pPr>
      <w:r>
        <w:rPr>
          <w:rFonts w:cs="Arial"/>
          <w:b/>
          <w:sz w:val="24"/>
          <w:szCs w:val="24"/>
          <w:u w:val="single"/>
        </w:rPr>
        <w:t>Proventi dei beni dell’ente: fitti attivi e canoni patrimoniali</w:t>
      </w:r>
    </w:p>
    <w:p w14:paraId="40297AE3" w14:textId="77777777" w:rsidR="009F183C" w:rsidRDefault="00757AA1">
      <w:pPr>
        <w:numPr>
          <w:ilvl w:val="12"/>
          <w:numId w:val="0"/>
        </w:numPr>
        <w:spacing w:before="120"/>
        <w:jc w:val="left"/>
        <w:rPr>
          <w:rFonts w:cs="Arial"/>
          <w:sz w:val="20"/>
        </w:rPr>
      </w:pPr>
      <w:r>
        <w:rPr>
          <w:rFonts w:cs="Arial"/>
          <w:sz w:val="20"/>
        </w:rPr>
        <w:t xml:space="preserve">Le entrate accertate nell’anno 2017 sono </w:t>
      </w:r>
      <w:r>
        <w:rPr>
          <w:rFonts w:cs="Arial"/>
          <w:b/>
          <w:sz w:val="20"/>
        </w:rPr>
        <w:t>aumentate / diminuite</w:t>
      </w:r>
      <w:r>
        <w:rPr>
          <w:rFonts w:cs="Arial"/>
          <w:i/>
          <w:sz w:val="20"/>
        </w:rPr>
        <w:t xml:space="preserve"> </w:t>
      </w:r>
      <w:r>
        <w:rPr>
          <w:rFonts w:cs="Arial"/>
          <w:sz w:val="20"/>
        </w:rPr>
        <w:t>di Euro ……. rispetto a quelle dell’esercizio 2016 per i seguenti motivi: ……………………</w:t>
      </w:r>
    </w:p>
    <w:p w14:paraId="125C36D3" w14:textId="77777777" w:rsidR="009F183C" w:rsidRDefault="00757AA1">
      <w:pPr>
        <w:jc w:val="left"/>
        <w:rPr>
          <w:sz w:val="20"/>
        </w:rPr>
      </w:pPr>
      <w:r>
        <w:rPr>
          <w:sz w:val="20"/>
        </w:rPr>
        <w:t>La movimentazione delle somme rimaste a residuo per fitti attivi e canoni patrimoniali è stata l</w:t>
      </w:r>
      <w:r w:rsidR="00B215DB">
        <w:rPr>
          <w:sz w:val="20"/>
        </w:rPr>
        <w:t>a</w:t>
      </w:r>
      <w:r>
        <w:rPr>
          <w:sz w:val="20"/>
        </w:rPr>
        <w:t xml:space="preserve"> seguente:</w:t>
      </w:r>
    </w:p>
    <w:bookmarkStart w:id="62" w:name="_MON_1580462630"/>
    <w:bookmarkEnd w:id="62"/>
    <w:p w14:paraId="76B006C1" w14:textId="77777777" w:rsidR="009F183C" w:rsidRDefault="00757AA1">
      <w:pPr>
        <w:jc w:val="left"/>
        <w:rPr>
          <w:sz w:val="20"/>
        </w:rPr>
      </w:pPr>
      <w:r>
        <w:rPr>
          <w:sz w:val="20"/>
        </w:rPr>
        <w:object w:dxaOrig="8525" w:dyaOrig="2629" w14:anchorId="1263B3AC">
          <v:shape id="_x0000_i1054" type="#_x0000_t75" style="width:425.25pt;height:129.75pt" o:ole="">
            <v:imagedata r:id="rId69" o:title=""/>
          </v:shape>
          <o:OLEObject Type="Embed" ProgID="Excel.Sheet.12" ShapeID="_x0000_i1054" DrawAspect="Content" ObjectID="_1780988565" r:id="rId70"/>
        </w:object>
      </w:r>
    </w:p>
    <w:p w14:paraId="5A000C9A" w14:textId="77777777" w:rsidR="00B215DB" w:rsidRDefault="00B215DB" w:rsidP="00B215DB">
      <w:pPr>
        <w:rPr>
          <w:sz w:val="20"/>
        </w:rPr>
      </w:pPr>
      <w:bookmarkStart w:id="63" w:name="_Toc379377465"/>
      <w:bookmarkEnd w:id="60"/>
      <w:r>
        <w:rPr>
          <w:sz w:val="20"/>
        </w:rPr>
        <w:t>In merito si osserva ……………</w:t>
      </w:r>
    </w:p>
    <w:p w14:paraId="4EF05EC3" w14:textId="77777777" w:rsidR="00B215DB" w:rsidRDefault="00B215DB">
      <w:pPr>
        <w:rPr>
          <w:rFonts w:cs="Arial"/>
          <w:b/>
          <w:sz w:val="24"/>
          <w:szCs w:val="24"/>
          <w:u w:val="single"/>
        </w:rPr>
      </w:pPr>
    </w:p>
    <w:p w14:paraId="7670517A" w14:textId="77777777" w:rsidR="009F183C" w:rsidRDefault="00757AA1">
      <w:pPr>
        <w:rPr>
          <w:rFonts w:cs="Arial"/>
          <w:b/>
          <w:sz w:val="24"/>
          <w:szCs w:val="24"/>
          <w:u w:val="single"/>
        </w:rPr>
      </w:pPr>
      <w:r>
        <w:rPr>
          <w:rFonts w:cs="Arial"/>
          <w:b/>
          <w:sz w:val="24"/>
          <w:szCs w:val="24"/>
          <w:u w:val="single"/>
        </w:rPr>
        <w:t>ANALISI DEI SERVIZI A DOMANDA INDIVIDUALE</w:t>
      </w:r>
    </w:p>
    <w:p w14:paraId="4DF2B213" w14:textId="77777777" w:rsidR="009F183C" w:rsidRDefault="00757AA1">
      <w:pPr>
        <w:rPr>
          <w:sz w:val="20"/>
        </w:rPr>
      </w:pPr>
      <w:r>
        <w:rPr>
          <w:sz w:val="20"/>
        </w:rPr>
        <w:t>Si attesta che l’ente non essendo in dissesto finanziario, né strutturalmente deficitario in quanto non supera oltre la metà dei parametri obiettivi definiti dal decreto del Ministero dell’Interno del 18/2/2013, ed avendo presentato il certificato del rendiconto 2016 entro i termini di legge, non ha avuto l’obbligo di assicurare per l’anno 2017, la copertura minima dei costi dei servizi a domanda individuale, acquedotto e smaltimento rifiuti.</w:t>
      </w:r>
    </w:p>
    <w:p w14:paraId="72A66D5F" w14:textId="77777777" w:rsidR="009F183C" w:rsidRPr="00B215DB" w:rsidRDefault="00757AA1">
      <w:pPr>
        <w:pStyle w:val="Corpodeltesto22"/>
        <w:numPr>
          <w:ilvl w:val="12"/>
          <w:numId w:val="0"/>
        </w:numPr>
        <w:rPr>
          <w:rFonts w:cs="Arial"/>
          <w:b w:val="0"/>
          <w:bCs/>
          <w:i/>
          <w:iCs/>
          <w:color w:val="00B0F0"/>
          <w:sz w:val="18"/>
          <w:szCs w:val="16"/>
        </w:rPr>
      </w:pPr>
      <w:r w:rsidRPr="00B215DB">
        <w:rPr>
          <w:rFonts w:cs="Arial"/>
          <w:b w:val="0"/>
          <w:bCs/>
          <w:i/>
          <w:iCs/>
          <w:color w:val="00B0F0"/>
          <w:sz w:val="18"/>
          <w:szCs w:val="16"/>
        </w:rPr>
        <w:t>(Nel caso in cui non sussistano tali condizioni occorre riportare per i servizi suddetti la percentuale di copertura dei costi realizzata tenendo conto dei minimi previsti: servizi a domanda individuale 36%, acquedotto 80% e smaltimento rifiuti dal 70 al 100%).</w:t>
      </w:r>
    </w:p>
    <w:p w14:paraId="75BED9FB" w14:textId="77777777" w:rsidR="009F183C" w:rsidRDefault="00757AA1">
      <w:pPr>
        <w:pStyle w:val="Didascalia"/>
        <w:rPr>
          <w:bCs/>
          <w:sz w:val="16"/>
          <w:szCs w:val="16"/>
        </w:rPr>
      </w:pPr>
      <w:r>
        <w:t>Si riportano di seguito un dettaglio dei proventi e dei costi dei servizi a domanda individuale</w:t>
      </w:r>
      <w:r>
        <w:rPr>
          <w:bCs/>
        </w:rPr>
        <w:t xml:space="preserve"> </w:t>
      </w:r>
      <w:r>
        <w:rPr>
          <w:bCs/>
          <w:i/>
          <w:color w:val="00B0F0"/>
          <w:sz w:val="18"/>
          <w:szCs w:val="16"/>
          <w:u w:val="none"/>
        </w:rPr>
        <w:t>(</w:t>
      </w:r>
      <w:r>
        <w:rPr>
          <w:bCs/>
          <w:i/>
          <w:iCs/>
          <w:color w:val="00B0F0"/>
          <w:sz w:val="18"/>
          <w:szCs w:val="16"/>
          <w:u w:val="none"/>
        </w:rPr>
        <w:t>da compilare solo se sono stati predisposti conti economici di dettaglio dei servizi</w:t>
      </w:r>
      <w:r>
        <w:rPr>
          <w:bCs/>
          <w:i/>
          <w:color w:val="00B0F0"/>
          <w:sz w:val="18"/>
          <w:szCs w:val="16"/>
          <w:u w:val="none"/>
        </w:rPr>
        <w:t>)</w:t>
      </w:r>
      <w:r>
        <w:rPr>
          <w:bCs/>
          <w:i/>
          <w:color w:val="00B0F0"/>
          <w:sz w:val="16"/>
          <w:szCs w:val="16"/>
          <w:u w:val="none"/>
        </w:rPr>
        <w:t>.</w:t>
      </w:r>
    </w:p>
    <w:bookmarkStart w:id="64" w:name="_MON_1573037286"/>
    <w:bookmarkEnd w:id="64"/>
    <w:p w14:paraId="35BD77C8" w14:textId="77777777" w:rsidR="009F183C" w:rsidRDefault="00757AA1">
      <w:pPr>
        <w:pStyle w:val="Didascalia"/>
      </w:pPr>
      <w:r>
        <w:object w:dxaOrig="9232" w:dyaOrig="5991" w14:anchorId="15F0774C">
          <v:shape id="_x0000_i1055" type="#_x0000_t75" style="width:461.25pt;height:303pt" o:ole="">
            <v:imagedata r:id="rId71" o:title=""/>
          </v:shape>
          <o:OLEObject Type="Embed" ProgID="Excel.Sheet.12" ShapeID="_x0000_i1055" DrawAspect="Content" ObjectID="_1780988566" r:id="rId72"/>
        </w:object>
      </w:r>
    </w:p>
    <w:p w14:paraId="40A90867" w14:textId="77777777" w:rsidR="009F183C" w:rsidRDefault="00757AA1">
      <w:pPr>
        <w:numPr>
          <w:ilvl w:val="12"/>
          <w:numId w:val="0"/>
        </w:numPr>
        <w:rPr>
          <w:rFonts w:cs="Arial"/>
          <w:sz w:val="20"/>
        </w:rPr>
      </w:pPr>
      <w:r>
        <w:rPr>
          <w:rFonts w:cs="Arial"/>
          <w:sz w:val="20"/>
        </w:rPr>
        <w:t>In merito si osserva: …………………………..</w:t>
      </w:r>
    </w:p>
    <w:p w14:paraId="2B93C806" w14:textId="77777777" w:rsidR="00B215DB" w:rsidRPr="00B215DB" w:rsidRDefault="00B215DB" w:rsidP="00B215DB"/>
    <w:p w14:paraId="5F6D694A" w14:textId="77777777" w:rsidR="009F183C" w:rsidRDefault="00757AA1">
      <w:pPr>
        <w:rPr>
          <w:rFonts w:cs="Arial"/>
          <w:b/>
          <w:sz w:val="24"/>
          <w:szCs w:val="24"/>
          <w:u w:val="single"/>
        </w:rPr>
      </w:pPr>
      <w:r>
        <w:rPr>
          <w:rFonts w:cs="Arial"/>
          <w:b/>
          <w:sz w:val="24"/>
          <w:szCs w:val="24"/>
          <w:u w:val="single"/>
        </w:rPr>
        <w:t>Spese correnti</w:t>
      </w:r>
      <w:bookmarkEnd w:id="63"/>
    </w:p>
    <w:p w14:paraId="036D374B" w14:textId="77777777" w:rsidR="009F183C" w:rsidRDefault="00757AA1">
      <w:pPr>
        <w:pStyle w:val="Corpodeltesto3"/>
        <w:numPr>
          <w:ilvl w:val="12"/>
          <w:numId w:val="0"/>
        </w:numPr>
        <w:spacing w:after="240"/>
        <w:rPr>
          <w:rFonts w:cs="Arial"/>
        </w:rPr>
      </w:pPr>
      <w:r>
        <w:rPr>
          <w:rFonts w:cs="Arial"/>
        </w:rPr>
        <w:t xml:space="preserve">La comparazione delle spese correnti, riclassificate per macroaggregati, impegnate negli ultimi due </w:t>
      </w:r>
      <w:r>
        <w:rPr>
          <w:rFonts w:cs="Arial"/>
        </w:rPr>
        <w:lastRenderedPageBreak/>
        <w:t>esercizi evidenzia:</w:t>
      </w:r>
    </w:p>
    <w:bookmarkStart w:id="65" w:name="_MON_1549952801"/>
    <w:bookmarkEnd w:id="65"/>
    <w:p w14:paraId="0FEEF1F2" w14:textId="77777777" w:rsidR="009F183C" w:rsidRDefault="00757AA1">
      <w:pPr>
        <w:pStyle w:val="Corpodeltesto3"/>
        <w:numPr>
          <w:ilvl w:val="12"/>
          <w:numId w:val="0"/>
        </w:numPr>
        <w:spacing w:after="240"/>
        <w:rPr>
          <w:rFonts w:cs="Arial"/>
        </w:rPr>
      </w:pPr>
      <w:r>
        <w:rPr>
          <w:rFonts w:cs="Arial"/>
        </w:rPr>
        <w:object w:dxaOrig="9485" w:dyaOrig="4357" w14:anchorId="451D5FB9">
          <v:shape id="_x0000_i1056" type="#_x0000_t75" style="width:475.5pt;height:3in" o:ole="">
            <v:imagedata r:id="rId73" o:title=""/>
          </v:shape>
          <o:OLEObject Type="Embed" ProgID="Excel.Sheet.12" ShapeID="_x0000_i1056" DrawAspect="Content" ObjectID="_1780988567" r:id="rId74"/>
        </w:object>
      </w:r>
    </w:p>
    <w:p w14:paraId="5CC47F25" w14:textId="77777777" w:rsidR="009F183C" w:rsidRDefault="00757AA1">
      <w:pPr>
        <w:rPr>
          <w:rFonts w:cs="Arial"/>
          <w:b/>
          <w:sz w:val="24"/>
          <w:szCs w:val="24"/>
          <w:u w:val="single"/>
        </w:rPr>
      </w:pPr>
      <w:bookmarkStart w:id="66" w:name="_Toc379377466"/>
      <w:r>
        <w:rPr>
          <w:rFonts w:cs="Arial"/>
          <w:b/>
          <w:sz w:val="24"/>
          <w:szCs w:val="24"/>
          <w:u w:val="single"/>
        </w:rPr>
        <w:t>Spese per il personale</w:t>
      </w:r>
      <w:bookmarkEnd w:id="66"/>
    </w:p>
    <w:p w14:paraId="794E8B0D" w14:textId="77777777" w:rsidR="009F183C" w:rsidRDefault="00757AA1">
      <w:pPr>
        <w:rPr>
          <w:rFonts w:cs="Arial"/>
          <w:sz w:val="20"/>
        </w:rPr>
      </w:pPr>
      <w:r>
        <w:rPr>
          <w:rFonts w:cs="Arial"/>
          <w:sz w:val="20"/>
        </w:rPr>
        <w:t>La spesa per redditi di lavoro dipendente sostenuta nell’anno 2017, e le relative assunzioni hanno rispettato:</w:t>
      </w:r>
    </w:p>
    <w:p w14:paraId="55395F0B" w14:textId="77777777" w:rsidR="009F183C" w:rsidRDefault="00757AA1">
      <w:pPr>
        <w:widowControl/>
        <w:numPr>
          <w:ilvl w:val="0"/>
          <w:numId w:val="25"/>
        </w:numPr>
        <w:tabs>
          <w:tab w:val="left" w:pos="360"/>
        </w:tabs>
        <w:overflowPunct/>
        <w:autoSpaceDE/>
        <w:autoSpaceDN/>
        <w:adjustRightInd/>
        <w:spacing w:before="120" w:after="0"/>
        <w:textAlignment w:val="auto"/>
        <w:rPr>
          <w:rFonts w:cs="Arial"/>
          <w:sz w:val="20"/>
        </w:rPr>
      </w:pPr>
      <w:r>
        <w:rPr>
          <w:rFonts w:cs="Arial"/>
          <w:sz w:val="20"/>
        </w:rPr>
        <w:t>i vincoli disposti dall’art. 3, comma 5 e 5 quater del D.L. 90/2014, dell’art.1 comma 228 della Legge 208/2015 e dell’art.16 comma 1 bis del D.L. 113/2016</w:t>
      </w:r>
      <w:r>
        <w:rPr>
          <w:rStyle w:val="Collegamentoipertestuale"/>
          <w:rFonts w:cs="Arial"/>
          <w:color w:val="auto"/>
          <w:sz w:val="20"/>
          <w:u w:val="none"/>
        </w:rPr>
        <w:t>, e dall’art. 22 del D.L. 50/2017</w:t>
      </w:r>
      <w:r>
        <w:rPr>
          <w:rFonts w:cs="Arial"/>
          <w:sz w:val="20"/>
        </w:rPr>
        <w:t xml:space="preserve">, sulle assunzioni di personale a tempo indeterminato per gli enti soggetti al pareggio di bilancio e al </w:t>
      </w:r>
      <w:hyperlink r:id="rId75" w:history="1">
        <w:r>
          <w:rPr>
            <w:rStyle w:val="Collegamentoipertestuale"/>
            <w:rFonts w:cs="Arial"/>
            <w:color w:val="auto"/>
            <w:sz w:val="20"/>
            <w:u w:val="none"/>
          </w:rPr>
          <w:t>comma 762 della Legge 208/2015</w:t>
        </w:r>
      </w:hyperlink>
      <w:r>
        <w:rPr>
          <w:rFonts w:cs="Arial"/>
          <w:sz w:val="20"/>
        </w:rPr>
        <w:t>, comma 562 della Legge 296/2006 per gli enti che nel 2015 non erano assoggettati al patto di stabilità;</w:t>
      </w:r>
    </w:p>
    <w:p w14:paraId="15000370" w14:textId="77777777" w:rsidR="009F183C" w:rsidRDefault="00757AA1">
      <w:pPr>
        <w:widowControl/>
        <w:numPr>
          <w:ilvl w:val="0"/>
          <w:numId w:val="25"/>
        </w:numPr>
        <w:tabs>
          <w:tab w:val="left" w:pos="360"/>
        </w:tabs>
        <w:overflowPunct/>
        <w:autoSpaceDE/>
        <w:autoSpaceDN/>
        <w:adjustRightInd/>
        <w:spacing w:before="120" w:after="0"/>
        <w:textAlignment w:val="auto"/>
        <w:rPr>
          <w:rFonts w:cs="Arial"/>
          <w:sz w:val="20"/>
        </w:rPr>
      </w:pPr>
      <w:r>
        <w:rPr>
          <w:rFonts w:cs="Arial"/>
          <w:sz w:val="20"/>
        </w:rPr>
        <w:t>i vincoli disposti dall’art. 9, comma 28 del D.L. 78/2010 sulla spesa per personale a tempo determinato, con convenzioni o con contratti di collaborazione coordinata e continuativa; che obbligano a non superare la spesa dell’anno 2009 di euro ………………..;</w:t>
      </w:r>
    </w:p>
    <w:p w14:paraId="3C909C61" w14:textId="77777777" w:rsidR="009F183C" w:rsidRDefault="00757AA1">
      <w:pPr>
        <w:widowControl/>
        <w:numPr>
          <w:ilvl w:val="0"/>
          <w:numId w:val="25"/>
        </w:numPr>
        <w:tabs>
          <w:tab w:val="left" w:pos="360"/>
        </w:tabs>
        <w:overflowPunct/>
        <w:autoSpaceDE/>
        <w:autoSpaceDN/>
        <w:adjustRightInd/>
        <w:spacing w:before="120" w:after="0"/>
        <w:textAlignment w:val="auto"/>
        <w:rPr>
          <w:rFonts w:cs="Arial"/>
          <w:sz w:val="20"/>
        </w:rPr>
      </w:pPr>
      <w:r>
        <w:rPr>
          <w:rFonts w:cs="Arial"/>
          <w:sz w:val="20"/>
        </w:rPr>
        <w:t>l’obbligo di riduzione della spesa di personale disposto dall’art. 1 comma 557 della Legge 296/2006 rispetto a valore medio del triennio 2011/2013 che risulta di euro ……………….;</w:t>
      </w:r>
    </w:p>
    <w:p w14:paraId="12CC1407" w14:textId="77777777" w:rsidR="009F183C" w:rsidRDefault="00757AA1">
      <w:pPr>
        <w:widowControl/>
        <w:numPr>
          <w:ilvl w:val="0"/>
          <w:numId w:val="25"/>
        </w:numPr>
        <w:tabs>
          <w:tab w:val="left" w:pos="360"/>
        </w:tabs>
        <w:overflowPunct/>
        <w:autoSpaceDE/>
        <w:autoSpaceDN/>
        <w:adjustRightInd/>
        <w:spacing w:before="120" w:after="0"/>
        <w:textAlignment w:val="auto"/>
        <w:rPr>
          <w:rFonts w:cs="Arial"/>
          <w:sz w:val="20"/>
        </w:rPr>
      </w:pPr>
      <w:r>
        <w:rPr>
          <w:rFonts w:cs="Arial"/>
          <w:sz w:val="20"/>
        </w:rPr>
        <w:t>il limite di spesa per gli enti fuori patto posto dal comma 562;</w:t>
      </w:r>
    </w:p>
    <w:p w14:paraId="3A28FB67" w14:textId="23E8C830" w:rsidR="009F183C" w:rsidRDefault="00757AA1">
      <w:pPr>
        <w:widowControl/>
        <w:numPr>
          <w:ilvl w:val="0"/>
          <w:numId w:val="25"/>
        </w:numPr>
        <w:tabs>
          <w:tab w:val="left" w:pos="360"/>
        </w:tabs>
        <w:overflowPunct/>
        <w:autoSpaceDE/>
        <w:autoSpaceDN/>
        <w:adjustRightInd/>
        <w:spacing w:before="120" w:after="0"/>
        <w:textAlignment w:val="auto"/>
        <w:rPr>
          <w:rFonts w:cs="Arial"/>
          <w:sz w:val="20"/>
        </w:rPr>
      </w:pPr>
      <w:r>
        <w:rPr>
          <w:rFonts w:cs="Arial"/>
          <w:sz w:val="20"/>
        </w:rPr>
        <w:t xml:space="preserve">l’art.40 del </w:t>
      </w:r>
      <w:r w:rsidR="00C0640C">
        <w:rPr>
          <w:rFonts w:cs="Arial"/>
          <w:sz w:val="20"/>
        </w:rPr>
        <w:t>D. Lgs</w:t>
      </w:r>
      <w:r>
        <w:rPr>
          <w:rFonts w:cs="Arial"/>
          <w:sz w:val="20"/>
        </w:rPr>
        <w:t>. 165/2001;</w:t>
      </w:r>
    </w:p>
    <w:p w14:paraId="5141745C" w14:textId="77777777" w:rsidR="009F183C" w:rsidRDefault="00757AA1">
      <w:pPr>
        <w:widowControl/>
        <w:numPr>
          <w:ilvl w:val="0"/>
          <w:numId w:val="25"/>
        </w:numPr>
        <w:tabs>
          <w:tab w:val="left" w:pos="360"/>
        </w:tabs>
        <w:overflowPunct/>
        <w:autoSpaceDE/>
        <w:autoSpaceDN/>
        <w:adjustRightInd/>
        <w:spacing w:before="120" w:after="0"/>
        <w:textAlignment w:val="auto"/>
        <w:rPr>
          <w:rFonts w:cs="Arial"/>
          <w:sz w:val="20"/>
        </w:rPr>
      </w:pPr>
      <w:r>
        <w:rPr>
          <w:rFonts w:cs="Arial"/>
          <w:sz w:val="20"/>
        </w:rPr>
        <w:t xml:space="preserve">l’art. 22, co.2 del </w:t>
      </w:r>
      <w:hyperlink r:id="rId76" w:tgtFrame="_blank" w:history="1">
        <w:r>
          <w:rPr>
            <w:rFonts w:cs="Arial"/>
            <w:sz w:val="20"/>
          </w:rPr>
          <w:t>D.L. n. 50/2017</w:t>
        </w:r>
      </w:hyperlink>
      <w:r>
        <w:rPr>
          <w:rFonts w:cs="Arial"/>
          <w:sz w:val="20"/>
        </w:rPr>
        <w:t>: tale articolo ha modificato l’art. 1, co. 228, secondo periodo, della L. nr. 208/2015, prevedendo, a partire dal 2017, per i Comuni con popolazione compresa tra i 1.000 ed i 3.000 abitanti che hanno rilevato nell'anno precedente una spesa per il personale inferiore al 24% della media delle entrate correnti registrate nei conti consuntivi dell'ultimo triennio, l’innalzamento della percentuale del turnover da 75% al 100%;</w:t>
      </w:r>
    </w:p>
    <w:p w14:paraId="5719D45F" w14:textId="5DDE3938" w:rsidR="009F183C" w:rsidRDefault="00757AA1">
      <w:pPr>
        <w:widowControl/>
        <w:numPr>
          <w:ilvl w:val="0"/>
          <w:numId w:val="25"/>
        </w:numPr>
        <w:tabs>
          <w:tab w:val="left" w:pos="360"/>
        </w:tabs>
        <w:overflowPunct/>
        <w:autoSpaceDE/>
        <w:autoSpaceDN/>
        <w:adjustRightInd/>
        <w:spacing w:before="120" w:after="0"/>
        <w:textAlignment w:val="auto"/>
        <w:rPr>
          <w:rFonts w:cs="Arial"/>
          <w:sz w:val="20"/>
        </w:rPr>
      </w:pPr>
      <w:r>
        <w:rPr>
          <w:rFonts w:cs="Arial"/>
          <w:sz w:val="20"/>
        </w:rPr>
        <w:t xml:space="preserve">l’ammontare complessivo delle risorse destinate annualmente al trattamento accessorio del personale come previsto dal comma 2 dell’art.23 del </w:t>
      </w:r>
      <w:r w:rsidR="00C0640C">
        <w:rPr>
          <w:rFonts w:cs="Arial"/>
          <w:sz w:val="20"/>
        </w:rPr>
        <w:t>D. Lgs</w:t>
      </w:r>
      <w:r>
        <w:rPr>
          <w:rFonts w:cs="Arial"/>
          <w:sz w:val="20"/>
        </w:rPr>
        <w:t>. 75/2017.</w:t>
      </w:r>
    </w:p>
    <w:p w14:paraId="14F53062" w14:textId="77777777" w:rsidR="009F183C" w:rsidRDefault="009F183C">
      <w:pPr>
        <w:pStyle w:val="Paragrafoelenco"/>
        <w:rPr>
          <w:rFonts w:cs="Arial"/>
          <w:sz w:val="20"/>
        </w:rPr>
      </w:pPr>
    </w:p>
    <w:p w14:paraId="1D4DDA59" w14:textId="77777777" w:rsidR="009F183C" w:rsidRDefault="00757AA1">
      <w:pPr>
        <w:widowControl/>
        <w:overflowPunct/>
        <w:spacing w:after="0"/>
        <w:textAlignment w:val="auto"/>
        <w:rPr>
          <w:rFonts w:cs="Arial"/>
          <w:i/>
          <w:color w:val="00B0F0"/>
          <w:sz w:val="20"/>
        </w:rPr>
      </w:pPr>
      <w:r>
        <w:rPr>
          <w:rFonts w:cs="Arial"/>
          <w:i/>
          <w:color w:val="00B0F0"/>
          <w:sz w:val="20"/>
        </w:rPr>
        <w:t>Per i comuni con popolazione inferiore a 5.000 abitanti, le comunità montane e le unioni di comuni, il limite di spesa non si applica all’utilizzo di dipendenti a tempo pieno di altre amministrazioni locali autorizzati dall’amministrazione di provenienza, purché ciò avvenga nei limiti dell’ordinario orario di lavoro settimanale e non si tratti di prestazioni aggiuntive al di fuori dell’ordinario orario di lavoro. (deliberazione Corte conti, sezione autonomie, 20 maggio 2016, n. 23). Il limite di spesa non si applica anche per l’utilizzo contemporaneo di un dipendente da parte di più enti, all’interno dell’ordinario orario di lavoro, e per i dipendenti in posizione di comando. La minore spesa dell’ente titolare del rapporto di lavoro a tempo pieno non può, comunque, generare spazi da impiegare per spese aggiuntive di personale o nuove assunzioni.</w:t>
      </w:r>
    </w:p>
    <w:p w14:paraId="4EBE4B64" w14:textId="77777777" w:rsidR="009F183C" w:rsidRDefault="009F183C">
      <w:pPr>
        <w:pStyle w:val="BodyText21"/>
        <w:spacing w:before="120" w:after="0"/>
        <w:rPr>
          <w:rFonts w:cs="Arial"/>
          <w:b w:val="0"/>
          <w:i w:val="0"/>
          <w:sz w:val="20"/>
        </w:rPr>
      </w:pPr>
    </w:p>
    <w:p w14:paraId="755F2AF8" w14:textId="77777777" w:rsidR="009F183C" w:rsidRDefault="00757AA1">
      <w:pPr>
        <w:pStyle w:val="BodyText21"/>
        <w:spacing w:before="120" w:after="0"/>
        <w:rPr>
          <w:rFonts w:cs="Arial"/>
          <w:b w:val="0"/>
          <w:i w:val="0"/>
          <w:sz w:val="20"/>
        </w:rPr>
      </w:pPr>
      <w:r>
        <w:rPr>
          <w:rFonts w:cs="Arial"/>
          <w:b w:val="0"/>
          <w:i w:val="0"/>
          <w:sz w:val="20"/>
        </w:rPr>
        <w:lastRenderedPageBreak/>
        <w:t>Gli oneri della contrattazione decentrata impegnati nell’anno 2017, non superano il corrispondente importo impegnato per l’anno 2016 e sono automaticamente ridotti in misura proporzionale alla riduzione del personale in servizio, tenendo conto del personale assumibile ai sensi della normativa vigente, come disposto dall’art.9 del D.L. 78/2010.</w:t>
      </w:r>
    </w:p>
    <w:p w14:paraId="5F005EA8" w14:textId="3357C15C" w:rsidR="009F183C" w:rsidRDefault="00757AA1">
      <w:pPr>
        <w:widowControl/>
        <w:tabs>
          <w:tab w:val="left" w:pos="360"/>
          <w:tab w:val="left" w:pos="426"/>
        </w:tabs>
        <w:overflowPunct/>
        <w:autoSpaceDE/>
        <w:autoSpaceDN/>
        <w:adjustRightInd/>
        <w:spacing w:before="120" w:after="200" w:line="276" w:lineRule="auto"/>
        <w:textAlignment w:val="auto"/>
        <w:rPr>
          <w:rFonts w:cs="Arial"/>
          <w:i/>
          <w:color w:val="00B0F0"/>
          <w:sz w:val="20"/>
        </w:rPr>
      </w:pPr>
      <w:r>
        <w:rPr>
          <w:rFonts w:cs="Arial"/>
          <w:i/>
          <w:color w:val="00B0F0"/>
          <w:sz w:val="20"/>
        </w:rPr>
        <w:t xml:space="preserve">I limiti di cui sopra non si applicano alle assunzioni di personale appartenente alle categorie protette ai fini della copertura delle quote d'obbligo (art.3 comma 6 </w:t>
      </w:r>
      <w:r w:rsidR="00C0640C">
        <w:rPr>
          <w:rFonts w:cs="Arial"/>
          <w:i/>
          <w:color w:val="00B0F0"/>
          <w:sz w:val="20"/>
        </w:rPr>
        <w:t>D</w:t>
      </w:r>
      <w:r>
        <w:rPr>
          <w:rFonts w:cs="Arial"/>
          <w:i/>
          <w:color w:val="00B0F0"/>
          <w:sz w:val="20"/>
        </w:rPr>
        <w:t>.</w:t>
      </w:r>
      <w:r w:rsidR="00C0640C">
        <w:rPr>
          <w:rFonts w:cs="Arial"/>
          <w:i/>
          <w:color w:val="00B0F0"/>
          <w:sz w:val="20"/>
        </w:rPr>
        <w:t>L</w:t>
      </w:r>
      <w:r>
        <w:rPr>
          <w:rFonts w:cs="Arial"/>
          <w:i/>
          <w:color w:val="00B0F0"/>
          <w:sz w:val="20"/>
        </w:rPr>
        <w:t>. 90/2014)</w:t>
      </w:r>
    </w:p>
    <w:p w14:paraId="2C3C48E5" w14:textId="77777777" w:rsidR="009F183C" w:rsidRDefault="00757AA1">
      <w:pPr>
        <w:pStyle w:val="Corpodeltesto3"/>
        <w:rPr>
          <w:rFonts w:cs="Arial"/>
        </w:rPr>
      </w:pPr>
      <w:r>
        <w:rPr>
          <w:rFonts w:cs="Arial"/>
        </w:rPr>
        <w:t xml:space="preserve">La spesa di personale sostenuta nell’anno 2017 rientra </w:t>
      </w:r>
      <w:r>
        <w:rPr>
          <w:rFonts w:cs="Arial"/>
          <w:b/>
          <w:color w:val="00B0F0"/>
        </w:rPr>
        <w:t>(o non rientra)</w:t>
      </w:r>
      <w:r>
        <w:rPr>
          <w:rFonts w:cs="Arial"/>
          <w:color w:val="00B0F0"/>
        </w:rPr>
        <w:t xml:space="preserve"> </w:t>
      </w:r>
      <w:r>
        <w:rPr>
          <w:rFonts w:cs="Arial"/>
        </w:rPr>
        <w:t xml:space="preserve">nei limiti di cui all’art.1, comma 557 e 557 quater </w:t>
      </w:r>
      <w:r>
        <w:rPr>
          <w:rFonts w:cs="Arial"/>
          <w:b/>
          <w:color w:val="00B0F0"/>
        </w:rPr>
        <w:t>(o comma 562 per i Comuni non soggetti al patto di stabilità)</w:t>
      </w:r>
      <w:r>
        <w:rPr>
          <w:rFonts w:cs="Arial"/>
          <w:color w:val="00B0F0"/>
        </w:rPr>
        <w:t xml:space="preserve"> </w:t>
      </w:r>
      <w:r>
        <w:rPr>
          <w:rFonts w:cs="Arial"/>
        </w:rPr>
        <w:t>della Legge 296/2006.</w:t>
      </w:r>
    </w:p>
    <w:bookmarkStart w:id="67" w:name="_MON_1549955417"/>
    <w:bookmarkEnd w:id="67"/>
    <w:p w14:paraId="1FC54851" w14:textId="77777777" w:rsidR="009F183C" w:rsidRDefault="00757AA1">
      <w:pPr>
        <w:pStyle w:val="Corpodeltesto3"/>
        <w:rPr>
          <w:rFonts w:cs="Arial"/>
        </w:rPr>
      </w:pPr>
      <w:r>
        <w:rPr>
          <w:rFonts w:cs="Arial"/>
        </w:rPr>
        <w:object w:dxaOrig="9620" w:dyaOrig="4714" w14:anchorId="12EE1021">
          <v:shape id="_x0000_i1057" type="#_x0000_t75" style="width:482.25pt;height:237.75pt" o:ole="">
            <v:imagedata r:id="rId77" o:title=""/>
          </v:shape>
          <o:OLEObject Type="Embed" ProgID="Excel.Sheet.12" ShapeID="_x0000_i1057" DrawAspect="Content" ObjectID="_1780988568" r:id="rId78"/>
        </w:object>
      </w:r>
    </w:p>
    <w:p w14:paraId="6E741E12" w14:textId="77777777" w:rsidR="009F183C" w:rsidRDefault="00757AA1">
      <w:pPr>
        <w:pStyle w:val="Corpodeltesto3"/>
        <w:rPr>
          <w:rFonts w:cs="Arial"/>
          <w:i/>
          <w:color w:val="00B0F0"/>
        </w:rPr>
      </w:pPr>
      <w:r>
        <w:rPr>
          <w:rFonts w:cs="Arial"/>
          <w:i/>
          <w:color w:val="00B0F0"/>
        </w:rPr>
        <w:t>Nel computo della spesa di personale 2017 (altre spese incluse e altre spese escluse) il Comune è tenuto ad includere tutti gli impegni che, secondo il nuovo principio della competenza finanziaria potenziata, venendo a scadenza entro il termine dell’esercizio, siano stati imputati all’esercizio medesimo, ivi incluse quelle relative all’anno 2016 e precedenti rinviate al 2017; mentre dovrà escludere quelle spese che, venendo a scadenza nel 2017, dovranno essere imputate all’esercizio successivo Corte dei Conti sezione regionale per il Controllo regione Molise delibera 218/2015) .</w:t>
      </w:r>
    </w:p>
    <w:p w14:paraId="77B27FCA" w14:textId="357B982A" w:rsidR="009F183C" w:rsidRDefault="00757AA1">
      <w:pPr>
        <w:pStyle w:val="Corpodeltesto3"/>
        <w:rPr>
          <w:rFonts w:cs="Arial"/>
          <w:i/>
          <w:color w:val="00B0F0"/>
        </w:rPr>
      </w:pPr>
      <w:r>
        <w:rPr>
          <w:rFonts w:cs="Arial"/>
          <w:i/>
          <w:color w:val="00B0F0"/>
        </w:rPr>
        <w:t>La Corte dei conti Sezione Autonomie con deliberazione n. 25/2014 ha affermato che con l’introduzione del comma 557 quater all’art.1 della legge 296/2006 operata dal comma6 bis dell’art.3 del</w:t>
      </w:r>
      <w:r w:rsidR="00C0640C">
        <w:rPr>
          <w:rFonts w:cs="Arial"/>
          <w:i/>
          <w:color w:val="00B0F0"/>
        </w:rPr>
        <w:t xml:space="preserve"> D</w:t>
      </w:r>
      <w:r>
        <w:rPr>
          <w:rFonts w:cs="Arial"/>
          <w:i/>
          <w:color w:val="00B0F0"/>
        </w:rPr>
        <w:t>.</w:t>
      </w:r>
      <w:r w:rsidR="00C0640C">
        <w:rPr>
          <w:rFonts w:cs="Arial"/>
          <w:i/>
          <w:color w:val="00B0F0"/>
        </w:rPr>
        <w:t>L</w:t>
      </w:r>
      <w:r>
        <w:rPr>
          <w:rFonts w:cs="Arial"/>
          <w:i/>
          <w:color w:val="00B0F0"/>
        </w:rPr>
        <w:t>. 90/2014 “</w:t>
      </w:r>
      <w:r>
        <w:rPr>
          <w:i/>
          <w:color w:val="00B0F0"/>
        </w:rPr>
        <w:t> </w:t>
      </w:r>
      <w:r>
        <w:rPr>
          <w:bCs/>
          <w:i/>
          <w:color w:val="00B0F0"/>
        </w:rPr>
        <w:t>il legislatore introduce – anche per gli enti soggetti al patto di stabilità interno – un parametro temporale fisso e immutabile, individuandolo nel valore medio di spesa del triennio antecedente alla data di entrata in vigore dell’art. 3, comma 5 bis, del dl n. 90/2014, ossia del triennio 2011/2013</w:t>
      </w:r>
      <w:r>
        <w:rPr>
          <w:b/>
          <w:bCs/>
          <w:i/>
          <w:color w:val="00B0F0"/>
        </w:rPr>
        <w:t>,</w:t>
      </w:r>
      <w:r>
        <w:rPr>
          <w:i/>
          <w:color w:val="00B0F0"/>
        </w:rPr>
        <w:t> </w:t>
      </w:r>
      <w:r>
        <w:rPr>
          <w:i/>
          <w:iCs/>
          <w:color w:val="00B0F0"/>
        </w:rPr>
        <w:t>caratterizzato da un regime vincolistico – assunzionale e di spesa – più restrittivo.</w:t>
      </w:r>
    </w:p>
    <w:p w14:paraId="15DD4DEA" w14:textId="77777777" w:rsidR="009F183C" w:rsidRDefault="00757AA1">
      <w:pPr>
        <w:pStyle w:val="NormaleWeb"/>
        <w:shd w:val="clear" w:color="auto" w:fill="FFFFFF"/>
        <w:spacing w:before="240" w:beforeAutospacing="0" w:after="240" w:afterAutospacing="0"/>
        <w:jc w:val="both"/>
        <w:rPr>
          <w:rFonts w:cs="Arial"/>
          <w:bCs/>
          <w:color w:val="00B0F0"/>
          <w:sz w:val="20"/>
        </w:rPr>
      </w:pPr>
      <w:r>
        <w:rPr>
          <w:rStyle w:val="Enfasicorsivo"/>
          <w:rFonts w:ascii="Arial" w:hAnsi="Arial" w:cs="Arial"/>
          <w:color w:val="00B0F0"/>
          <w:sz w:val="20"/>
          <w:szCs w:val="20"/>
        </w:rPr>
        <w:t>In particolare, il riferimento espresso ad un valore medio triennale – relativo, come detto, al periodo 2011/2013 – in luogo del precedente parametro di raffronto annuale, avvalora ulteriormente la necessità di prendere in considerazione, ai fini del contenimento delle spese di personale, la spesa effettivamente sostenuta.”</w:t>
      </w:r>
    </w:p>
    <w:p w14:paraId="6602C247" w14:textId="77777777" w:rsidR="009F183C" w:rsidRDefault="00757AA1">
      <w:pPr>
        <w:pStyle w:val="NormaleWeb"/>
        <w:shd w:val="clear" w:color="auto" w:fill="FFFFFF"/>
        <w:spacing w:before="240" w:beforeAutospacing="0" w:after="240" w:afterAutospacing="0"/>
        <w:jc w:val="both"/>
        <w:rPr>
          <w:rStyle w:val="Enfasicorsivo"/>
          <w:rFonts w:ascii="Arial" w:hAnsi="Arial" w:cs="Arial"/>
          <w:color w:val="00B0F0"/>
          <w:sz w:val="20"/>
          <w:szCs w:val="20"/>
        </w:rPr>
      </w:pPr>
      <w:r>
        <w:rPr>
          <w:rStyle w:val="Enfasicorsivo"/>
          <w:rFonts w:ascii="Arial" w:hAnsi="Arial" w:cs="Arial"/>
          <w:color w:val="00B0F0"/>
          <w:sz w:val="20"/>
          <w:szCs w:val="20"/>
        </w:rPr>
        <w:t>Ai sensi della deliberazione della Sezione Autonomie nr 7/2017, l’Ente ha considerato gli incentivi per la progettazione all’interno della spesa complessiva per salario accessorio del personale.</w:t>
      </w:r>
    </w:p>
    <w:p w14:paraId="12E40772" w14:textId="77777777" w:rsidR="009F183C" w:rsidRPr="00B215DB" w:rsidRDefault="00757AA1">
      <w:pPr>
        <w:pStyle w:val="NormaleWeb"/>
        <w:shd w:val="clear" w:color="auto" w:fill="FFFFFF"/>
        <w:spacing w:before="240" w:beforeAutospacing="0" w:after="240" w:afterAutospacing="0"/>
        <w:jc w:val="both"/>
        <w:rPr>
          <w:rFonts w:ascii="Arial" w:hAnsi="Arial" w:cs="Arial"/>
          <w:sz w:val="20"/>
          <w:szCs w:val="20"/>
        </w:rPr>
      </w:pPr>
      <w:r w:rsidRPr="00B215DB">
        <w:rPr>
          <w:rFonts w:ascii="Arial" w:hAnsi="Arial" w:cs="Arial"/>
          <w:sz w:val="20"/>
          <w:szCs w:val="20"/>
        </w:rPr>
        <w:t>Nel caso di estinzione di organismi partecipati l’ente, sussistendo l’obbligo, ha/non ha rispettato l’obbligo di riassumere n ……… dipendenti.</w:t>
      </w:r>
    </w:p>
    <w:p w14:paraId="50FE583C" w14:textId="77777777" w:rsidR="009F183C" w:rsidRDefault="00757AA1">
      <w:pPr>
        <w:pStyle w:val="Corpodeltesto21"/>
        <w:spacing w:after="0"/>
        <w:ind w:left="0"/>
        <w:rPr>
          <w:rFonts w:cs="Arial"/>
          <w:bCs/>
          <w:iCs/>
          <w:sz w:val="20"/>
        </w:rPr>
      </w:pPr>
      <w:r>
        <w:rPr>
          <w:rFonts w:cs="Arial"/>
          <w:bCs/>
          <w:iCs/>
          <w:sz w:val="20"/>
        </w:rPr>
        <w:t>Ai sensi dell’articolo 91 del TUEL e dell’articolo 35, comma 4, del D.Lgs. n. 165/2001 l’organo di revisione ha espresso parere con verbale n. ____ del __ __ __ sul documento di programmazione triennale delle spese per il personale verificando la finalizzazione dello stesso alla riduzione programmata delle spese.</w:t>
      </w:r>
    </w:p>
    <w:p w14:paraId="488BDC00" w14:textId="77777777" w:rsidR="009F183C" w:rsidRDefault="009F183C">
      <w:pPr>
        <w:pStyle w:val="Corpodeltesto3"/>
        <w:rPr>
          <w:rFonts w:cs="Arial"/>
          <w:b/>
          <w:i/>
          <w:color w:val="365F91"/>
          <w:sz w:val="18"/>
          <w:szCs w:val="18"/>
        </w:rPr>
      </w:pPr>
    </w:p>
    <w:p w14:paraId="3883BC8C" w14:textId="77777777" w:rsidR="009F183C" w:rsidRDefault="00757AA1">
      <w:pPr>
        <w:pStyle w:val="Corpodeltesto3"/>
        <w:rPr>
          <w:rFonts w:cs="Arial"/>
          <w:b/>
          <w:i/>
          <w:color w:val="365F91"/>
          <w:sz w:val="18"/>
          <w:szCs w:val="18"/>
        </w:rPr>
      </w:pPr>
      <w:r>
        <w:rPr>
          <w:rFonts w:cs="Arial"/>
          <w:b/>
          <w:i/>
          <w:color w:val="365F91"/>
          <w:sz w:val="18"/>
          <w:szCs w:val="18"/>
        </w:rPr>
        <w:t>(eventuale)</w:t>
      </w:r>
    </w:p>
    <w:p w14:paraId="30E52AD1" w14:textId="25F41073" w:rsidR="009F183C" w:rsidRDefault="00C0640C">
      <w:pPr>
        <w:pStyle w:val="ListParagraph1"/>
        <w:spacing w:before="120" w:after="120" w:line="240" w:lineRule="auto"/>
        <w:ind w:left="0"/>
        <w:rPr>
          <w:rFonts w:cs="Arial"/>
          <w:b/>
          <w:sz w:val="18"/>
          <w:szCs w:val="18"/>
        </w:rPr>
      </w:pPr>
      <w:r>
        <w:rPr>
          <w:rFonts w:ascii="Arial" w:hAnsi="Arial" w:cs="Arial"/>
          <w:bCs/>
          <w:iCs/>
        </w:rPr>
        <w:t>È</w:t>
      </w:r>
      <w:r w:rsidR="00757AA1">
        <w:rPr>
          <w:rFonts w:ascii="Arial" w:hAnsi="Arial" w:cs="Arial"/>
          <w:bCs/>
          <w:iCs/>
        </w:rPr>
        <w:t xml:space="preserve"> stata rideterminata la dotazione organica dell’Ente a seguito dell’assunzione di partecipazioni in società o altri organismi (dall’art. 3, c. 30, Legge n. 244 del 24 dicembre 2007).</w:t>
      </w:r>
      <w:r w:rsidR="00757AA1">
        <w:rPr>
          <w:rFonts w:cs="Arial"/>
          <w:b/>
          <w:sz w:val="18"/>
          <w:szCs w:val="18"/>
        </w:rPr>
        <w:t xml:space="preserve"> </w:t>
      </w:r>
    </w:p>
    <w:p w14:paraId="62A8533D" w14:textId="77777777" w:rsidR="009F183C" w:rsidRDefault="009F183C">
      <w:pPr>
        <w:spacing w:after="0"/>
        <w:rPr>
          <w:rFonts w:cs="Arial"/>
          <w:b/>
          <w:i/>
          <w:color w:val="365F91"/>
          <w:sz w:val="18"/>
          <w:szCs w:val="18"/>
        </w:rPr>
      </w:pPr>
    </w:p>
    <w:p w14:paraId="6E8E37A7" w14:textId="77777777" w:rsidR="009F183C" w:rsidRDefault="00757AA1">
      <w:pPr>
        <w:rPr>
          <w:rFonts w:cs="Arial"/>
          <w:sz w:val="20"/>
        </w:rPr>
      </w:pPr>
      <w:r>
        <w:rPr>
          <w:rFonts w:cs="Arial"/>
          <w:sz w:val="20"/>
        </w:rPr>
        <w:t xml:space="preserve">L'organo di revisione ha accertato che gli istituti contrattuali previsti dall'accordo decentrato sono improntati ai criteri di premialità, riconoscimento del merito e della valorizzazione dell'impegno e della qualità della prestazione individuale del personale nel raggiungimento degli obiettivi programmati dall'ente come disposto dall'art. 40 bis del D.Lgs. 165/2001 e che le risorse previste dall'accordo medesimo sono compatibili con la programmazione finanziaria del comune, con i vincoli di bilancio ed il rispetto dei vincoli di finanza pubblica. </w:t>
      </w:r>
    </w:p>
    <w:p w14:paraId="60FA0278" w14:textId="77777777" w:rsidR="009F183C" w:rsidRDefault="00757AA1">
      <w:pPr>
        <w:rPr>
          <w:rFonts w:cs="Arial"/>
          <w:sz w:val="20"/>
        </w:rPr>
      </w:pPr>
      <w:r>
        <w:rPr>
          <w:rFonts w:cs="Arial"/>
          <w:sz w:val="20"/>
        </w:rPr>
        <w:t>L’organo di revisione ha accertato che le risorse variabili di cui all’art. 15, c. 2 e 5, del CCNL 1999, sono state destinate per l’attivazione di nuovi servizi e/o all’incremento dei servizi esistenti.</w:t>
      </w:r>
    </w:p>
    <w:p w14:paraId="723D98B9" w14:textId="77777777" w:rsidR="009F183C" w:rsidRDefault="00757AA1">
      <w:pPr>
        <w:rPr>
          <w:rFonts w:cs="Arial"/>
          <w:sz w:val="20"/>
        </w:rPr>
      </w:pPr>
      <w:r>
        <w:rPr>
          <w:rFonts w:cs="Arial"/>
          <w:sz w:val="20"/>
        </w:rPr>
        <w:t>L’organo di revisione ha accertato che gli obiettivi siano definiti prima dell’inizio dell’esercizio ed in coerenza con quelli di bilancio ed il loro conseguimento costituisca condizione per l’erogazione degli incentivi previsti dalla contrattazione integrativa (art. 5 comma 1 del D.Lgs. 150/2009).</w:t>
      </w:r>
    </w:p>
    <w:p w14:paraId="4018D6F6" w14:textId="77777777" w:rsidR="009F183C" w:rsidRDefault="00757AA1">
      <w:pPr>
        <w:rPr>
          <w:rFonts w:cs="Arial"/>
          <w:i/>
          <w:color w:val="00B0F0"/>
          <w:sz w:val="20"/>
        </w:rPr>
      </w:pPr>
      <w:r>
        <w:rPr>
          <w:rFonts w:cs="Arial"/>
          <w:i/>
          <w:color w:val="00B0F0"/>
          <w:sz w:val="20"/>
        </w:rPr>
        <w:t>(A titolo meramente indicativo le spese per la contrattazione integrativa si possono considerare congrue se la loro percentuale di incidenza sulle spese di personale è vicina al 10%)</w:t>
      </w:r>
    </w:p>
    <w:p w14:paraId="13FB689F" w14:textId="77777777" w:rsidR="009F183C" w:rsidRDefault="009F183C">
      <w:pPr>
        <w:pStyle w:val="TB"/>
        <w:rPr>
          <w:b/>
          <w:i/>
          <w:sz w:val="24"/>
          <w:szCs w:val="24"/>
          <w:u w:val="single"/>
        </w:rPr>
      </w:pPr>
    </w:p>
    <w:p w14:paraId="2EE959A7" w14:textId="77777777" w:rsidR="009F183C" w:rsidRDefault="00757AA1">
      <w:pPr>
        <w:pStyle w:val="Titolo1"/>
        <w:shd w:val="clear" w:color="auto" w:fill="D6E3BC" w:themeFill="accent3" w:themeFillTint="66"/>
        <w:rPr>
          <w:b w:val="0"/>
          <w:i w:val="0"/>
          <w:sz w:val="24"/>
          <w:szCs w:val="24"/>
          <w:u w:val="single"/>
        </w:rPr>
      </w:pPr>
      <w:bookmarkStart w:id="68" w:name="_Toc507691948"/>
      <w:r>
        <w:t>VERIFICA RISPETTO VINCOLI IN MATERIA DI CONTENIMENTO DELLE SPESE</w:t>
      </w:r>
      <w:bookmarkEnd w:id="68"/>
    </w:p>
    <w:p w14:paraId="492136DB" w14:textId="77777777" w:rsidR="009F183C" w:rsidRDefault="009F183C">
      <w:pPr>
        <w:pStyle w:val="TB"/>
        <w:rPr>
          <w:b/>
          <w:i/>
          <w:sz w:val="24"/>
          <w:szCs w:val="24"/>
          <w:u w:val="single"/>
        </w:rPr>
      </w:pPr>
    </w:p>
    <w:p w14:paraId="1A424B93" w14:textId="77777777" w:rsidR="009F183C" w:rsidRDefault="00757AA1">
      <w:pPr>
        <w:rPr>
          <w:rFonts w:cs="Arial"/>
          <w:sz w:val="20"/>
        </w:rPr>
      </w:pPr>
      <w:r>
        <w:rPr>
          <w:rFonts w:cs="Arial"/>
          <w:sz w:val="20"/>
        </w:rPr>
        <w:t>L’Ente, avendo provveduto all’approvazione del Rendiconto 2016 entro il termine del 30/04/2017 non è tenuto al rispetto dei seguenti vincoli:</w:t>
      </w:r>
    </w:p>
    <w:p w14:paraId="7C59FBF9" w14:textId="77777777" w:rsidR="009F183C" w:rsidRDefault="00757AA1">
      <w:pPr>
        <w:rPr>
          <w:rFonts w:cs="Arial"/>
          <w:sz w:val="20"/>
        </w:rPr>
      </w:pPr>
      <w:r>
        <w:rPr>
          <w:rFonts w:cs="Arial"/>
          <w:sz w:val="20"/>
        </w:rPr>
        <w:t>-   Vincoli previsti dall’articolo 6 del dl 78/2010 e da successive norme di finanza pubblica in materia di:</w:t>
      </w:r>
    </w:p>
    <w:p w14:paraId="23247ACB" w14:textId="77777777" w:rsidR="009F183C" w:rsidRDefault="00757AA1">
      <w:pPr>
        <w:numPr>
          <w:ilvl w:val="0"/>
          <w:numId w:val="35"/>
        </w:numPr>
        <w:rPr>
          <w:rFonts w:cs="Arial"/>
          <w:sz w:val="20"/>
        </w:rPr>
      </w:pPr>
      <w:r>
        <w:rPr>
          <w:rFonts w:cs="Arial"/>
          <w:i/>
          <w:iCs/>
          <w:sz w:val="20"/>
        </w:rPr>
        <w:t xml:space="preserve">spese per studi ed incarichi di consulenza (comma 7); </w:t>
      </w:r>
    </w:p>
    <w:p w14:paraId="4987709F" w14:textId="77777777" w:rsidR="009F183C" w:rsidRDefault="00757AA1">
      <w:pPr>
        <w:numPr>
          <w:ilvl w:val="0"/>
          <w:numId w:val="35"/>
        </w:numPr>
        <w:rPr>
          <w:rFonts w:cs="Arial"/>
          <w:sz w:val="20"/>
        </w:rPr>
      </w:pPr>
      <w:r>
        <w:rPr>
          <w:rFonts w:cs="Arial"/>
          <w:i/>
          <w:iCs/>
          <w:sz w:val="20"/>
        </w:rPr>
        <w:t xml:space="preserve">per relazioni pubbliche, convegni, pubblicità e di rappresentanza (comma 8); </w:t>
      </w:r>
    </w:p>
    <w:p w14:paraId="6BF86A69" w14:textId="77777777" w:rsidR="009F183C" w:rsidRDefault="00757AA1">
      <w:pPr>
        <w:numPr>
          <w:ilvl w:val="0"/>
          <w:numId w:val="35"/>
        </w:numPr>
        <w:rPr>
          <w:rFonts w:cs="Arial"/>
          <w:sz w:val="20"/>
        </w:rPr>
      </w:pPr>
      <w:r>
        <w:rPr>
          <w:rFonts w:cs="Arial"/>
          <w:i/>
          <w:iCs/>
          <w:sz w:val="20"/>
        </w:rPr>
        <w:t xml:space="preserve">per sponsorizzazioni (comma 9); </w:t>
      </w:r>
    </w:p>
    <w:p w14:paraId="34173881" w14:textId="77777777" w:rsidR="009F183C" w:rsidRDefault="00757AA1">
      <w:pPr>
        <w:numPr>
          <w:ilvl w:val="0"/>
          <w:numId w:val="35"/>
        </w:numPr>
        <w:rPr>
          <w:rFonts w:cs="Arial"/>
          <w:sz w:val="20"/>
        </w:rPr>
      </w:pPr>
      <w:r>
        <w:rPr>
          <w:rFonts w:cs="Arial"/>
          <w:i/>
          <w:iCs/>
          <w:sz w:val="20"/>
        </w:rPr>
        <w:t>per attività di formazione (comma 13)</w:t>
      </w:r>
    </w:p>
    <w:p w14:paraId="79DF782A" w14:textId="77777777" w:rsidR="009F183C" w:rsidRDefault="00757AA1">
      <w:pPr>
        <w:rPr>
          <w:rFonts w:cs="Arial"/>
          <w:sz w:val="20"/>
        </w:rPr>
      </w:pPr>
      <w:r>
        <w:rPr>
          <w:rFonts w:cs="Arial"/>
          <w:sz w:val="20"/>
        </w:rPr>
        <w:t>e dei vincoli previsti dall’art.27 comma 1 del D.L. 112/2008:</w:t>
      </w:r>
    </w:p>
    <w:p w14:paraId="0D11D228" w14:textId="77777777" w:rsidR="009F183C" w:rsidRDefault="00757AA1">
      <w:pPr>
        <w:rPr>
          <w:rFonts w:cs="Arial"/>
          <w:sz w:val="20"/>
        </w:rPr>
      </w:pPr>
      <w:r>
        <w:rPr>
          <w:rFonts w:cs="Arial"/>
          <w:i/>
          <w:iCs/>
          <w:sz w:val="20"/>
        </w:rPr>
        <w:t>«dal 1° gennaio 2009, le amministrazioni pubbliche riducono del 50% rispetto a quella dell'anno 2007, la spesa per la stampa delle relazioni e di ogni altra pubblicazione prevista da leggi e regolamenti e distribuita gratuitamente od inviata ad altre amministrazioni»</w:t>
      </w:r>
    </w:p>
    <w:p w14:paraId="7FB7F569" w14:textId="77777777" w:rsidR="009F183C" w:rsidRDefault="009F183C">
      <w:pPr>
        <w:rPr>
          <w:rFonts w:cs="Arial"/>
          <w:sz w:val="20"/>
        </w:rPr>
      </w:pPr>
    </w:p>
    <w:p w14:paraId="4F4EB5C7" w14:textId="77777777" w:rsidR="009F183C" w:rsidRDefault="00757AA1">
      <w:pPr>
        <w:rPr>
          <w:rFonts w:cs="Arial"/>
          <w:i/>
          <w:color w:val="000000" w:themeColor="text1"/>
          <w:sz w:val="20"/>
        </w:rPr>
      </w:pPr>
      <w:r>
        <w:rPr>
          <w:rFonts w:cs="Arial"/>
          <w:i/>
          <w:color w:val="000000" w:themeColor="text1"/>
          <w:sz w:val="20"/>
        </w:rPr>
        <w:t>Oppure</w:t>
      </w:r>
    </w:p>
    <w:p w14:paraId="19A07E38" w14:textId="77777777" w:rsidR="009F183C" w:rsidRDefault="00757AA1">
      <w:pPr>
        <w:rPr>
          <w:rFonts w:cs="Arial"/>
          <w:sz w:val="20"/>
        </w:rPr>
      </w:pPr>
      <w:r>
        <w:rPr>
          <w:rFonts w:cs="Arial"/>
          <w:sz w:val="20"/>
        </w:rPr>
        <w:t>L’organo di revisione ha verificato il rispetto dei suddetti vincoli:</w:t>
      </w:r>
    </w:p>
    <w:p w14:paraId="3D16E58A" w14:textId="77777777" w:rsidR="009F183C" w:rsidRDefault="00757AA1">
      <w:pPr>
        <w:rPr>
          <w:rFonts w:cs="Arial"/>
          <w:sz w:val="20"/>
        </w:rPr>
      </w:pPr>
      <w:r>
        <w:rPr>
          <w:rFonts w:cs="Arial"/>
          <w:sz w:val="20"/>
        </w:rPr>
        <w:t>(</w:t>
      </w:r>
      <w:r>
        <w:rPr>
          <w:rFonts w:cs="Arial"/>
          <w:i/>
          <w:sz w:val="20"/>
        </w:rPr>
        <w:t>specificare</w:t>
      </w:r>
      <w:r>
        <w:rPr>
          <w:rFonts w:cs="Arial"/>
          <w:sz w:val="20"/>
        </w:rPr>
        <w:t>)</w:t>
      </w:r>
    </w:p>
    <w:p w14:paraId="3270A5A4" w14:textId="77777777" w:rsidR="009F183C" w:rsidRDefault="009F183C">
      <w:pPr>
        <w:pStyle w:val="TB"/>
        <w:rPr>
          <w:b/>
          <w:i/>
          <w:sz w:val="24"/>
          <w:szCs w:val="24"/>
          <w:u w:val="single"/>
        </w:rPr>
      </w:pPr>
    </w:p>
    <w:p w14:paraId="4AC58E4D" w14:textId="77777777" w:rsidR="00883443" w:rsidRDefault="00883443">
      <w:pPr>
        <w:pStyle w:val="TB"/>
        <w:rPr>
          <w:b/>
          <w:sz w:val="24"/>
          <w:szCs w:val="24"/>
          <w:u w:val="single"/>
        </w:rPr>
      </w:pPr>
    </w:p>
    <w:p w14:paraId="0220D992" w14:textId="77777777" w:rsidR="00883443" w:rsidRDefault="00883443">
      <w:pPr>
        <w:pStyle w:val="TB"/>
        <w:rPr>
          <w:b/>
          <w:sz w:val="24"/>
          <w:szCs w:val="24"/>
          <w:u w:val="single"/>
        </w:rPr>
      </w:pPr>
    </w:p>
    <w:p w14:paraId="268F5B7F" w14:textId="4353D50B" w:rsidR="009F183C" w:rsidRDefault="00757AA1">
      <w:pPr>
        <w:pStyle w:val="TB"/>
        <w:rPr>
          <w:b/>
          <w:sz w:val="24"/>
          <w:szCs w:val="24"/>
          <w:u w:val="single"/>
        </w:rPr>
      </w:pPr>
      <w:r>
        <w:rPr>
          <w:b/>
          <w:sz w:val="24"/>
          <w:szCs w:val="24"/>
          <w:u w:val="single"/>
        </w:rPr>
        <w:t>Spese per incarichi di collaborazione autonoma – studi e consulenza</w:t>
      </w:r>
    </w:p>
    <w:p w14:paraId="64B5E596" w14:textId="77777777" w:rsidR="009F183C" w:rsidRDefault="009F183C">
      <w:pPr>
        <w:pStyle w:val="TB"/>
        <w:rPr>
          <w:sz w:val="20"/>
          <w:szCs w:val="20"/>
        </w:rPr>
      </w:pPr>
    </w:p>
    <w:p w14:paraId="31358C27" w14:textId="77777777" w:rsidR="009F183C" w:rsidRDefault="00757AA1">
      <w:pPr>
        <w:pStyle w:val="TB"/>
        <w:rPr>
          <w:sz w:val="20"/>
          <w:szCs w:val="20"/>
        </w:rPr>
      </w:pPr>
      <w:r>
        <w:rPr>
          <w:sz w:val="20"/>
          <w:szCs w:val="20"/>
        </w:rPr>
        <w:t>L’ente ha rispettato il limite massimo per incarichi di collaborazione autonoma stabilito dall’art. 14 del D.L. n. 66/2014 non avendo superato le seguenti percentuali della spesa di personale risultante dal conto annuale del 2012:</w:t>
      </w:r>
    </w:p>
    <w:p w14:paraId="6E4E73C8" w14:textId="77777777" w:rsidR="009F183C" w:rsidRDefault="00757AA1">
      <w:pPr>
        <w:pStyle w:val="TB"/>
        <w:rPr>
          <w:sz w:val="20"/>
          <w:szCs w:val="20"/>
        </w:rPr>
      </w:pPr>
      <w:r>
        <w:rPr>
          <w:sz w:val="20"/>
          <w:szCs w:val="20"/>
        </w:rPr>
        <w:t>- 4,5% con spesa di personale pari o inferiore a 5 milioni di euro;</w:t>
      </w:r>
    </w:p>
    <w:p w14:paraId="52BCA1A9" w14:textId="77777777" w:rsidR="009F183C" w:rsidRDefault="00757AA1">
      <w:pPr>
        <w:pStyle w:val="TB"/>
        <w:rPr>
          <w:sz w:val="20"/>
          <w:szCs w:val="20"/>
        </w:rPr>
      </w:pPr>
      <w:r>
        <w:rPr>
          <w:sz w:val="20"/>
          <w:szCs w:val="20"/>
        </w:rPr>
        <w:t xml:space="preserve">- 1,1% con spesa di personale superiore a 5 milioni di euro. </w:t>
      </w:r>
    </w:p>
    <w:p w14:paraId="2992C0B7" w14:textId="77777777" w:rsidR="009F183C" w:rsidRDefault="009F183C">
      <w:pPr>
        <w:rPr>
          <w:rFonts w:cs="Arial"/>
          <w:sz w:val="20"/>
        </w:rPr>
      </w:pPr>
    </w:p>
    <w:p w14:paraId="7DF7EAAB" w14:textId="77777777" w:rsidR="009F183C" w:rsidRDefault="00757AA1">
      <w:pPr>
        <w:rPr>
          <w:rFonts w:cs="Arial"/>
          <w:sz w:val="20"/>
        </w:rPr>
      </w:pPr>
      <w:r>
        <w:rPr>
          <w:rFonts w:cs="Arial"/>
          <w:sz w:val="20"/>
        </w:rPr>
        <w:lastRenderedPageBreak/>
        <w:t>Le spese impegnate per studi e consulenze rispettano il limite stabilito dall’art. 14 del d.l.66/2014, non superando le seguenti percentuali della spesa di personale risultante dal conto annuale del 2012:</w:t>
      </w:r>
    </w:p>
    <w:p w14:paraId="2AF2992F" w14:textId="77777777" w:rsidR="009F183C" w:rsidRDefault="00757AA1">
      <w:pPr>
        <w:rPr>
          <w:rFonts w:cs="Arial"/>
          <w:sz w:val="20"/>
        </w:rPr>
      </w:pPr>
      <w:r>
        <w:rPr>
          <w:rFonts w:cs="Arial"/>
          <w:sz w:val="20"/>
        </w:rPr>
        <w:t>4,2% con spesa di personale pari o inferiore a 5 milioni di euro;</w:t>
      </w:r>
    </w:p>
    <w:p w14:paraId="37EB6BAD" w14:textId="77777777" w:rsidR="009F183C" w:rsidRDefault="00757AA1">
      <w:pPr>
        <w:rPr>
          <w:rFonts w:cs="Arial"/>
          <w:sz w:val="20"/>
        </w:rPr>
      </w:pPr>
      <w:r>
        <w:rPr>
          <w:rFonts w:cs="Arial"/>
          <w:sz w:val="20"/>
        </w:rPr>
        <w:t xml:space="preserve">1,4% con spesa di personale superiore a 5 milioni di euro. </w:t>
      </w:r>
    </w:p>
    <w:p w14:paraId="5D8EB040" w14:textId="77777777" w:rsidR="009F183C" w:rsidRDefault="009F183C"/>
    <w:p w14:paraId="460C7060" w14:textId="77777777" w:rsidR="009F183C" w:rsidRDefault="00757AA1">
      <w:pPr>
        <w:pStyle w:val="TB"/>
        <w:rPr>
          <w:b/>
          <w:sz w:val="24"/>
          <w:szCs w:val="24"/>
          <w:u w:val="single"/>
        </w:rPr>
      </w:pPr>
      <w:bookmarkStart w:id="69" w:name="_MON_1550493871"/>
      <w:bookmarkEnd w:id="69"/>
      <w:r>
        <w:rPr>
          <w:b/>
          <w:sz w:val="24"/>
          <w:szCs w:val="24"/>
          <w:u w:val="single"/>
        </w:rPr>
        <w:t>Spese di rappresentanza</w:t>
      </w:r>
    </w:p>
    <w:p w14:paraId="663FE6A5" w14:textId="77777777" w:rsidR="009F183C" w:rsidRDefault="00757AA1">
      <w:pPr>
        <w:rPr>
          <w:rFonts w:cs="Arial"/>
          <w:sz w:val="20"/>
        </w:rPr>
      </w:pPr>
      <w:r>
        <w:rPr>
          <w:rFonts w:cs="Arial"/>
          <w:sz w:val="20"/>
        </w:rPr>
        <w:t>Le spese di rappresentanza sostenute nel 2017 ammontano ad euro………… come da prospetto allegato al rendiconto.</w:t>
      </w:r>
    </w:p>
    <w:p w14:paraId="3C8024A1" w14:textId="77777777" w:rsidR="009F183C" w:rsidRDefault="00757AA1">
      <w:pPr>
        <w:rPr>
          <w:rFonts w:cs="Arial"/>
          <w:i/>
          <w:color w:val="00B0F0"/>
          <w:sz w:val="20"/>
        </w:rPr>
      </w:pPr>
      <w:r>
        <w:rPr>
          <w:rFonts w:cs="Arial"/>
          <w:i/>
          <w:color w:val="00B0F0"/>
          <w:sz w:val="20"/>
        </w:rPr>
        <w:t xml:space="preserve"> (L’art.16, comma 26 del D.L. 138/2011, dispone l’obbligo per i Comuni di elencare le spese di rappresentanza sostenute in ciascun anno in un prospetto (lo schema tipo sarà indicato dal Ministro dell’Interno) da allegare al rendiconto e da trasmettere alla Sezione regionale di controllo della Corte dei conti. Il prospetto deve essere pubblicato nel sito web dell’ente entro 10 giorni dalla approvazione del rendiconto).</w:t>
      </w:r>
    </w:p>
    <w:p w14:paraId="1B0A026B" w14:textId="77777777" w:rsidR="009F183C" w:rsidRDefault="009F183C">
      <w:pPr>
        <w:pStyle w:val="TB"/>
        <w:rPr>
          <w:rFonts w:cs="Verdana"/>
          <w:color w:val="4F81BD" w:themeColor="accent1"/>
          <w:sz w:val="20"/>
          <w:szCs w:val="20"/>
        </w:rPr>
      </w:pPr>
    </w:p>
    <w:p w14:paraId="6A0B72BF" w14:textId="77777777" w:rsidR="009F183C" w:rsidRDefault="00757AA1">
      <w:pPr>
        <w:pStyle w:val="Sottotitolo"/>
        <w:jc w:val="both"/>
        <w:outlineLvl w:val="9"/>
        <w:rPr>
          <w:rFonts w:ascii="Arial" w:hAnsi="Arial" w:cs="Arial"/>
          <w:b/>
          <w:sz w:val="22"/>
          <w:szCs w:val="22"/>
        </w:rPr>
      </w:pPr>
      <w:r>
        <w:rPr>
          <w:rFonts w:ascii="Arial" w:eastAsia="Times New Roman" w:hAnsi="Arial" w:cs="ArialMT"/>
          <w:b/>
          <w:color w:val="000000"/>
          <w:u w:val="single"/>
          <w:lang w:eastAsia="en-US"/>
        </w:rPr>
        <w:t>Spese per autovetture</w:t>
      </w:r>
      <w:r>
        <w:rPr>
          <w:rFonts w:ascii="Arial" w:hAnsi="Arial" w:cs="Arial"/>
          <w:b/>
          <w:sz w:val="22"/>
          <w:szCs w:val="22"/>
        </w:rPr>
        <w:t xml:space="preserve"> </w:t>
      </w:r>
    </w:p>
    <w:p w14:paraId="543E0C36" w14:textId="77777777" w:rsidR="009F183C" w:rsidRDefault="00757AA1">
      <w:pPr>
        <w:pStyle w:val="Sottotitolo"/>
        <w:jc w:val="both"/>
        <w:outlineLvl w:val="9"/>
        <w:rPr>
          <w:rFonts w:ascii="Arial" w:eastAsia="Times New Roman" w:hAnsi="Arial" w:cs="Arial"/>
          <w:color w:val="000000"/>
          <w:sz w:val="20"/>
          <w:szCs w:val="20"/>
        </w:rPr>
      </w:pPr>
      <w:r>
        <w:rPr>
          <w:rFonts w:ascii="Arial" w:eastAsia="Times New Roman" w:hAnsi="Arial" w:cs="Arial"/>
          <w:color w:val="000000"/>
          <w:sz w:val="20"/>
          <w:szCs w:val="20"/>
        </w:rPr>
        <w:t>(art.5 comma 2 D.L 95/2012)</w:t>
      </w:r>
    </w:p>
    <w:p w14:paraId="6B675300" w14:textId="019E20E6" w:rsidR="009F183C" w:rsidRDefault="00757AA1">
      <w:pPr>
        <w:pStyle w:val="Corpodeltesto3"/>
        <w:spacing w:before="120"/>
        <w:rPr>
          <w:rFonts w:cs="Arial"/>
          <w:b/>
          <w:i/>
          <w:color w:val="0000FF"/>
          <w:u w:val="single"/>
        </w:rPr>
      </w:pPr>
      <w:r>
        <w:rPr>
          <w:rFonts w:cs="Arial"/>
          <w:color w:val="000000"/>
        </w:rPr>
        <w:t xml:space="preserve">L’ente </w:t>
      </w:r>
      <w:r>
        <w:rPr>
          <w:rFonts w:cs="Arial"/>
          <w:b/>
        </w:rPr>
        <w:t>ha/non ha</w:t>
      </w:r>
      <w:r>
        <w:rPr>
          <w:rFonts w:cs="Arial"/>
        </w:rPr>
        <w:t xml:space="preserve"> </w:t>
      </w:r>
      <w:r>
        <w:rPr>
          <w:rFonts w:cs="Arial"/>
          <w:color w:val="000000"/>
        </w:rPr>
        <w:t xml:space="preserve">rispettato il limite disposto dall’art. 5, comma 2 del </w:t>
      </w:r>
      <w:r w:rsidR="00C0640C">
        <w:rPr>
          <w:rFonts w:cs="Arial"/>
          <w:color w:val="000000"/>
        </w:rPr>
        <w:t>D</w:t>
      </w:r>
      <w:r>
        <w:rPr>
          <w:rFonts w:cs="Arial"/>
          <w:color w:val="000000"/>
        </w:rPr>
        <w:t>.</w:t>
      </w:r>
      <w:r w:rsidR="00C0640C">
        <w:rPr>
          <w:rFonts w:cs="Arial"/>
          <w:color w:val="000000"/>
        </w:rPr>
        <w:t>L</w:t>
      </w:r>
      <w:r>
        <w:rPr>
          <w:rFonts w:cs="Arial"/>
          <w:color w:val="000000"/>
        </w:rPr>
        <w:t xml:space="preserve">. 95/2012, non superando per l'acquisto, la manutenzione, il noleggio e l'esercizio di autovetture, nonché per l'acquisto di buoni taxi, il 30 per cento della spesa sostenuta nell'anno 2011. Restano escluse dalla limitazione la spesa per autovetture utilizzate per i servizi istituzionali di tutela dell'ordine e della sicurezza pubblica, per i servizi sociali e sanitari svolti per garantire i livelli essenziali di assistenza. </w:t>
      </w:r>
    </w:p>
    <w:p w14:paraId="75E8099A" w14:textId="77777777" w:rsidR="009F183C" w:rsidRDefault="009F183C">
      <w:pPr>
        <w:pStyle w:val="Sottotitolo"/>
        <w:jc w:val="left"/>
        <w:rPr>
          <w:rFonts w:ascii="Arial" w:hAnsi="Arial" w:cs="Arial"/>
          <w:b/>
          <w:sz w:val="22"/>
          <w:szCs w:val="22"/>
        </w:rPr>
      </w:pPr>
    </w:p>
    <w:p w14:paraId="61C55AA5" w14:textId="77777777" w:rsidR="009F183C" w:rsidRDefault="00757AA1">
      <w:pPr>
        <w:pStyle w:val="Sottotitolo"/>
        <w:jc w:val="both"/>
        <w:outlineLvl w:val="9"/>
        <w:rPr>
          <w:rFonts w:ascii="Arial" w:hAnsi="Arial" w:cs="Arial"/>
          <w:b/>
          <w:sz w:val="22"/>
          <w:szCs w:val="22"/>
        </w:rPr>
      </w:pPr>
      <w:r>
        <w:rPr>
          <w:rFonts w:ascii="Arial" w:eastAsia="Times New Roman" w:hAnsi="Arial" w:cs="ArialMT"/>
          <w:b/>
          <w:color w:val="000000"/>
          <w:u w:val="single"/>
          <w:lang w:eastAsia="en-US"/>
        </w:rPr>
        <w:t>Limitazione incarichi in materia informatica</w:t>
      </w:r>
      <w:r>
        <w:rPr>
          <w:rFonts w:ascii="Arial" w:hAnsi="Arial" w:cs="Arial"/>
          <w:b/>
          <w:sz w:val="22"/>
          <w:szCs w:val="22"/>
        </w:rPr>
        <w:t xml:space="preserve"> </w:t>
      </w:r>
    </w:p>
    <w:p w14:paraId="6B3355F6" w14:textId="77777777" w:rsidR="009F183C" w:rsidRDefault="00757AA1">
      <w:pPr>
        <w:pStyle w:val="Sottotitolo"/>
        <w:jc w:val="both"/>
        <w:outlineLvl w:val="9"/>
        <w:rPr>
          <w:rFonts w:ascii="Arial" w:eastAsia="Times New Roman" w:hAnsi="Arial" w:cs="Arial"/>
          <w:color w:val="000000"/>
          <w:sz w:val="20"/>
          <w:szCs w:val="20"/>
        </w:rPr>
      </w:pPr>
      <w:r>
        <w:rPr>
          <w:rFonts w:ascii="Arial" w:eastAsia="Times New Roman" w:hAnsi="Arial" w:cs="Arial"/>
          <w:color w:val="000000"/>
          <w:sz w:val="20"/>
          <w:szCs w:val="20"/>
        </w:rPr>
        <w:t xml:space="preserve">(L. n.228 del 24/12/2012, art.1 commi 146 e 147) </w:t>
      </w:r>
    </w:p>
    <w:p w14:paraId="2B75BF65" w14:textId="4B6101A3" w:rsidR="009F183C" w:rsidRDefault="00757AA1">
      <w:pPr>
        <w:pStyle w:val="NormaleWeb"/>
        <w:jc w:val="both"/>
        <w:rPr>
          <w:rFonts w:ascii="Arial" w:hAnsi="Arial" w:cs="Arial"/>
          <w:sz w:val="20"/>
          <w:szCs w:val="20"/>
        </w:rPr>
      </w:pPr>
      <w:r>
        <w:rPr>
          <w:rFonts w:ascii="Arial" w:hAnsi="Arial" w:cs="Arial"/>
          <w:sz w:val="20"/>
          <w:szCs w:val="20"/>
        </w:rPr>
        <w:t xml:space="preserve">La spesa impegnata rispetta le condizioni di cui </w:t>
      </w:r>
      <w:r w:rsidR="00C0640C">
        <w:rPr>
          <w:rFonts w:ascii="Arial" w:hAnsi="Arial" w:cs="Arial"/>
          <w:sz w:val="20"/>
          <w:szCs w:val="20"/>
        </w:rPr>
        <w:t>ai commi</w:t>
      </w:r>
      <w:r>
        <w:rPr>
          <w:rFonts w:ascii="Arial" w:hAnsi="Arial" w:cs="Arial"/>
          <w:sz w:val="20"/>
          <w:szCs w:val="20"/>
        </w:rPr>
        <w:t xml:space="preserve"> 146 e 147 dell’art.1 della legge 228/2012.</w:t>
      </w:r>
    </w:p>
    <w:p w14:paraId="5F3C5770" w14:textId="77777777" w:rsidR="009F183C" w:rsidRDefault="00757AA1">
      <w:pPr>
        <w:pStyle w:val="NormaleWeb"/>
        <w:jc w:val="both"/>
        <w:rPr>
          <w:rFonts w:ascii="Arial" w:hAnsi="Arial" w:cs="Arial"/>
          <w:i/>
          <w:color w:val="00B0F0"/>
          <w:sz w:val="20"/>
          <w:szCs w:val="20"/>
        </w:rPr>
      </w:pPr>
      <w:r>
        <w:rPr>
          <w:rFonts w:ascii="Arial" w:hAnsi="Arial" w:cs="Arial"/>
          <w:i/>
          <w:color w:val="00B0F0"/>
          <w:sz w:val="20"/>
          <w:szCs w:val="20"/>
        </w:rPr>
        <w:t>Gli enti locali dall’1/1/2013 possono conferire incarichi di consulenza in materia informatica solo in casi eccezionali, adeguatamente motivati, in cui occorra provvedere alla soluzione di problemi specifici connessi al funzionamento dei sistemi informatici. La violazione della disposizione di cui al presente comma è valutabile ai fini della responsabilità amministrativa e disciplinare dei dirigenti.</w:t>
      </w:r>
    </w:p>
    <w:p w14:paraId="28F3440C" w14:textId="45BDC8A0" w:rsidR="009F183C" w:rsidRDefault="00757AA1">
      <w:pPr>
        <w:rPr>
          <w:rFonts w:cs="Arial"/>
          <w:bCs/>
          <w:iCs/>
          <w:sz w:val="20"/>
        </w:rPr>
      </w:pPr>
      <w:r>
        <w:rPr>
          <w:rFonts w:cs="Arial"/>
          <w:bCs/>
          <w:iCs/>
          <w:sz w:val="20"/>
        </w:rPr>
        <w:t>L’ente ha rispettato le disposizion</w:t>
      </w:r>
      <w:r w:rsidR="00C0640C">
        <w:rPr>
          <w:rFonts w:cs="Arial"/>
          <w:bCs/>
          <w:iCs/>
          <w:sz w:val="20"/>
        </w:rPr>
        <w:t>i</w:t>
      </w:r>
      <w:r>
        <w:rPr>
          <w:rFonts w:cs="Arial"/>
          <w:bCs/>
          <w:iCs/>
          <w:sz w:val="20"/>
        </w:rPr>
        <w:t xml:space="preserve"> dell’art.9 del D</w:t>
      </w:r>
      <w:r w:rsidR="00C0640C">
        <w:rPr>
          <w:rFonts w:cs="Arial"/>
          <w:bCs/>
          <w:iCs/>
          <w:sz w:val="20"/>
        </w:rPr>
        <w:t>.L</w:t>
      </w:r>
      <w:r>
        <w:rPr>
          <w:rFonts w:cs="Arial"/>
          <w:bCs/>
          <w:iCs/>
          <w:sz w:val="20"/>
        </w:rPr>
        <w:t>. 66/2014 in tema di razionalizzazione della spesa per acquisto di beni e servizi.</w:t>
      </w:r>
    </w:p>
    <w:p w14:paraId="17864A77" w14:textId="77777777" w:rsidR="009F183C" w:rsidRDefault="009F183C">
      <w:pPr>
        <w:rPr>
          <w:rFonts w:cs="Arial"/>
          <w:bCs/>
          <w:iCs/>
          <w:sz w:val="20"/>
        </w:rPr>
      </w:pPr>
    </w:p>
    <w:p w14:paraId="15E3835C" w14:textId="77777777" w:rsidR="009F183C" w:rsidRDefault="00757AA1">
      <w:pPr>
        <w:rPr>
          <w:rFonts w:cs="Arial"/>
          <w:b/>
          <w:sz w:val="24"/>
          <w:szCs w:val="24"/>
          <w:u w:val="single"/>
        </w:rPr>
      </w:pPr>
      <w:r>
        <w:rPr>
          <w:rFonts w:cs="Arial"/>
          <w:b/>
          <w:sz w:val="24"/>
          <w:szCs w:val="24"/>
          <w:u w:val="single"/>
        </w:rPr>
        <w:t>Interessi passivi e oneri finanziari diversi</w:t>
      </w:r>
    </w:p>
    <w:p w14:paraId="543328E0" w14:textId="77777777" w:rsidR="009F183C" w:rsidRDefault="00757AA1">
      <w:pPr>
        <w:rPr>
          <w:sz w:val="20"/>
        </w:rPr>
      </w:pPr>
      <w:r>
        <w:rPr>
          <w:sz w:val="20"/>
        </w:rPr>
        <w:t>La spese per interessi passivi sui prestiti, in ammortamento nell’anno 2017, ammonta ad euro ………… e rispetto al residuo debito al 1/1/2017, determina un tasso medio del ………….%.</w:t>
      </w:r>
    </w:p>
    <w:p w14:paraId="49B40C04" w14:textId="77777777" w:rsidR="009F183C" w:rsidRDefault="00757AA1">
      <w:pPr>
        <w:rPr>
          <w:sz w:val="20"/>
        </w:rPr>
      </w:pPr>
      <w:r>
        <w:rPr>
          <w:sz w:val="20"/>
        </w:rPr>
        <w:t xml:space="preserve">Gli interessi annuali relativi alle operazioni di indebitamento garantite con fideiussioni, rilasciate dall’Ente ai sensi dell’art. 207 del TUEL, ammontano ad euro ……… </w:t>
      </w:r>
    </w:p>
    <w:p w14:paraId="050EF1AF" w14:textId="77777777" w:rsidR="00883443" w:rsidRDefault="00883443">
      <w:pPr>
        <w:rPr>
          <w:sz w:val="20"/>
        </w:rPr>
      </w:pPr>
    </w:p>
    <w:p w14:paraId="00499471" w14:textId="77777777" w:rsidR="00883443" w:rsidRDefault="00883443">
      <w:pPr>
        <w:rPr>
          <w:sz w:val="20"/>
        </w:rPr>
      </w:pPr>
    </w:p>
    <w:p w14:paraId="1B3DCBD9" w14:textId="21316DAF" w:rsidR="009F183C" w:rsidRDefault="00757AA1">
      <w:pPr>
        <w:rPr>
          <w:sz w:val="20"/>
        </w:rPr>
      </w:pPr>
      <w:r>
        <w:rPr>
          <w:sz w:val="20"/>
        </w:rPr>
        <w:t>Le garanzie rilasciate a favore degli organismi partecipati dall’Ente sono così dettagliate:</w:t>
      </w:r>
    </w:p>
    <w:p w14:paraId="2CC207DE" w14:textId="77777777" w:rsidR="009F183C" w:rsidRDefault="009F183C">
      <w:pPr>
        <w:rPr>
          <w:sz w:val="20"/>
        </w:rPr>
      </w:pPr>
    </w:p>
    <w:tbl>
      <w:tblPr>
        <w:tblStyle w:val="Grigliatabella"/>
        <w:tblW w:w="6612" w:type="dxa"/>
        <w:tblLayout w:type="fixed"/>
        <w:tblLook w:val="04A0" w:firstRow="1" w:lastRow="0" w:firstColumn="1" w:lastColumn="0" w:noHBand="0" w:noVBand="1"/>
      </w:tblPr>
      <w:tblGrid>
        <w:gridCol w:w="1653"/>
        <w:gridCol w:w="1653"/>
        <w:gridCol w:w="1653"/>
        <w:gridCol w:w="1653"/>
      </w:tblGrid>
      <w:tr w:rsidR="009F183C" w14:paraId="65888F55" w14:textId="77777777">
        <w:tc>
          <w:tcPr>
            <w:tcW w:w="2041" w:type="dxa"/>
            <w:vAlign w:val="bottom"/>
          </w:tcPr>
          <w:p w14:paraId="2AB4A6CB" w14:textId="77777777" w:rsidR="009F183C" w:rsidRDefault="00757AA1">
            <w:pPr>
              <w:jc w:val="center"/>
              <w:rPr>
                <w:b/>
                <w:sz w:val="18"/>
                <w:szCs w:val="18"/>
              </w:rPr>
            </w:pPr>
            <w:r>
              <w:rPr>
                <w:b/>
                <w:sz w:val="18"/>
                <w:szCs w:val="18"/>
              </w:rPr>
              <w:t>Denominazione sociale</w:t>
            </w:r>
          </w:p>
        </w:tc>
        <w:tc>
          <w:tcPr>
            <w:tcW w:w="2041" w:type="dxa"/>
            <w:vAlign w:val="bottom"/>
          </w:tcPr>
          <w:p w14:paraId="6F6F76BC" w14:textId="77777777" w:rsidR="009F183C" w:rsidRDefault="00757AA1">
            <w:pPr>
              <w:jc w:val="center"/>
              <w:rPr>
                <w:b/>
                <w:sz w:val="18"/>
                <w:szCs w:val="18"/>
              </w:rPr>
            </w:pPr>
            <w:r>
              <w:rPr>
                <w:b/>
                <w:sz w:val="18"/>
                <w:szCs w:val="18"/>
              </w:rPr>
              <w:t xml:space="preserve">Motivo del rilascio della garanzia </w:t>
            </w:r>
          </w:p>
        </w:tc>
        <w:tc>
          <w:tcPr>
            <w:tcW w:w="2041" w:type="dxa"/>
            <w:vAlign w:val="bottom"/>
          </w:tcPr>
          <w:p w14:paraId="222B04F5" w14:textId="77777777" w:rsidR="009F183C" w:rsidRDefault="00757AA1">
            <w:pPr>
              <w:jc w:val="center"/>
              <w:rPr>
                <w:b/>
                <w:sz w:val="18"/>
                <w:szCs w:val="18"/>
              </w:rPr>
            </w:pPr>
            <w:r>
              <w:rPr>
                <w:b/>
                <w:sz w:val="18"/>
                <w:szCs w:val="18"/>
              </w:rPr>
              <w:t>Tipologia di garanzia</w:t>
            </w:r>
          </w:p>
        </w:tc>
        <w:tc>
          <w:tcPr>
            <w:tcW w:w="2041" w:type="dxa"/>
            <w:vAlign w:val="bottom"/>
          </w:tcPr>
          <w:p w14:paraId="6769EBD1" w14:textId="77777777" w:rsidR="009F183C" w:rsidRDefault="00757AA1">
            <w:pPr>
              <w:jc w:val="center"/>
              <w:rPr>
                <w:b/>
                <w:sz w:val="18"/>
                <w:szCs w:val="18"/>
              </w:rPr>
            </w:pPr>
            <w:r>
              <w:rPr>
                <w:b/>
                <w:sz w:val="18"/>
                <w:szCs w:val="18"/>
              </w:rPr>
              <w:t>Importo della garanzia</w:t>
            </w:r>
          </w:p>
        </w:tc>
      </w:tr>
      <w:tr w:rsidR="009F183C" w14:paraId="78452D9E" w14:textId="77777777">
        <w:trPr>
          <w:trHeight w:val="567"/>
        </w:trPr>
        <w:tc>
          <w:tcPr>
            <w:tcW w:w="2041" w:type="dxa"/>
          </w:tcPr>
          <w:p w14:paraId="42EFAAFC" w14:textId="77777777" w:rsidR="009F183C" w:rsidRDefault="009F183C"/>
        </w:tc>
        <w:tc>
          <w:tcPr>
            <w:tcW w:w="2041" w:type="dxa"/>
          </w:tcPr>
          <w:p w14:paraId="7F7F7017" w14:textId="77777777" w:rsidR="009F183C" w:rsidRDefault="009F183C"/>
        </w:tc>
        <w:tc>
          <w:tcPr>
            <w:tcW w:w="2041" w:type="dxa"/>
          </w:tcPr>
          <w:p w14:paraId="56FC2DCC" w14:textId="77777777" w:rsidR="009F183C" w:rsidRDefault="009F183C"/>
        </w:tc>
        <w:tc>
          <w:tcPr>
            <w:tcW w:w="2041" w:type="dxa"/>
          </w:tcPr>
          <w:p w14:paraId="2375C64D" w14:textId="77777777" w:rsidR="009F183C" w:rsidRDefault="009F183C"/>
        </w:tc>
      </w:tr>
      <w:tr w:rsidR="009F183C" w14:paraId="735F46B3" w14:textId="77777777">
        <w:trPr>
          <w:trHeight w:val="567"/>
        </w:trPr>
        <w:tc>
          <w:tcPr>
            <w:tcW w:w="2041" w:type="dxa"/>
          </w:tcPr>
          <w:p w14:paraId="10F408B4" w14:textId="77777777" w:rsidR="009F183C" w:rsidRDefault="009F183C"/>
        </w:tc>
        <w:tc>
          <w:tcPr>
            <w:tcW w:w="2041" w:type="dxa"/>
          </w:tcPr>
          <w:p w14:paraId="7CFE9011" w14:textId="77777777" w:rsidR="009F183C" w:rsidRDefault="009F183C"/>
        </w:tc>
        <w:tc>
          <w:tcPr>
            <w:tcW w:w="2041" w:type="dxa"/>
          </w:tcPr>
          <w:p w14:paraId="4CE9E299" w14:textId="77777777" w:rsidR="009F183C" w:rsidRDefault="009F183C"/>
        </w:tc>
        <w:tc>
          <w:tcPr>
            <w:tcW w:w="2041" w:type="dxa"/>
          </w:tcPr>
          <w:p w14:paraId="43A6DC53" w14:textId="77777777" w:rsidR="009F183C" w:rsidRDefault="009F183C"/>
        </w:tc>
      </w:tr>
      <w:tr w:rsidR="009F183C" w14:paraId="5D2C117E" w14:textId="77777777">
        <w:trPr>
          <w:trHeight w:val="567"/>
        </w:trPr>
        <w:tc>
          <w:tcPr>
            <w:tcW w:w="2041" w:type="dxa"/>
          </w:tcPr>
          <w:p w14:paraId="2928261B" w14:textId="77777777" w:rsidR="009F183C" w:rsidRDefault="009F183C"/>
        </w:tc>
        <w:tc>
          <w:tcPr>
            <w:tcW w:w="2041" w:type="dxa"/>
          </w:tcPr>
          <w:p w14:paraId="044AB500" w14:textId="77777777" w:rsidR="009F183C" w:rsidRDefault="009F183C"/>
        </w:tc>
        <w:tc>
          <w:tcPr>
            <w:tcW w:w="2041" w:type="dxa"/>
          </w:tcPr>
          <w:p w14:paraId="410E76A6" w14:textId="77777777" w:rsidR="009F183C" w:rsidRDefault="009F183C"/>
        </w:tc>
        <w:tc>
          <w:tcPr>
            <w:tcW w:w="2041" w:type="dxa"/>
          </w:tcPr>
          <w:p w14:paraId="62EA9A3D" w14:textId="77777777" w:rsidR="009F183C" w:rsidRDefault="009F183C"/>
        </w:tc>
      </w:tr>
      <w:tr w:rsidR="009F183C" w14:paraId="6DD7F82E" w14:textId="77777777">
        <w:trPr>
          <w:trHeight w:val="567"/>
        </w:trPr>
        <w:tc>
          <w:tcPr>
            <w:tcW w:w="2041" w:type="dxa"/>
          </w:tcPr>
          <w:p w14:paraId="7EA7E7DC" w14:textId="77777777" w:rsidR="009F183C" w:rsidRDefault="009F183C"/>
        </w:tc>
        <w:tc>
          <w:tcPr>
            <w:tcW w:w="2041" w:type="dxa"/>
          </w:tcPr>
          <w:p w14:paraId="0A76E201" w14:textId="77777777" w:rsidR="009F183C" w:rsidRDefault="009F183C"/>
        </w:tc>
        <w:tc>
          <w:tcPr>
            <w:tcW w:w="2041" w:type="dxa"/>
          </w:tcPr>
          <w:p w14:paraId="0DC8F63D" w14:textId="77777777" w:rsidR="009F183C" w:rsidRDefault="009F183C"/>
        </w:tc>
        <w:tc>
          <w:tcPr>
            <w:tcW w:w="2041" w:type="dxa"/>
          </w:tcPr>
          <w:p w14:paraId="719B4CA3" w14:textId="77777777" w:rsidR="009F183C" w:rsidRDefault="009F183C"/>
        </w:tc>
      </w:tr>
    </w:tbl>
    <w:p w14:paraId="1158FD5E" w14:textId="77777777" w:rsidR="009F183C" w:rsidRDefault="009F183C">
      <w:pPr>
        <w:rPr>
          <w:sz w:val="20"/>
        </w:rPr>
      </w:pPr>
    </w:p>
    <w:p w14:paraId="1DFCADFB" w14:textId="77777777" w:rsidR="009F183C" w:rsidRDefault="00757AA1">
      <w:pPr>
        <w:rPr>
          <w:sz w:val="20"/>
        </w:rPr>
      </w:pPr>
      <w:r>
        <w:rPr>
          <w:sz w:val="20"/>
        </w:rPr>
        <w:t>In rapporto alle entrate accertate nei primi tre titoli l’incidenza degli interessi passivi è del …… %.</w:t>
      </w:r>
    </w:p>
    <w:p w14:paraId="01AB3DD2" w14:textId="77777777" w:rsidR="009F183C" w:rsidRDefault="00757AA1">
      <w:pPr>
        <w:rPr>
          <w:i/>
          <w:color w:val="00B0F0"/>
          <w:sz w:val="20"/>
        </w:rPr>
      </w:pPr>
      <w:r>
        <w:rPr>
          <w:sz w:val="20"/>
        </w:rPr>
        <w:t xml:space="preserve">In merito si osserva ………….. </w:t>
      </w:r>
      <w:r>
        <w:rPr>
          <w:b/>
          <w:i/>
          <w:color w:val="365F91"/>
          <w:sz w:val="18"/>
        </w:rPr>
        <w:t>(</w:t>
      </w:r>
      <w:r>
        <w:rPr>
          <w:b/>
          <w:i/>
          <w:color w:val="00B0F0"/>
          <w:sz w:val="18"/>
        </w:rPr>
        <w:t>indicare gli effetti sulla gestione 2017 dell’eventuale rinegoziazione dei mutui, estinzione anticipata e contratti di swap ed utilizzo strumenti di finanza innovativa)</w:t>
      </w:r>
      <w:r>
        <w:rPr>
          <w:i/>
          <w:color w:val="00B0F0"/>
          <w:sz w:val="20"/>
        </w:rPr>
        <w:t>.</w:t>
      </w:r>
    </w:p>
    <w:p w14:paraId="216F4748" w14:textId="77777777" w:rsidR="009F183C" w:rsidRDefault="00757AA1">
      <w:pPr>
        <w:rPr>
          <w:rFonts w:cs="Arial"/>
          <w:bCs/>
          <w:iCs/>
          <w:sz w:val="20"/>
        </w:rPr>
      </w:pPr>
      <w:r>
        <w:rPr>
          <w:rFonts w:cs="Arial"/>
          <w:bCs/>
          <w:iCs/>
          <w:sz w:val="20"/>
        </w:rPr>
        <w:t>L’Organo di revisione ha verificato nel caso in cui l’ente non abbia provveduto a soddisfare le rate del prestito garantito richiede l’accantonamento dell’importo corrispondente nel risultato di amministrazione.</w:t>
      </w:r>
      <w:bookmarkStart w:id="70" w:name="_Toc379377469"/>
    </w:p>
    <w:p w14:paraId="450E4C28" w14:textId="77777777" w:rsidR="009F183C" w:rsidRDefault="009F183C">
      <w:pPr>
        <w:rPr>
          <w:rFonts w:cs="Arial"/>
          <w:bCs/>
          <w:iCs/>
          <w:sz w:val="20"/>
        </w:rPr>
      </w:pPr>
    </w:p>
    <w:p w14:paraId="508C7173" w14:textId="77777777" w:rsidR="009F183C" w:rsidRDefault="00757AA1">
      <w:pPr>
        <w:rPr>
          <w:rFonts w:cs="Arial"/>
          <w:b/>
          <w:sz w:val="24"/>
          <w:szCs w:val="24"/>
          <w:u w:val="single"/>
        </w:rPr>
      </w:pPr>
      <w:r>
        <w:rPr>
          <w:rFonts w:cs="Arial"/>
          <w:b/>
          <w:sz w:val="24"/>
          <w:szCs w:val="24"/>
          <w:u w:val="single"/>
        </w:rPr>
        <w:t>Spese in conto capitale</w:t>
      </w:r>
      <w:bookmarkEnd w:id="70"/>
    </w:p>
    <w:p w14:paraId="36E9173A" w14:textId="77777777" w:rsidR="009F183C" w:rsidRDefault="00757AA1">
      <w:pPr>
        <w:pStyle w:val="Corpodeltesto3"/>
        <w:rPr>
          <w:rFonts w:cs="Arial"/>
        </w:rPr>
      </w:pPr>
      <w:r>
        <w:rPr>
          <w:rFonts w:cs="Arial"/>
        </w:rPr>
        <w:t>Dall’analisi delle spese in conto capitale di competenza si rileva quanto segue:</w:t>
      </w:r>
    </w:p>
    <w:p w14:paraId="272CECBB" w14:textId="77777777" w:rsidR="009F183C" w:rsidRDefault="00757AA1">
      <w:pPr>
        <w:pStyle w:val="Intestazione"/>
        <w:tabs>
          <w:tab w:val="clear" w:pos="4819"/>
          <w:tab w:val="clear" w:pos="9638"/>
        </w:tabs>
        <w:rPr>
          <w:rFonts w:cs="Arial"/>
          <w:i/>
          <w:color w:val="00B0F0"/>
          <w:sz w:val="18"/>
        </w:rPr>
      </w:pPr>
      <w:r>
        <w:rPr>
          <w:rFonts w:cs="Arial"/>
          <w:i/>
          <w:color w:val="00B0F0"/>
          <w:sz w:val="18"/>
        </w:rPr>
        <w:t>(nel caso di significativi scostamenti indicare le principali spese previste e non impegnate)</w:t>
      </w:r>
    </w:p>
    <w:p w14:paraId="0182818D" w14:textId="77777777" w:rsidR="009F183C" w:rsidRDefault="009F183C">
      <w:pPr>
        <w:pStyle w:val="Intestazione"/>
        <w:tabs>
          <w:tab w:val="clear" w:pos="4819"/>
          <w:tab w:val="clear" w:pos="9638"/>
        </w:tabs>
        <w:rPr>
          <w:rFonts w:cs="Arial"/>
          <w:sz w:val="24"/>
          <w:szCs w:val="24"/>
          <w:u w:val="single"/>
        </w:rPr>
      </w:pPr>
    </w:p>
    <w:p w14:paraId="06B0B9DF" w14:textId="77777777" w:rsidR="009F183C" w:rsidRDefault="00757AA1">
      <w:pPr>
        <w:pStyle w:val="Intestazione"/>
        <w:tabs>
          <w:tab w:val="clear" w:pos="4819"/>
          <w:tab w:val="clear" w:pos="9638"/>
        </w:tabs>
        <w:rPr>
          <w:rFonts w:cs="Arial"/>
          <w:b/>
          <w:sz w:val="24"/>
          <w:szCs w:val="24"/>
          <w:u w:val="single"/>
        </w:rPr>
      </w:pPr>
      <w:r>
        <w:rPr>
          <w:rFonts w:cs="Arial"/>
          <w:b/>
          <w:sz w:val="24"/>
          <w:szCs w:val="24"/>
          <w:u w:val="single"/>
        </w:rPr>
        <w:t>Sussistenza dei presupposti per acquisto immobili</w:t>
      </w:r>
    </w:p>
    <w:p w14:paraId="44D7439B" w14:textId="77777777" w:rsidR="009F183C" w:rsidRDefault="00757AA1">
      <w:pPr>
        <w:rPr>
          <w:rFonts w:cs="Arial"/>
          <w:sz w:val="20"/>
        </w:rPr>
      </w:pPr>
      <w:r>
        <w:rPr>
          <w:rFonts w:cs="Arial"/>
          <w:sz w:val="20"/>
        </w:rPr>
        <w:t>La spesa impegnata per acquisto immobili rispetta i presupposti per le condizioni di cui comma 138 art. 1 Legge 228/.</w:t>
      </w:r>
    </w:p>
    <w:p w14:paraId="11495B01" w14:textId="77777777" w:rsidR="009F183C" w:rsidRDefault="00757AA1">
      <w:pPr>
        <w:rPr>
          <w:rFonts w:cs="Arial"/>
          <w:i/>
          <w:color w:val="00B0F0"/>
          <w:sz w:val="18"/>
        </w:rPr>
      </w:pPr>
      <w:r>
        <w:rPr>
          <w:rFonts w:cs="Arial"/>
          <w:i/>
          <w:color w:val="00B0F0"/>
          <w:sz w:val="18"/>
        </w:rPr>
        <w:t>(Ai sensi del comma 1 ter dell'articolo 12 del D.L. 6 luglio 2011, n. 98, convertito, con modificazioni, dalla Legge 15 luglio 2011, n. 111, a decorrere dal 1º gennaio 2014 al fine di pervenire a risparmi di spesa ulteriori rispetto a quelli previsti dal patto di stabilità interno, gli enti territoriali effettuano operazioni di acquisto di immobili solo:</w:t>
      </w:r>
    </w:p>
    <w:p w14:paraId="4634EE4F" w14:textId="77777777" w:rsidR="009F183C" w:rsidRDefault="00757AA1">
      <w:pPr>
        <w:rPr>
          <w:rFonts w:cs="Arial"/>
          <w:i/>
          <w:color w:val="00B0F0"/>
          <w:sz w:val="18"/>
        </w:rPr>
      </w:pPr>
      <w:r>
        <w:rPr>
          <w:rFonts w:cs="Arial"/>
          <w:i/>
          <w:color w:val="00B0F0"/>
          <w:sz w:val="18"/>
        </w:rPr>
        <w:t>a) siano comprovate documentalmente l'indispensabilità e l'indilazionabilità attestate dal responsabile del procedimento;</w:t>
      </w:r>
    </w:p>
    <w:p w14:paraId="77A72855" w14:textId="77777777" w:rsidR="009F183C" w:rsidRDefault="00757AA1">
      <w:pPr>
        <w:rPr>
          <w:rFonts w:cs="Arial"/>
          <w:i/>
          <w:color w:val="00B0F0"/>
          <w:sz w:val="18"/>
        </w:rPr>
      </w:pPr>
      <w:r>
        <w:rPr>
          <w:rFonts w:cs="Arial"/>
          <w:i/>
          <w:color w:val="00B0F0"/>
          <w:sz w:val="18"/>
        </w:rPr>
        <w:t>b) la congruità del prezzo sia attestata dall'Agenzia del demanio, previo rimborso delle spese.</w:t>
      </w:r>
    </w:p>
    <w:p w14:paraId="62C34AB3" w14:textId="77777777" w:rsidR="009F183C" w:rsidRDefault="00757AA1">
      <w:pPr>
        <w:rPr>
          <w:rFonts w:cs="Arial"/>
          <w:i/>
          <w:color w:val="00B0F0"/>
          <w:sz w:val="18"/>
        </w:rPr>
      </w:pPr>
      <w:r>
        <w:rPr>
          <w:rFonts w:cs="Arial"/>
          <w:i/>
          <w:color w:val="00B0F0"/>
          <w:sz w:val="18"/>
        </w:rPr>
        <w:t>c) delle predette operazioni sia data preventiva notizia, con l'indicazione del soggetto alienante e del prezzo pattuito, nel sito internet istituzionale dell'ente.)</w:t>
      </w:r>
    </w:p>
    <w:p w14:paraId="79159EBF" w14:textId="77777777" w:rsidR="009F183C" w:rsidRDefault="009F183C">
      <w:pPr>
        <w:widowControl/>
        <w:overflowPunct/>
        <w:autoSpaceDE/>
        <w:autoSpaceDN/>
        <w:adjustRightInd/>
        <w:spacing w:after="0"/>
        <w:jc w:val="left"/>
        <w:textAlignment w:val="auto"/>
        <w:rPr>
          <w:rFonts w:cs="Arial"/>
          <w:color w:val="00B0F0"/>
          <w:sz w:val="20"/>
        </w:rPr>
      </w:pPr>
    </w:p>
    <w:p w14:paraId="4D7810E7" w14:textId="77777777" w:rsidR="009F183C" w:rsidRDefault="009F18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cs="Arial"/>
          <w:sz w:val="20"/>
        </w:rPr>
      </w:pPr>
    </w:p>
    <w:p w14:paraId="122D5027" w14:textId="77777777" w:rsidR="009F183C" w:rsidRDefault="009F18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cs="Arial"/>
          <w:sz w:val="20"/>
        </w:rPr>
      </w:pPr>
    </w:p>
    <w:p w14:paraId="6F68A0A9" w14:textId="77777777" w:rsidR="009F183C" w:rsidRDefault="009F18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cs="Arial"/>
          <w:sz w:val="20"/>
        </w:rPr>
      </w:pPr>
    </w:p>
    <w:p w14:paraId="1BE871F3" w14:textId="77777777" w:rsidR="009F183C" w:rsidRDefault="009F18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cs="Arial"/>
          <w:sz w:val="20"/>
        </w:rPr>
      </w:pPr>
    </w:p>
    <w:p w14:paraId="3F68492D" w14:textId="77777777" w:rsidR="009F183C" w:rsidRDefault="009F18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cs="Arial"/>
          <w:sz w:val="20"/>
        </w:rPr>
      </w:pPr>
    </w:p>
    <w:p w14:paraId="1ECC0B48" w14:textId="77777777" w:rsidR="009F183C" w:rsidRDefault="009F18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cs="Arial"/>
          <w:sz w:val="20"/>
        </w:rPr>
      </w:pPr>
    </w:p>
    <w:p w14:paraId="14D98B05" w14:textId="77777777" w:rsidR="009F183C" w:rsidRDefault="009F18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cs="Arial"/>
          <w:sz w:val="20"/>
        </w:rPr>
      </w:pPr>
    </w:p>
    <w:p w14:paraId="78B70BB1" w14:textId="77777777" w:rsidR="009F183C" w:rsidRDefault="009F18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cs="Arial"/>
          <w:sz w:val="20"/>
        </w:rPr>
      </w:pPr>
    </w:p>
    <w:p w14:paraId="21486D14" w14:textId="77777777" w:rsidR="009F183C" w:rsidRDefault="009F18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cs="Arial"/>
          <w:sz w:val="20"/>
        </w:rPr>
      </w:pPr>
    </w:p>
    <w:p w14:paraId="728D61C4" w14:textId="77777777" w:rsidR="009F183C" w:rsidRDefault="009F183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rPr>
          <w:rFonts w:cs="Arial"/>
          <w:sz w:val="20"/>
        </w:rPr>
      </w:pPr>
    </w:p>
    <w:p w14:paraId="40BCEBE1" w14:textId="77777777" w:rsidR="009F183C" w:rsidRDefault="009F183C">
      <w:pPr>
        <w:widowControl/>
        <w:overflowPunct/>
        <w:autoSpaceDE/>
        <w:autoSpaceDN/>
        <w:adjustRightInd/>
        <w:spacing w:after="0"/>
        <w:jc w:val="left"/>
        <w:textAlignment w:val="auto"/>
        <w:rPr>
          <w:b/>
        </w:rPr>
      </w:pPr>
    </w:p>
    <w:p w14:paraId="2AB1F6F3" w14:textId="77777777" w:rsidR="009F183C" w:rsidRDefault="00757AA1">
      <w:pPr>
        <w:pStyle w:val="Titolo1"/>
        <w:shd w:val="clear" w:color="auto" w:fill="D6E3BC" w:themeFill="accent3" w:themeFillTint="66"/>
      </w:pPr>
      <w:bookmarkStart w:id="71" w:name="_Toc379377471"/>
      <w:bookmarkStart w:id="72" w:name="_Toc507691949"/>
      <w:r>
        <w:t>ANALISI INDEBITAMENTO E GESTIONE DEL DEBITO</w:t>
      </w:r>
      <w:bookmarkEnd w:id="71"/>
      <w:bookmarkEnd w:id="72"/>
    </w:p>
    <w:p w14:paraId="085B8473" w14:textId="77777777" w:rsidR="009F183C" w:rsidRDefault="00757AA1">
      <w:pPr>
        <w:numPr>
          <w:ilvl w:val="12"/>
          <w:numId w:val="0"/>
        </w:numPr>
        <w:spacing w:before="120"/>
        <w:rPr>
          <w:rFonts w:cs="Arial"/>
          <w:sz w:val="20"/>
        </w:rPr>
      </w:pPr>
      <w:r>
        <w:rPr>
          <w:rFonts w:cs="Arial"/>
          <w:sz w:val="20"/>
        </w:rPr>
        <w:t>L’Ente ha rispettato il limite di indebitamento disposto dall’art. 204 del TUEL ottenendo le seguenti percentuali d’incidenza degli interessi passivi sulle entrate correnti:</w:t>
      </w:r>
    </w:p>
    <w:p w14:paraId="39F4DDC9" w14:textId="77777777" w:rsidR="009F183C" w:rsidRDefault="009F183C">
      <w:pPr>
        <w:numPr>
          <w:ilvl w:val="12"/>
          <w:numId w:val="0"/>
        </w:numPr>
        <w:spacing w:before="120"/>
        <w:rPr>
          <w:rFonts w:cs="Arial"/>
          <w:sz w:val="20"/>
        </w:rPr>
      </w:pPr>
    </w:p>
    <w:bookmarkStart w:id="73" w:name="_MON_1487053956"/>
    <w:bookmarkEnd w:id="73"/>
    <w:p w14:paraId="01ED2FBB" w14:textId="77777777" w:rsidR="009F183C" w:rsidRDefault="00757AA1">
      <w:pPr>
        <w:numPr>
          <w:ilvl w:val="12"/>
          <w:numId w:val="0"/>
        </w:numPr>
        <w:spacing w:before="120"/>
        <w:rPr>
          <w:rFonts w:cs="Arial"/>
          <w:sz w:val="20"/>
        </w:rPr>
      </w:pPr>
      <w:r>
        <w:rPr>
          <w:rFonts w:cs="Arial"/>
          <w:sz w:val="20"/>
        </w:rPr>
        <w:object w:dxaOrig="6627" w:dyaOrig="1469" w14:anchorId="51ED863F">
          <v:shape id="_x0000_i1058" type="#_x0000_t75" style="width:330.75pt;height:1in" o:ole="">
            <v:imagedata r:id="rId79" o:title=""/>
          </v:shape>
          <o:OLEObject Type="Embed" ProgID="Excel.Sheet.12" ShapeID="_x0000_i1058" DrawAspect="Content" ObjectID="_1780988569" r:id="rId80"/>
        </w:object>
      </w:r>
    </w:p>
    <w:p w14:paraId="034CC5E5" w14:textId="77777777" w:rsidR="009F183C" w:rsidRDefault="00757AA1">
      <w:pPr>
        <w:spacing w:before="240" w:after="240"/>
        <w:rPr>
          <w:rFonts w:cs="Arial"/>
          <w:sz w:val="20"/>
        </w:rPr>
      </w:pPr>
      <w:r>
        <w:rPr>
          <w:rFonts w:cs="Arial"/>
          <w:sz w:val="20"/>
        </w:rPr>
        <w:t>L’indebitamento dell’ente ha avuto la seguente evoluzione:</w:t>
      </w:r>
    </w:p>
    <w:bookmarkStart w:id="74" w:name="_MON_1486995094"/>
    <w:bookmarkEnd w:id="74"/>
    <w:p w14:paraId="5A54D4D9" w14:textId="13B28B76" w:rsidR="00E455CA" w:rsidRDefault="00E455CA" w:rsidP="00E455CA">
      <w:pPr>
        <w:spacing w:before="240" w:after="240"/>
        <w:rPr>
          <w:rFonts w:cs="Arial"/>
          <w:sz w:val="20"/>
        </w:rPr>
      </w:pPr>
      <w:r>
        <w:rPr>
          <w:rFonts w:cs="Arial"/>
          <w:sz w:val="20"/>
        </w:rPr>
        <w:object w:dxaOrig="8375" w:dyaOrig="3209" w14:anchorId="20440AF0">
          <v:shape id="_x0000_i1059" type="#_x0000_t75" style="width:425.25pt;height:158.25pt" o:ole="">
            <v:imagedata r:id="rId81" o:title=""/>
          </v:shape>
          <o:OLEObject Type="Embed" ProgID="Excel.Sheet.12" ShapeID="_x0000_i1059" DrawAspect="Content" ObjectID="_1780988570" r:id="rId82"/>
        </w:object>
      </w:r>
    </w:p>
    <w:p w14:paraId="316D4A4D" w14:textId="03766C57" w:rsidR="009F183C" w:rsidRDefault="00757AA1" w:rsidP="00E455CA">
      <w:pPr>
        <w:spacing w:before="240" w:after="240"/>
        <w:rPr>
          <w:rFonts w:cs="Arial"/>
          <w:sz w:val="20"/>
        </w:rPr>
      </w:pPr>
      <w:r>
        <w:rPr>
          <w:rFonts w:cs="Arial"/>
          <w:sz w:val="20"/>
        </w:rPr>
        <w:t>Gli oneri finanziari per ammortamento prestiti ed il rimborso degli stessi in conto capitale registra la seguente evoluzione:</w:t>
      </w:r>
    </w:p>
    <w:bookmarkStart w:id="75" w:name="_MON_1486995152"/>
    <w:bookmarkEnd w:id="75"/>
    <w:p w14:paraId="48C84A28" w14:textId="77777777" w:rsidR="009F183C" w:rsidRDefault="00757AA1">
      <w:pPr>
        <w:rPr>
          <w:rFonts w:cs="Arial"/>
          <w:sz w:val="20"/>
        </w:rPr>
      </w:pPr>
      <w:r>
        <w:rPr>
          <w:rFonts w:cs="Arial"/>
          <w:sz w:val="20"/>
        </w:rPr>
        <w:object w:dxaOrig="9005" w:dyaOrig="1759" w14:anchorId="6D6449D0">
          <v:shape id="_x0000_i1060" type="#_x0000_t75" style="width:446.25pt;height:86.25pt" o:ole="">
            <v:imagedata r:id="rId83" o:title=""/>
          </v:shape>
          <o:OLEObject Type="Embed" ProgID="Excel.Sheet.12" ShapeID="_x0000_i1060" DrawAspect="Content" ObjectID="_1780988571" r:id="rId84"/>
        </w:object>
      </w:r>
    </w:p>
    <w:p w14:paraId="46D1C6BC" w14:textId="77777777" w:rsidR="009F183C" w:rsidRDefault="00757AA1">
      <w:pPr>
        <w:rPr>
          <w:rFonts w:cs="Arial"/>
          <w:sz w:val="20"/>
        </w:rPr>
      </w:pPr>
      <w:r>
        <w:rPr>
          <w:rFonts w:cs="Arial"/>
          <w:sz w:val="20"/>
        </w:rPr>
        <w:t xml:space="preserve">L’ente nel 2017 </w:t>
      </w:r>
      <w:r>
        <w:rPr>
          <w:rFonts w:cs="Arial"/>
          <w:b/>
          <w:sz w:val="20"/>
        </w:rPr>
        <w:t>ha/non</w:t>
      </w:r>
      <w:r>
        <w:rPr>
          <w:rFonts w:cs="Arial"/>
          <w:sz w:val="20"/>
        </w:rPr>
        <w:t xml:space="preserve"> ha effettuato operazioni di rinegoziazione dei mutui.</w:t>
      </w:r>
    </w:p>
    <w:p w14:paraId="78C1EAD7" w14:textId="77777777" w:rsidR="009F183C" w:rsidRDefault="00757AA1">
      <w:pPr>
        <w:rPr>
          <w:rFonts w:cs="Arial"/>
          <w:i/>
          <w:sz w:val="20"/>
        </w:rPr>
      </w:pPr>
      <w:r>
        <w:rPr>
          <w:rFonts w:cs="Arial"/>
          <w:i/>
          <w:sz w:val="20"/>
        </w:rPr>
        <w:t>In caso di risposta affermativa:</w:t>
      </w:r>
    </w:p>
    <w:p w14:paraId="425B446C" w14:textId="77777777" w:rsidR="009F183C" w:rsidRDefault="00757AA1">
      <w:pPr>
        <w:rPr>
          <w:rFonts w:cs="Arial"/>
          <w:i/>
          <w:sz w:val="20"/>
        </w:rPr>
      </w:pPr>
      <w:r>
        <w:rPr>
          <w:rFonts w:cs="Arial"/>
          <w:i/>
          <w:sz w:val="20"/>
        </w:rPr>
        <w:t xml:space="preserve">-riportare l’importo dei mutui estinti e rinegoziati </w:t>
      </w:r>
    </w:p>
    <w:p w14:paraId="425CC910" w14:textId="77777777" w:rsidR="009F183C" w:rsidRDefault="00757AA1">
      <w:pPr>
        <w:rPr>
          <w:i/>
        </w:rPr>
      </w:pPr>
      <w:r>
        <w:rPr>
          <w:rFonts w:cs="Arial"/>
          <w:i/>
          <w:sz w:val="20"/>
        </w:rPr>
        <w:t>- indicare l’importo delle risorse derivanti dalla rinegoziazione, distinguendo la parte destinata a spesa corrente e la parte destinata a spesa in c/capitale.</w:t>
      </w:r>
    </w:p>
    <w:p w14:paraId="7C9A3EE1" w14:textId="77777777" w:rsidR="009F183C" w:rsidRDefault="00757AA1">
      <w:pPr>
        <w:rPr>
          <w:rFonts w:cs="Arial"/>
          <w:sz w:val="20"/>
        </w:rPr>
      </w:pPr>
      <w:r>
        <w:rPr>
          <w:rFonts w:cs="Arial"/>
          <w:sz w:val="20"/>
        </w:rPr>
        <w:t>In relazione ai mutui ed ai prestiti obbligazionari oggetto di estinzione anticipata totale, l’Ente ha/ non ha beneficiato dei contributi previsti dall’art. 9-ter del D.L. 24/06/2016 n.113 come introdotto dalla L.07/08/2016 n.160.</w:t>
      </w:r>
    </w:p>
    <w:p w14:paraId="446B364C" w14:textId="6B3A81E2" w:rsidR="009F183C" w:rsidRDefault="009F183C">
      <w:pPr>
        <w:rPr>
          <w:rFonts w:cs="Arial"/>
          <w:sz w:val="20"/>
        </w:rPr>
      </w:pPr>
    </w:p>
    <w:p w14:paraId="600EE57D" w14:textId="77777777" w:rsidR="009F183C" w:rsidRPr="00E455CA" w:rsidRDefault="00757AA1" w:rsidP="00E455CA">
      <w:pPr>
        <w:rPr>
          <w:rFonts w:cs="Arial"/>
          <w:b/>
          <w:sz w:val="24"/>
          <w:szCs w:val="24"/>
          <w:u w:val="single"/>
        </w:rPr>
      </w:pPr>
      <w:bookmarkStart w:id="76" w:name="_Toc379377472"/>
      <w:r w:rsidRPr="00E455CA">
        <w:rPr>
          <w:rFonts w:cs="Arial"/>
          <w:b/>
          <w:sz w:val="24"/>
          <w:szCs w:val="24"/>
          <w:u w:val="single"/>
        </w:rPr>
        <w:t>Utilizzo di anticipazione di liquidità Cassa depositi e prestiti</w:t>
      </w:r>
      <w:bookmarkEnd w:id="76"/>
    </w:p>
    <w:p w14:paraId="3686CB1F" w14:textId="77777777" w:rsidR="009F183C" w:rsidRDefault="00757AA1">
      <w:pPr>
        <w:rPr>
          <w:sz w:val="20"/>
        </w:rPr>
      </w:pPr>
      <w:r>
        <w:rPr>
          <w:sz w:val="20"/>
        </w:rPr>
        <w:t>L’ente ha ottenuto nel ……., ai sensi del decreto del MEF 7/8/2015 una anticipazione di liquidità di euro …………..dalla Cassa depositi e prestiti da destinare al pagamento di debiti certi liquidi ed esigibili, da restituirsi con un piano di ammortamento a rate costanti di anni……………</w:t>
      </w:r>
    </w:p>
    <w:p w14:paraId="6C2B2E83" w14:textId="77777777" w:rsidR="009F183C" w:rsidRDefault="009F183C">
      <w:pPr>
        <w:rPr>
          <w:sz w:val="20"/>
        </w:rPr>
      </w:pPr>
    </w:p>
    <w:tbl>
      <w:tblPr>
        <w:tblStyle w:val="Grigliatabella"/>
        <w:tblW w:w="0" w:type="auto"/>
        <w:tblLook w:val="04A0" w:firstRow="1" w:lastRow="0" w:firstColumn="1" w:lastColumn="0" w:noHBand="0" w:noVBand="1"/>
      </w:tblPr>
      <w:tblGrid>
        <w:gridCol w:w="4349"/>
        <w:gridCol w:w="4288"/>
      </w:tblGrid>
      <w:tr w:rsidR="009F183C" w14:paraId="74FC57AC" w14:textId="77777777">
        <w:tc>
          <w:tcPr>
            <w:tcW w:w="4530" w:type="dxa"/>
          </w:tcPr>
          <w:p w14:paraId="4FA45804" w14:textId="77777777" w:rsidR="009F183C" w:rsidRDefault="00757AA1">
            <w:pPr>
              <w:pStyle w:val="Corpodeltesto3"/>
              <w:rPr>
                <w:rFonts w:cs="Arial"/>
              </w:rPr>
            </w:pPr>
            <w:r>
              <w:rPr>
                <w:rFonts w:cs="Arial"/>
              </w:rPr>
              <w:t>Anno / anni di richiesta anticipo di liquidità</w:t>
            </w:r>
          </w:p>
        </w:tc>
        <w:tc>
          <w:tcPr>
            <w:tcW w:w="4531" w:type="dxa"/>
          </w:tcPr>
          <w:p w14:paraId="6ED1782D" w14:textId="77777777" w:rsidR="009F183C" w:rsidRDefault="009F183C">
            <w:pPr>
              <w:pStyle w:val="Corpodeltesto3"/>
              <w:rPr>
                <w:rFonts w:cs="Arial"/>
              </w:rPr>
            </w:pPr>
          </w:p>
        </w:tc>
      </w:tr>
      <w:tr w:rsidR="009F183C" w14:paraId="42F87B0C" w14:textId="77777777">
        <w:tc>
          <w:tcPr>
            <w:tcW w:w="4530" w:type="dxa"/>
          </w:tcPr>
          <w:p w14:paraId="0FBC4F1C" w14:textId="77777777" w:rsidR="009F183C" w:rsidRDefault="00757AA1">
            <w:pPr>
              <w:pStyle w:val="Corpodeltesto3"/>
              <w:rPr>
                <w:rFonts w:cs="Arial"/>
              </w:rPr>
            </w:pPr>
            <w:r>
              <w:rPr>
                <w:rFonts w:cs="Arial"/>
              </w:rPr>
              <w:t>Anticipo di liquidità richiesto in totale</w:t>
            </w:r>
          </w:p>
        </w:tc>
        <w:tc>
          <w:tcPr>
            <w:tcW w:w="4531" w:type="dxa"/>
          </w:tcPr>
          <w:p w14:paraId="46338EC2" w14:textId="77777777" w:rsidR="009F183C" w:rsidRDefault="009F183C">
            <w:pPr>
              <w:pStyle w:val="Corpodeltesto3"/>
              <w:rPr>
                <w:rFonts w:cs="Arial"/>
              </w:rPr>
            </w:pPr>
          </w:p>
        </w:tc>
      </w:tr>
      <w:tr w:rsidR="009F183C" w14:paraId="3FAFAB84" w14:textId="77777777">
        <w:tc>
          <w:tcPr>
            <w:tcW w:w="4530" w:type="dxa"/>
          </w:tcPr>
          <w:p w14:paraId="51955BA4" w14:textId="77777777" w:rsidR="009F183C" w:rsidRDefault="00757AA1">
            <w:pPr>
              <w:pStyle w:val="Corpodeltesto3"/>
              <w:rPr>
                <w:rFonts w:cs="Arial"/>
              </w:rPr>
            </w:pPr>
            <w:r>
              <w:rPr>
                <w:rFonts w:cs="Arial"/>
              </w:rPr>
              <w:t>Anticipo di liquidità restituito</w:t>
            </w:r>
          </w:p>
        </w:tc>
        <w:tc>
          <w:tcPr>
            <w:tcW w:w="4531" w:type="dxa"/>
          </w:tcPr>
          <w:p w14:paraId="69E98C13" w14:textId="77777777" w:rsidR="009F183C" w:rsidRDefault="009F183C">
            <w:pPr>
              <w:pStyle w:val="Corpodeltesto3"/>
              <w:rPr>
                <w:rFonts w:cs="Arial"/>
              </w:rPr>
            </w:pPr>
          </w:p>
        </w:tc>
      </w:tr>
      <w:tr w:rsidR="009F183C" w14:paraId="3D31C32D" w14:textId="77777777">
        <w:tc>
          <w:tcPr>
            <w:tcW w:w="4530" w:type="dxa"/>
          </w:tcPr>
          <w:p w14:paraId="5153AF09" w14:textId="77777777" w:rsidR="009F183C" w:rsidRDefault="00757AA1">
            <w:pPr>
              <w:pStyle w:val="Corpodeltesto3"/>
              <w:rPr>
                <w:rFonts w:cs="Arial"/>
              </w:rPr>
            </w:pPr>
            <w:r>
              <w:rPr>
                <w:rFonts w:cs="Arial"/>
              </w:rPr>
              <w:t>Quota accantonata in avanzo</w:t>
            </w:r>
          </w:p>
        </w:tc>
        <w:tc>
          <w:tcPr>
            <w:tcW w:w="4531" w:type="dxa"/>
          </w:tcPr>
          <w:p w14:paraId="126EBC12" w14:textId="77777777" w:rsidR="009F183C" w:rsidRDefault="009F183C">
            <w:pPr>
              <w:pStyle w:val="Corpodeltesto3"/>
              <w:rPr>
                <w:rFonts w:cs="Arial"/>
              </w:rPr>
            </w:pPr>
          </w:p>
        </w:tc>
      </w:tr>
    </w:tbl>
    <w:p w14:paraId="39195783" w14:textId="77777777" w:rsidR="009F183C" w:rsidRDefault="009F183C">
      <w:pPr>
        <w:pStyle w:val="Corpodeltesto3"/>
        <w:rPr>
          <w:rFonts w:cs="Arial"/>
          <w:b/>
          <w:i/>
          <w:color w:val="365F91"/>
          <w:sz w:val="18"/>
          <w:szCs w:val="18"/>
        </w:rPr>
      </w:pPr>
    </w:p>
    <w:p w14:paraId="1C3EFEFB" w14:textId="77777777" w:rsidR="009F183C" w:rsidRDefault="00757AA1">
      <w:pPr>
        <w:pStyle w:val="Corpodeltesto3"/>
        <w:rPr>
          <w:rFonts w:cs="Arial"/>
          <w:b/>
          <w:i/>
        </w:rPr>
      </w:pPr>
      <w:r>
        <w:rPr>
          <w:rFonts w:cs="Arial"/>
          <w:b/>
          <w:i/>
        </w:rPr>
        <w:lastRenderedPageBreak/>
        <w:t>(eventuale)</w:t>
      </w:r>
    </w:p>
    <w:p w14:paraId="37C8941D" w14:textId="77777777" w:rsidR="009F183C" w:rsidRDefault="00757AA1">
      <w:pPr>
        <w:rPr>
          <w:szCs w:val="22"/>
        </w:rPr>
      </w:pPr>
      <w:r>
        <w:rPr>
          <w:sz w:val="20"/>
        </w:rPr>
        <w:t>L’ente avendo pagato tutti i debiti ha restituito la somma eccedente di euro …….per estinzione anticipata della concessione</w:t>
      </w:r>
      <w:r>
        <w:rPr>
          <w:szCs w:val="22"/>
        </w:rPr>
        <w:t>.</w:t>
      </w:r>
    </w:p>
    <w:p w14:paraId="24E6E777" w14:textId="77777777" w:rsidR="009F183C" w:rsidRDefault="00757AA1">
      <w:pPr>
        <w:widowControl/>
        <w:overflowPunct/>
        <w:autoSpaceDE/>
        <w:autoSpaceDN/>
        <w:adjustRightInd/>
        <w:spacing w:after="0"/>
        <w:textAlignment w:val="auto"/>
        <w:rPr>
          <w:rFonts w:cs="Arial"/>
          <w:i/>
          <w:color w:val="00B0F0"/>
          <w:sz w:val="20"/>
        </w:rPr>
      </w:pPr>
      <w:r>
        <w:rPr>
          <w:rFonts w:cs="Arial"/>
          <w:i/>
          <w:color w:val="00B0F0"/>
          <w:sz w:val="20"/>
        </w:rPr>
        <w:t>La Corte dei conti Sezione Autonomie con deliberazione n.33/2015 ha stabilito le seguenti regole per la contabilizzazione dell’anticipazione:</w:t>
      </w:r>
    </w:p>
    <w:p w14:paraId="4BF48E02" w14:textId="405F437F" w:rsidR="009F183C" w:rsidRDefault="00757AA1">
      <w:pPr>
        <w:widowControl/>
        <w:overflowPunct/>
        <w:autoSpaceDE/>
        <w:autoSpaceDN/>
        <w:adjustRightInd/>
        <w:spacing w:after="0"/>
        <w:textAlignment w:val="auto"/>
        <w:rPr>
          <w:rFonts w:cs="Arial"/>
          <w:i/>
          <w:color w:val="00B0F0"/>
          <w:sz w:val="20"/>
        </w:rPr>
      </w:pPr>
      <w:r>
        <w:rPr>
          <w:rFonts w:cs="Arial"/>
          <w:i/>
          <w:color w:val="00B0F0"/>
          <w:sz w:val="20"/>
        </w:rPr>
        <w:t xml:space="preserve">“Nei bilanci degli enti locali soggetti alle regole dell’armonizzazione contabile, la sterilizzazione degli effetti che le anticipazioni di liquidità erogate ai sensi del decreto-legge 8 aprile 2013, n. 35, convertito dalla l. 6 giugno 2013, n. 64, e successive modificazioni, integrazioni e rifinanziamenti, producono sul risultato di amministrazione va effettuata stanziando nel Titolo della spesa riguardante il rimborso dei prestiti un fondo, non impegnabile, di importo pari alle anticipazioni di liquidità incassate nell'esercizio, la cui economia confluisce nel risultato di amministrazione come quota accantonata ai sensi dell’art. 187 del decreto legislativo 18 agosto 2000, n. 267. </w:t>
      </w:r>
    </w:p>
    <w:p w14:paraId="7FF8B31F" w14:textId="77777777" w:rsidR="009F183C" w:rsidRDefault="00757AA1">
      <w:pPr>
        <w:widowControl/>
        <w:overflowPunct/>
        <w:autoSpaceDE/>
        <w:autoSpaceDN/>
        <w:adjustRightInd/>
        <w:spacing w:after="0"/>
        <w:textAlignment w:val="auto"/>
        <w:rPr>
          <w:rFonts w:cs="Arial"/>
          <w:i/>
          <w:color w:val="00B0F0"/>
          <w:sz w:val="20"/>
        </w:rPr>
      </w:pPr>
      <w:r>
        <w:rPr>
          <w:rFonts w:cs="Arial"/>
          <w:i/>
          <w:color w:val="00B0F0"/>
          <w:sz w:val="20"/>
        </w:rPr>
        <w:t>Il fondo di sterilizzazione degli effetti delle anticipazioni di liquidità va ridotto, annualmente,</w:t>
      </w:r>
    </w:p>
    <w:p w14:paraId="02FCA8A6" w14:textId="77777777" w:rsidR="009F183C" w:rsidRDefault="00757AA1">
      <w:pPr>
        <w:widowControl/>
        <w:overflowPunct/>
        <w:autoSpaceDE/>
        <w:autoSpaceDN/>
        <w:adjustRightInd/>
        <w:spacing w:after="0"/>
        <w:textAlignment w:val="auto"/>
        <w:rPr>
          <w:rFonts w:cs="Arial"/>
          <w:i/>
          <w:color w:val="00B0F0"/>
          <w:sz w:val="20"/>
        </w:rPr>
      </w:pPr>
      <w:r>
        <w:rPr>
          <w:rFonts w:cs="Arial"/>
          <w:i/>
          <w:color w:val="00B0F0"/>
          <w:sz w:val="20"/>
        </w:rPr>
        <w:t>in proporzione alla quota capitale rimborsata nell’esercizio.</w:t>
      </w:r>
    </w:p>
    <w:p w14:paraId="31DE8980" w14:textId="77777777" w:rsidR="009F183C" w:rsidRDefault="00757AA1">
      <w:pPr>
        <w:widowControl/>
        <w:overflowPunct/>
        <w:autoSpaceDE/>
        <w:autoSpaceDN/>
        <w:adjustRightInd/>
        <w:spacing w:after="0"/>
        <w:textAlignment w:val="auto"/>
        <w:rPr>
          <w:rFonts w:cs="Arial"/>
          <w:i/>
          <w:color w:val="00B0F0"/>
          <w:sz w:val="20"/>
        </w:rPr>
      </w:pPr>
      <w:r>
        <w:rPr>
          <w:rFonts w:cs="Arial"/>
          <w:i/>
          <w:color w:val="00B0F0"/>
          <w:sz w:val="20"/>
        </w:rPr>
        <w:t xml:space="preserve">L’impegno contabile per il rimborso dell’anticipazione va imputato ai singoli bilanci degli esercizi successivi in cui vengono a scadenza le obbligazioni giuridiche passive corrispondenti alle rate di ammortamento annuali. La relativa copertura finanziaria va assunta a valere sulle risorse che concorrono all’equilibrio corrente di competenza, individuate ex novo ovvero rese disponibili per effetto di una riduzione strutturale della spesa. </w:t>
      </w:r>
    </w:p>
    <w:p w14:paraId="414DB8E3" w14:textId="77777777" w:rsidR="009F183C" w:rsidRDefault="00757AA1">
      <w:pPr>
        <w:widowControl/>
        <w:overflowPunct/>
        <w:autoSpaceDE/>
        <w:autoSpaceDN/>
        <w:adjustRightInd/>
        <w:spacing w:after="0"/>
        <w:textAlignment w:val="auto"/>
        <w:rPr>
          <w:sz w:val="20"/>
        </w:rPr>
      </w:pPr>
      <w:r>
        <w:rPr>
          <w:rFonts w:cs="Arial"/>
          <w:i/>
          <w:color w:val="00B0F0"/>
          <w:sz w:val="20"/>
        </w:rPr>
        <w:t>L’utilizzo del fondo di sterilizzazione ai fini dell’accantonamento al fondo crediti di dubbia esigibilità di cui all’art. 2, comma 6, d.l.19 giugno 2015, n. 78, convertito dalla l. 6 agosto 2015, n. 125, non deve produrre effetti espansivi della capacità di spesa dell’ente”.</w:t>
      </w:r>
    </w:p>
    <w:p w14:paraId="5DBAAE96" w14:textId="77777777" w:rsidR="009F183C" w:rsidRDefault="009F183C">
      <w:pPr>
        <w:widowControl/>
        <w:overflowPunct/>
        <w:autoSpaceDE/>
        <w:autoSpaceDN/>
        <w:adjustRightInd/>
        <w:spacing w:after="0"/>
        <w:jc w:val="left"/>
        <w:textAlignment w:val="auto"/>
        <w:rPr>
          <w:sz w:val="20"/>
        </w:rPr>
      </w:pPr>
    </w:p>
    <w:p w14:paraId="5DC88D54" w14:textId="77777777" w:rsidR="009F183C" w:rsidRDefault="00757AA1">
      <w:pPr>
        <w:rPr>
          <w:sz w:val="20"/>
        </w:rPr>
      </w:pPr>
      <w:r>
        <w:rPr>
          <w:sz w:val="20"/>
        </w:rPr>
        <w:t xml:space="preserve">L’anticipazione è stata rilevata come indicato nell’art 2, comma 6 del D.L. n. 78/2015. </w:t>
      </w:r>
    </w:p>
    <w:p w14:paraId="71E2AB60" w14:textId="1D9097C1" w:rsidR="009F183C" w:rsidRDefault="00757AA1">
      <w:pPr>
        <w:rPr>
          <w:rFonts w:cs="Arial"/>
          <w:i/>
          <w:color w:val="00B0F0"/>
          <w:sz w:val="20"/>
        </w:rPr>
      </w:pPr>
      <w:r>
        <w:rPr>
          <w:rFonts w:cs="Arial"/>
          <w:i/>
          <w:color w:val="00B0F0"/>
          <w:sz w:val="20"/>
        </w:rPr>
        <w:t xml:space="preserve">Tale norma dispone che gli enti destinatari delle anticipazioni di liquidità a valere sul fondo per assicurare la liquidità per pagamenti dei debiti certi, liquidi ed esigibili di cui all'articolo 1 del </w:t>
      </w:r>
      <w:r w:rsidR="00C0640C">
        <w:rPr>
          <w:rFonts w:cs="Arial"/>
          <w:i/>
          <w:color w:val="00B0F0"/>
          <w:sz w:val="20"/>
        </w:rPr>
        <w:t>decreto-legge</w:t>
      </w:r>
      <w:r>
        <w:rPr>
          <w:rFonts w:cs="Arial"/>
          <w:i/>
          <w:color w:val="00B0F0"/>
          <w:sz w:val="20"/>
        </w:rPr>
        <w:t xml:space="preserve"> n. 35/2013 utilizzano la quota accantonata nel risultato di amministrazione a seguito dell'acquisizione delle erogazioni, ai fini dell'accantonamento al fondo crediti di dubbia esigibilità nel risultato di amministrazione.</w:t>
      </w:r>
    </w:p>
    <w:p w14:paraId="4FB67FDC" w14:textId="77777777" w:rsidR="00E455CA" w:rsidRDefault="00E455CA" w:rsidP="00E455CA">
      <w:pPr>
        <w:rPr>
          <w:rFonts w:cs="Arial"/>
          <w:b/>
          <w:sz w:val="24"/>
          <w:szCs w:val="24"/>
          <w:u w:val="single"/>
        </w:rPr>
      </w:pPr>
      <w:bookmarkStart w:id="77" w:name="_Toc379377474"/>
    </w:p>
    <w:p w14:paraId="1FD5763E" w14:textId="77777777" w:rsidR="009F183C" w:rsidRPr="00E455CA" w:rsidRDefault="00757AA1" w:rsidP="00E455CA">
      <w:pPr>
        <w:rPr>
          <w:rFonts w:cs="Arial"/>
          <w:b/>
          <w:sz w:val="24"/>
          <w:szCs w:val="24"/>
          <w:u w:val="single"/>
        </w:rPr>
      </w:pPr>
      <w:r w:rsidRPr="00E455CA">
        <w:rPr>
          <w:rFonts w:cs="Arial"/>
          <w:b/>
          <w:sz w:val="24"/>
          <w:szCs w:val="24"/>
          <w:u w:val="single"/>
        </w:rPr>
        <w:t>Contratti di leasing</w:t>
      </w:r>
      <w:bookmarkEnd w:id="77"/>
      <w:r w:rsidRPr="00E455CA">
        <w:rPr>
          <w:rFonts w:cs="Arial"/>
          <w:b/>
          <w:sz w:val="24"/>
          <w:szCs w:val="24"/>
          <w:u w:val="single"/>
        </w:rPr>
        <w:t xml:space="preserve"> e Contratti di partenariato pubblico-privato</w:t>
      </w:r>
    </w:p>
    <w:p w14:paraId="5B25DF72" w14:textId="77777777" w:rsidR="009F183C" w:rsidRDefault="00757AA1">
      <w:pPr>
        <w:rPr>
          <w:rFonts w:cs="Arial"/>
          <w:sz w:val="20"/>
        </w:rPr>
      </w:pPr>
      <w:r>
        <w:rPr>
          <w:rFonts w:cs="Arial"/>
          <w:sz w:val="20"/>
        </w:rPr>
        <w:t>L’ente ha in corso al 31/12/2017 i seguenti contratti di locazione finanziaria e/o operazioni di partenariato pubblico e privato:</w:t>
      </w:r>
      <w:r>
        <w:rPr>
          <w:rFonts w:cs="Arial"/>
          <w:sz w:val="20"/>
        </w:rPr>
        <w:tab/>
      </w:r>
    </w:p>
    <w:p w14:paraId="56F9F7B9" w14:textId="77777777" w:rsidR="009F183C" w:rsidRDefault="009F183C">
      <w:pPr>
        <w:rPr>
          <w:rFonts w:cs="Arial"/>
          <w:sz w:val="16"/>
          <w:szCs w:val="16"/>
        </w:rPr>
      </w:pPr>
    </w:p>
    <w:tbl>
      <w:tblPr>
        <w:tblStyle w:val="Grigliatabella"/>
        <w:tblW w:w="0" w:type="auto"/>
        <w:tblLook w:val="04A0" w:firstRow="1" w:lastRow="0" w:firstColumn="1" w:lastColumn="0" w:noHBand="0" w:noVBand="1"/>
      </w:tblPr>
      <w:tblGrid>
        <w:gridCol w:w="1682"/>
        <w:gridCol w:w="1447"/>
        <w:gridCol w:w="2126"/>
        <w:gridCol w:w="1736"/>
        <w:gridCol w:w="1646"/>
      </w:tblGrid>
      <w:tr w:rsidR="009F183C" w14:paraId="7FC04BDD" w14:textId="77777777">
        <w:tc>
          <w:tcPr>
            <w:tcW w:w="1770" w:type="dxa"/>
          </w:tcPr>
          <w:p w14:paraId="4EA14FD8" w14:textId="77777777" w:rsidR="009F183C" w:rsidRDefault="00757AA1">
            <w:pPr>
              <w:rPr>
                <w:rFonts w:cs="Arial"/>
                <w:sz w:val="20"/>
              </w:rPr>
            </w:pPr>
            <w:r>
              <w:rPr>
                <w:rFonts w:cs="Arial"/>
                <w:sz w:val="20"/>
              </w:rPr>
              <w:t>bene utilizzato</w:t>
            </w:r>
          </w:p>
        </w:tc>
        <w:tc>
          <w:tcPr>
            <w:tcW w:w="1501" w:type="dxa"/>
          </w:tcPr>
          <w:p w14:paraId="1D80F0EE" w14:textId="77777777" w:rsidR="009F183C" w:rsidRDefault="00757AA1">
            <w:pPr>
              <w:tabs>
                <w:tab w:val="left" w:pos="1260"/>
              </w:tabs>
              <w:rPr>
                <w:rFonts w:cs="Arial"/>
                <w:sz w:val="20"/>
              </w:rPr>
            </w:pPr>
            <w:r>
              <w:rPr>
                <w:rFonts w:cs="Arial"/>
                <w:sz w:val="20"/>
              </w:rPr>
              <w:t>Tipologia</w:t>
            </w:r>
            <w:r>
              <w:rPr>
                <w:rFonts w:cs="Arial"/>
                <w:sz w:val="20"/>
              </w:rPr>
              <w:tab/>
            </w:r>
          </w:p>
        </w:tc>
        <w:tc>
          <w:tcPr>
            <w:tcW w:w="2233" w:type="dxa"/>
          </w:tcPr>
          <w:p w14:paraId="76A79DAB" w14:textId="77777777" w:rsidR="009F183C" w:rsidRDefault="00757AA1">
            <w:pPr>
              <w:rPr>
                <w:rFonts w:cs="Arial"/>
                <w:sz w:val="20"/>
              </w:rPr>
            </w:pPr>
            <w:r>
              <w:rPr>
                <w:rFonts w:cs="Arial"/>
                <w:sz w:val="20"/>
              </w:rPr>
              <w:t>Concedente</w:t>
            </w:r>
          </w:p>
        </w:tc>
        <w:tc>
          <w:tcPr>
            <w:tcW w:w="1817" w:type="dxa"/>
          </w:tcPr>
          <w:p w14:paraId="1758A6B4" w14:textId="77777777" w:rsidR="009F183C" w:rsidRDefault="00757AA1">
            <w:pPr>
              <w:rPr>
                <w:rFonts w:cs="Arial"/>
                <w:sz w:val="20"/>
              </w:rPr>
            </w:pPr>
            <w:r>
              <w:rPr>
                <w:rFonts w:cs="Arial"/>
                <w:sz w:val="20"/>
              </w:rPr>
              <w:t>Scadenza contratto</w:t>
            </w:r>
          </w:p>
        </w:tc>
        <w:tc>
          <w:tcPr>
            <w:tcW w:w="1740" w:type="dxa"/>
          </w:tcPr>
          <w:p w14:paraId="3F000B5A" w14:textId="77777777" w:rsidR="009F183C" w:rsidRDefault="00757AA1">
            <w:pPr>
              <w:rPr>
                <w:rFonts w:cs="Arial"/>
                <w:sz w:val="20"/>
              </w:rPr>
            </w:pPr>
            <w:r>
              <w:rPr>
                <w:rFonts w:cs="Arial"/>
                <w:sz w:val="20"/>
              </w:rPr>
              <w:t>Canone annuo</w:t>
            </w:r>
          </w:p>
        </w:tc>
      </w:tr>
      <w:tr w:rsidR="009F183C" w14:paraId="0873B612" w14:textId="77777777">
        <w:tc>
          <w:tcPr>
            <w:tcW w:w="1770" w:type="dxa"/>
          </w:tcPr>
          <w:p w14:paraId="0F2B6B21" w14:textId="77777777" w:rsidR="009F183C" w:rsidRDefault="009F183C">
            <w:pPr>
              <w:rPr>
                <w:rFonts w:cs="Arial"/>
                <w:sz w:val="20"/>
              </w:rPr>
            </w:pPr>
          </w:p>
        </w:tc>
        <w:tc>
          <w:tcPr>
            <w:tcW w:w="1501" w:type="dxa"/>
          </w:tcPr>
          <w:p w14:paraId="0FB97E9F" w14:textId="77777777" w:rsidR="009F183C" w:rsidRDefault="009F183C">
            <w:pPr>
              <w:rPr>
                <w:rFonts w:cs="Arial"/>
                <w:sz w:val="20"/>
                <w:highlight w:val="yellow"/>
              </w:rPr>
            </w:pPr>
          </w:p>
        </w:tc>
        <w:tc>
          <w:tcPr>
            <w:tcW w:w="2233" w:type="dxa"/>
          </w:tcPr>
          <w:p w14:paraId="5A3B64FD" w14:textId="77777777" w:rsidR="009F183C" w:rsidRDefault="009F183C">
            <w:pPr>
              <w:rPr>
                <w:rFonts w:cs="Arial"/>
                <w:sz w:val="20"/>
              </w:rPr>
            </w:pPr>
          </w:p>
        </w:tc>
        <w:tc>
          <w:tcPr>
            <w:tcW w:w="1817" w:type="dxa"/>
          </w:tcPr>
          <w:p w14:paraId="339E25D6" w14:textId="77777777" w:rsidR="009F183C" w:rsidRDefault="009F183C">
            <w:pPr>
              <w:rPr>
                <w:rFonts w:cs="Arial"/>
                <w:sz w:val="20"/>
              </w:rPr>
            </w:pPr>
          </w:p>
        </w:tc>
        <w:tc>
          <w:tcPr>
            <w:tcW w:w="1740" w:type="dxa"/>
          </w:tcPr>
          <w:p w14:paraId="551E5A1C" w14:textId="77777777" w:rsidR="009F183C" w:rsidRDefault="009F183C">
            <w:pPr>
              <w:rPr>
                <w:rFonts w:cs="Arial"/>
                <w:sz w:val="20"/>
              </w:rPr>
            </w:pPr>
          </w:p>
        </w:tc>
      </w:tr>
      <w:tr w:rsidR="009F183C" w14:paraId="2E7A762B" w14:textId="77777777">
        <w:tc>
          <w:tcPr>
            <w:tcW w:w="1770" w:type="dxa"/>
          </w:tcPr>
          <w:p w14:paraId="5A1C9878" w14:textId="77777777" w:rsidR="009F183C" w:rsidRDefault="009F183C">
            <w:pPr>
              <w:rPr>
                <w:rFonts w:cs="Arial"/>
                <w:sz w:val="20"/>
              </w:rPr>
            </w:pPr>
          </w:p>
        </w:tc>
        <w:tc>
          <w:tcPr>
            <w:tcW w:w="1501" w:type="dxa"/>
          </w:tcPr>
          <w:p w14:paraId="16121BD2" w14:textId="77777777" w:rsidR="009F183C" w:rsidRDefault="009F183C">
            <w:pPr>
              <w:rPr>
                <w:rFonts w:cs="Arial"/>
                <w:sz w:val="20"/>
                <w:highlight w:val="yellow"/>
              </w:rPr>
            </w:pPr>
          </w:p>
        </w:tc>
        <w:tc>
          <w:tcPr>
            <w:tcW w:w="2233" w:type="dxa"/>
          </w:tcPr>
          <w:p w14:paraId="4FC2142A" w14:textId="77777777" w:rsidR="009F183C" w:rsidRDefault="009F183C">
            <w:pPr>
              <w:rPr>
                <w:rFonts w:cs="Arial"/>
                <w:sz w:val="20"/>
              </w:rPr>
            </w:pPr>
          </w:p>
        </w:tc>
        <w:tc>
          <w:tcPr>
            <w:tcW w:w="1817" w:type="dxa"/>
          </w:tcPr>
          <w:p w14:paraId="638C7708" w14:textId="77777777" w:rsidR="009F183C" w:rsidRDefault="009F183C">
            <w:pPr>
              <w:rPr>
                <w:rFonts w:cs="Arial"/>
                <w:sz w:val="20"/>
              </w:rPr>
            </w:pPr>
          </w:p>
        </w:tc>
        <w:tc>
          <w:tcPr>
            <w:tcW w:w="1740" w:type="dxa"/>
          </w:tcPr>
          <w:p w14:paraId="1EBF5DB4" w14:textId="77777777" w:rsidR="009F183C" w:rsidRDefault="009F183C">
            <w:pPr>
              <w:rPr>
                <w:rFonts w:cs="Arial"/>
                <w:sz w:val="20"/>
              </w:rPr>
            </w:pPr>
          </w:p>
        </w:tc>
      </w:tr>
    </w:tbl>
    <w:p w14:paraId="2B1416CE" w14:textId="77777777" w:rsidR="009F183C" w:rsidRDefault="009F183C">
      <w:pPr>
        <w:widowControl/>
        <w:overflowPunct/>
        <w:autoSpaceDE/>
        <w:autoSpaceDN/>
        <w:adjustRightInd/>
        <w:spacing w:after="0"/>
        <w:jc w:val="left"/>
        <w:textAlignment w:val="auto"/>
        <w:rPr>
          <w:rFonts w:cs="Arial"/>
          <w:sz w:val="20"/>
          <w:highlight w:val="yellow"/>
        </w:rPr>
      </w:pPr>
    </w:p>
    <w:p w14:paraId="3CBBA5BE" w14:textId="5F52CA8F" w:rsidR="009F183C" w:rsidRDefault="00757AA1">
      <w:pPr>
        <w:widowControl/>
        <w:overflowPunct/>
        <w:autoSpaceDE/>
        <w:autoSpaceDN/>
        <w:adjustRightInd/>
        <w:spacing w:after="0"/>
        <w:textAlignment w:val="auto"/>
        <w:rPr>
          <w:rFonts w:cs="Arial"/>
          <w:i/>
          <w:color w:val="00B0F0"/>
          <w:sz w:val="20"/>
        </w:rPr>
      </w:pPr>
      <w:r>
        <w:rPr>
          <w:rFonts w:cs="Arial"/>
          <w:b/>
          <w:i/>
          <w:color w:val="00B0F0"/>
          <w:sz w:val="20"/>
        </w:rPr>
        <w:t>N.B.</w:t>
      </w:r>
      <w:r w:rsidR="00C0640C">
        <w:rPr>
          <w:rFonts w:cs="Arial"/>
          <w:b/>
          <w:i/>
          <w:color w:val="00B0F0"/>
          <w:sz w:val="20"/>
        </w:rPr>
        <w:t xml:space="preserve"> </w:t>
      </w:r>
      <w:r>
        <w:rPr>
          <w:rFonts w:cs="Arial"/>
          <w:i/>
          <w:color w:val="00B0F0"/>
          <w:sz w:val="20"/>
        </w:rPr>
        <w:t>Dal 01.01. 2015 il leasing finanziario rientra nell’indebitamento escluse le ipotesi indicate dalla delibera Corte Conti- Sezione Autonomie n.15/2017 e FAQ Arconet n.23.</w:t>
      </w:r>
    </w:p>
    <w:p w14:paraId="5B1E923D" w14:textId="77777777" w:rsidR="00D006F0" w:rsidRDefault="00D006F0">
      <w:pPr>
        <w:widowControl/>
        <w:overflowPunct/>
        <w:autoSpaceDE/>
        <w:autoSpaceDN/>
        <w:adjustRightInd/>
        <w:spacing w:after="0"/>
        <w:textAlignment w:val="auto"/>
        <w:rPr>
          <w:rFonts w:cs="Arial"/>
          <w:i/>
          <w:color w:val="00B0F0"/>
          <w:sz w:val="20"/>
        </w:rPr>
      </w:pPr>
    </w:p>
    <w:p w14:paraId="2707CB68" w14:textId="77777777" w:rsidR="00185F7F" w:rsidRDefault="00185F7F">
      <w:pPr>
        <w:widowControl/>
        <w:overflowPunct/>
        <w:autoSpaceDE/>
        <w:autoSpaceDN/>
        <w:adjustRightInd/>
        <w:spacing w:after="0"/>
        <w:textAlignment w:val="auto"/>
        <w:rPr>
          <w:rFonts w:cs="Arial"/>
          <w:i/>
          <w:color w:val="00B0F0"/>
          <w:sz w:val="20"/>
        </w:rPr>
      </w:pPr>
    </w:p>
    <w:p w14:paraId="6486A6DA" w14:textId="77777777" w:rsidR="00185F7F" w:rsidRDefault="00185F7F">
      <w:pPr>
        <w:widowControl/>
        <w:overflowPunct/>
        <w:autoSpaceDE/>
        <w:autoSpaceDN/>
        <w:adjustRightInd/>
        <w:spacing w:after="0"/>
        <w:textAlignment w:val="auto"/>
        <w:rPr>
          <w:rFonts w:cs="Arial"/>
          <w:i/>
          <w:color w:val="00B0F0"/>
          <w:sz w:val="20"/>
        </w:rPr>
      </w:pPr>
    </w:p>
    <w:p w14:paraId="1CBBE88B" w14:textId="77777777" w:rsidR="00185F7F" w:rsidRDefault="00185F7F">
      <w:pPr>
        <w:widowControl/>
        <w:overflowPunct/>
        <w:autoSpaceDE/>
        <w:autoSpaceDN/>
        <w:adjustRightInd/>
        <w:spacing w:after="0"/>
        <w:textAlignment w:val="auto"/>
        <w:rPr>
          <w:rFonts w:cs="Arial"/>
          <w:i/>
          <w:color w:val="00B0F0"/>
          <w:sz w:val="20"/>
        </w:rPr>
      </w:pPr>
    </w:p>
    <w:p w14:paraId="3EDD0D9F" w14:textId="77777777" w:rsidR="00D006F0" w:rsidRDefault="00D006F0">
      <w:pPr>
        <w:widowControl/>
        <w:overflowPunct/>
        <w:autoSpaceDE/>
        <w:autoSpaceDN/>
        <w:adjustRightInd/>
        <w:spacing w:after="0"/>
        <w:textAlignment w:val="auto"/>
        <w:rPr>
          <w:rFonts w:cs="Arial"/>
          <w:i/>
          <w:color w:val="00B0F0"/>
          <w:sz w:val="20"/>
        </w:rPr>
      </w:pPr>
    </w:p>
    <w:p w14:paraId="41604FF9" w14:textId="77777777" w:rsidR="00D006F0" w:rsidRDefault="00D006F0">
      <w:pPr>
        <w:widowControl/>
        <w:overflowPunct/>
        <w:autoSpaceDE/>
        <w:autoSpaceDN/>
        <w:adjustRightInd/>
        <w:spacing w:after="0"/>
        <w:textAlignment w:val="auto"/>
        <w:rPr>
          <w:rFonts w:cs="Arial"/>
          <w:i/>
          <w:color w:val="00B0F0"/>
          <w:sz w:val="20"/>
        </w:rPr>
      </w:pPr>
    </w:p>
    <w:p w14:paraId="6CFE386A" w14:textId="77777777" w:rsidR="009F183C" w:rsidRDefault="00757AA1">
      <w:pPr>
        <w:pStyle w:val="Titolo1"/>
        <w:shd w:val="clear" w:color="auto" w:fill="D6E3BC" w:themeFill="accent3" w:themeFillTint="66"/>
      </w:pPr>
      <w:bookmarkStart w:id="78" w:name="_Toc379377475"/>
      <w:bookmarkStart w:id="79" w:name="_Toc507691950"/>
      <w:r>
        <w:t>ANALISI DELLA GESTIONE DEI RESIDUI</w:t>
      </w:r>
      <w:bookmarkEnd w:id="78"/>
      <w:bookmarkEnd w:id="79"/>
      <w:r>
        <w:t xml:space="preserve"> </w:t>
      </w:r>
    </w:p>
    <w:p w14:paraId="6FC72727" w14:textId="77777777" w:rsidR="00B215DB" w:rsidRDefault="00B215DB">
      <w:pPr>
        <w:numPr>
          <w:ilvl w:val="12"/>
          <w:numId w:val="0"/>
        </w:numPr>
        <w:rPr>
          <w:rFonts w:cs="Arial"/>
          <w:sz w:val="20"/>
        </w:rPr>
      </w:pPr>
    </w:p>
    <w:p w14:paraId="4635EBB1" w14:textId="77777777" w:rsidR="009F183C" w:rsidRDefault="00757AA1">
      <w:pPr>
        <w:numPr>
          <w:ilvl w:val="12"/>
          <w:numId w:val="0"/>
        </w:numPr>
        <w:rPr>
          <w:rFonts w:cs="Arial"/>
          <w:sz w:val="20"/>
        </w:rPr>
      </w:pPr>
      <w:r>
        <w:rPr>
          <w:rFonts w:cs="Arial"/>
          <w:sz w:val="20"/>
        </w:rPr>
        <w:t>L’organo di revisione ha verificato il rispetto dei principi e dei criteri di determinazione dei residui attivi e passivi disposti dagli articoli 179, 182, 189 e 190 del TUEL.</w:t>
      </w:r>
    </w:p>
    <w:p w14:paraId="1D9FCE21" w14:textId="20C79405" w:rsidR="009F183C" w:rsidRDefault="00757AA1">
      <w:pPr>
        <w:numPr>
          <w:ilvl w:val="12"/>
          <w:numId w:val="0"/>
        </w:numPr>
        <w:rPr>
          <w:rFonts w:cs="Arial"/>
          <w:sz w:val="20"/>
        </w:rPr>
      </w:pPr>
      <w:r>
        <w:rPr>
          <w:rFonts w:cs="Arial"/>
          <w:sz w:val="20"/>
        </w:rPr>
        <w:t>L’ente ha provveduto al riaccertamento ordinario dei residui attivi e passivi al 31/12/2017 come previsto dall’art. 228 del TUEL con atto G.C. n…… del……..</w:t>
      </w:r>
      <w:r w:rsidR="00C0640C">
        <w:rPr>
          <w:rFonts w:cs="Arial"/>
          <w:sz w:val="20"/>
        </w:rPr>
        <w:t xml:space="preserve"> </w:t>
      </w:r>
      <w:r>
        <w:rPr>
          <w:rFonts w:cs="Arial"/>
          <w:sz w:val="20"/>
        </w:rPr>
        <w:t xml:space="preserve">munito del parere dell’organo di </w:t>
      </w:r>
      <w:r>
        <w:rPr>
          <w:rFonts w:cs="Arial"/>
          <w:sz w:val="20"/>
        </w:rPr>
        <w:lastRenderedPageBreak/>
        <w:t>revisione.</w:t>
      </w:r>
    </w:p>
    <w:p w14:paraId="16B37FE3" w14:textId="77777777" w:rsidR="009F183C" w:rsidRDefault="00757AA1">
      <w:pPr>
        <w:numPr>
          <w:ilvl w:val="12"/>
          <w:numId w:val="0"/>
        </w:numPr>
        <w:rPr>
          <w:rFonts w:cs="Arial"/>
          <w:sz w:val="20"/>
        </w:rPr>
      </w:pPr>
      <w:r>
        <w:rPr>
          <w:rFonts w:cs="Arial"/>
          <w:sz w:val="20"/>
        </w:rPr>
        <w:t>Con tale atto si è provveduto all’ eliminazione di residui attivi e passivi formatesi nell’anno 2016 e precedenti per i seguenti importi:</w:t>
      </w:r>
    </w:p>
    <w:p w14:paraId="7F3DEE45" w14:textId="77777777" w:rsidR="009F183C" w:rsidRDefault="00757AA1">
      <w:pPr>
        <w:numPr>
          <w:ilvl w:val="12"/>
          <w:numId w:val="0"/>
        </w:numPr>
        <w:rPr>
          <w:rFonts w:cs="Arial"/>
          <w:sz w:val="20"/>
        </w:rPr>
      </w:pPr>
      <w:r>
        <w:rPr>
          <w:rFonts w:cs="Arial"/>
          <w:sz w:val="20"/>
        </w:rPr>
        <w:t>residui attivi derivanti dall’anno 2016 e precedenti euro………..</w:t>
      </w:r>
    </w:p>
    <w:p w14:paraId="05EABFDC" w14:textId="77777777" w:rsidR="009F183C" w:rsidRDefault="00757AA1">
      <w:pPr>
        <w:numPr>
          <w:ilvl w:val="12"/>
          <w:numId w:val="0"/>
        </w:numPr>
        <w:rPr>
          <w:rFonts w:cs="Arial"/>
          <w:sz w:val="20"/>
        </w:rPr>
      </w:pPr>
      <w:r>
        <w:rPr>
          <w:rFonts w:cs="Arial"/>
          <w:sz w:val="20"/>
        </w:rPr>
        <w:t>residui passivi derivanti dall’anno 2016 e precedenti euro………</w:t>
      </w:r>
    </w:p>
    <w:p w14:paraId="19CF18E4" w14:textId="77777777" w:rsidR="009F183C" w:rsidRDefault="00757AA1">
      <w:pPr>
        <w:numPr>
          <w:ilvl w:val="12"/>
          <w:numId w:val="0"/>
        </w:numPr>
        <w:rPr>
          <w:rFonts w:cs="Arial"/>
          <w:sz w:val="20"/>
        </w:rPr>
      </w:pPr>
      <w:r>
        <w:rPr>
          <w:rFonts w:cs="Arial"/>
          <w:sz w:val="20"/>
        </w:rPr>
        <w:t>Se correttamente rilevati gli accertamenti e gli impegni relativi alla formazione di tali residui gli effetti sugli obiettivi di finanza pubblica per l’anno di errato accertamento sarebbe stato di euro…………………….</w:t>
      </w:r>
    </w:p>
    <w:p w14:paraId="38FA9E9F" w14:textId="77777777" w:rsidR="009F183C" w:rsidRDefault="00757AA1">
      <w:pPr>
        <w:numPr>
          <w:ilvl w:val="12"/>
          <w:numId w:val="0"/>
        </w:numPr>
        <w:rPr>
          <w:rFonts w:cs="Arial"/>
          <w:sz w:val="20"/>
        </w:rPr>
      </w:pPr>
      <w:r>
        <w:rPr>
          <w:rFonts w:cs="Arial"/>
          <w:sz w:val="20"/>
        </w:rPr>
        <w:t>L’organo di revisione rileva che i residui passivi finanziati con entrate a destinazione vincolata sono di importo non superiore alla cassa vincolata al 31/12/2017 sommata ai residui attivi di risorse vincolate ancora da riscuotere.</w:t>
      </w:r>
    </w:p>
    <w:p w14:paraId="01A411A8" w14:textId="77777777" w:rsidR="009F183C" w:rsidRDefault="00757AA1">
      <w:pPr>
        <w:numPr>
          <w:ilvl w:val="12"/>
          <w:numId w:val="0"/>
        </w:numPr>
        <w:rPr>
          <w:rFonts w:cs="Arial"/>
          <w:sz w:val="20"/>
        </w:rPr>
      </w:pPr>
      <w:r>
        <w:rPr>
          <w:rFonts w:cs="Arial"/>
          <w:sz w:val="20"/>
        </w:rPr>
        <w:t>L’organo di revisione rileva che nel conto del bilancio nei servizi per conto terzi sono stati eliminati residui attivi non compensati da uguale eliminazione di residui passivi per le seguenti cause …………</w:t>
      </w:r>
    </w:p>
    <w:p w14:paraId="0E460FFC" w14:textId="77777777" w:rsidR="009F183C" w:rsidRDefault="00757AA1">
      <w:pPr>
        <w:numPr>
          <w:ilvl w:val="12"/>
          <w:numId w:val="0"/>
        </w:numPr>
        <w:rPr>
          <w:rFonts w:cs="Arial"/>
          <w:sz w:val="20"/>
        </w:rPr>
      </w:pPr>
      <w:r>
        <w:rPr>
          <w:rFonts w:cs="Arial"/>
          <w:sz w:val="20"/>
        </w:rPr>
        <w:t>I debiti formalmente riconosciuti insussistenti per l’avvenuta legale estinzione (prescrizione) o per indebito o erroneo impegno di un’obbligazione non dovuta sono stati definitivamente eliminati dalle scritture e dai documenti di bilancio attraverso il provvedimento di riaccertamento dei residui.</w:t>
      </w:r>
    </w:p>
    <w:p w14:paraId="30DFE1A2" w14:textId="77777777" w:rsidR="009F183C" w:rsidRDefault="00757AA1">
      <w:pPr>
        <w:numPr>
          <w:ilvl w:val="12"/>
          <w:numId w:val="0"/>
        </w:numPr>
        <w:rPr>
          <w:rFonts w:cs="Arial"/>
          <w:sz w:val="20"/>
        </w:rPr>
      </w:pPr>
      <w:r>
        <w:rPr>
          <w:rFonts w:cs="Arial"/>
          <w:sz w:val="20"/>
        </w:rPr>
        <w:t>Il riconoscimento formale dell’assoluta insussistenza dei debiti è stato adeguatamente motivato.</w:t>
      </w:r>
    </w:p>
    <w:p w14:paraId="17DFD3D7" w14:textId="77777777" w:rsidR="009F183C" w:rsidRDefault="00757AA1">
      <w:pPr>
        <w:numPr>
          <w:ilvl w:val="12"/>
          <w:numId w:val="0"/>
        </w:numPr>
        <w:rPr>
          <w:rFonts w:cs="Arial"/>
          <w:i/>
          <w:sz w:val="20"/>
        </w:rPr>
      </w:pPr>
      <w:r>
        <w:rPr>
          <w:rFonts w:cs="Arial"/>
          <w:i/>
          <w:sz w:val="20"/>
        </w:rPr>
        <w:t>(oppure è carente di motivazione per le seguenti eliminazioni………)</w:t>
      </w:r>
    </w:p>
    <w:p w14:paraId="00CEA1FC" w14:textId="77777777" w:rsidR="009F183C" w:rsidRDefault="00757AA1">
      <w:pPr>
        <w:numPr>
          <w:ilvl w:val="12"/>
          <w:numId w:val="0"/>
        </w:numPr>
        <w:rPr>
          <w:rFonts w:cs="Arial"/>
          <w:sz w:val="20"/>
        </w:rPr>
      </w:pPr>
      <w:r>
        <w:rPr>
          <w:rFonts w:cs="Arial"/>
          <w:sz w:val="20"/>
        </w:rPr>
        <w:t>In proposito si ritiene che ………………</w:t>
      </w:r>
    </w:p>
    <w:p w14:paraId="1228E53A" w14:textId="77777777" w:rsidR="009F183C" w:rsidRDefault="00757AA1">
      <w:pPr>
        <w:numPr>
          <w:ilvl w:val="12"/>
          <w:numId w:val="0"/>
        </w:numPr>
        <w:rPr>
          <w:rFonts w:cs="Arial"/>
          <w:b/>
          <w:i/>
          <w:color w:val="00B0F0"/>
          <w:sz w:val="20"/>
        </w:rPr>
      </w:pPr>
      <w:r>
        <w:rPr>
          <w:rFonts w:cs="Arial"/>
          <w:b/>
          <w:i/>
          <w:color w:val="00B0F0"/>
          <w:sz w:val="20"/>
        </w:rPr>
        <w:t>(segnalare eventuali irregolarità)</w:t>
      </w:r>
    </w:p>
    <w:p w14:paraId="45EEA565" w14:textId="77777777" w:rsidR="009F183C" w:rsidRDefault="00757AA1">
      <w:pPr>
        <w:numPr>
          <w:ilvl w:val="12"/>
          <w:numId w:val="0"/>
        </w:numPr>
        <w:rPr>
          <w:rFonts w:cs="Arial"/>
          <w:sz w:val="20"/>
        </w:rPr>
      </w:pPr>
      <w:r>
        <w:rPr>
          <w:rFonts w:cs="Arial"/>
          <w:sz w:val="20"/>
        </w:rPr>
        <w:t>Al riguardo di osserva………………………………………….</w:t>
      </w:r>
    </w:p>
    <w:p w14:paraId="6F4BEDAD" w14:textId="77777777" w:rsidR="009F183C" w:rsidRDefault="00757AA1">
      <w:pPr>
        <w:numPr>
          <w:ilvl w:val="12"/>
          <w:numId w:val="0"/>
        </w:numPr>
        <w:rPr>
          <w:rFonts w:cs="Arial"/>
          <w:sz w:val="20"/>
        </w:rPr>
      </w:pPr>
      <w:r>
        <w:rPr>
          <w:rFonts w:cs="Arial"/>
          <w:sz w:val="20"/>
        </w:rPr>
        <w:t>Dall’analisi dei residui per anno di provenienza risulta quanto segue (eventuale):</w:t>
      </w:r>
    </w:p>
    <w:bookmarkStart w:id="80" w:name="_MON_1487057425"/>
    <w:bookmarkEnd w:id="80"/>
    <w:bookmarkStart w:id="81" w:name="_MON_1550495253"/>
    <w:bookmarkEnd w:id="81"/>
    <w:p w14:paraId="4EEA0BD2" w14:textId="77777777" w:rsidR="009F183C" w:rsidRDefault="00757AA1">
      <w:pPr>
        <w:numPr>
          <w:ilvl w:val="12"/>
          <w:numId w:val="0"/>
        </w:numPr>
        <w:rPr>
          <w:rFonts w:cs="Arial"/>
          <w:sz w:val="20"/>
        </w:rPr>
      </w:pPr>
      <w:r>
        <w:rPr>
          <w:rFonts w:cs="Arial"/>
          <w:sz w:val="20"/>
        </w:rPr>
        <w:object w:dxaOrig="9263" w:dyaOrig="8946" w14:anchorId="3B70AC58">
          <v:shape id="_x0000_i1061" type="#_x0000_t75" style="width:497.25pt;height:446.25pt" o:ole="">
            <v:imagedata r:id="rId85" o:title=""/>
          </v:shape>
          <o:OLEObject Type="Embed" ProgID="Excel.Sheet.12" ShapeID="_x0000_i1061" DrawAspect="Content" ObjectID="_1780988572" r:id="rId86"/>
        </w:object>
      </w:r>
    </w:p>
    <w:p w14:paraId="03D44871" w14:textId="77777777" w:rsidR="009F183C" w:rsidRDefault="00757AA1">
      <w:pPr>
        <w:widowControl/>
        <w:overflowPunct/>
        <w:autoSpaceDE/>
        <w:autoSpaceDN/>
        <w:adjustRightInd/>
        <w:spacing w:after="0"/>
        <w:jc w:val="left"/>
        <w:textAlignment w:val="auto"/>
        <w:rPr>
          <w:b/>
          <w:i/>
          <w:sz w:val="28"/>
          <w:szCs w:val="28"/>
        </w:rPr>
      </w:pPr>
      <w:r>
        <w:rPr>
          <w:b/>
          <w:i/>
          <w:sz w:val="28"/>
          <w:szCs w:val="28"/>
        </w:rPr>
        <w:br w:type="page"/>
      </w:r>
    </w:p>
    <w:p w14:paraId="01EBBFAB" w14:textId="77777777" w:rsidR="009F183C" w:rsidRDefault="00757AA1">
      <w:pPr>
        <w:pStyle w:val="Titolo1"/>
        <w:shd w:val="clear" w:color="auto" w:fill="D6E3BC" w:themeFill="accent3" w:themeFillTint="66"/>
      </w:pPr>
      <w:bookmarkStart w:id="82" w:name="_Toc379377476"/>
      <w:bookmarkStart w:id="83" w:name="_Toc507691951"/>
      <w:r>
        <w:lastRenderedPageBreak/>
        <w:t>ANALISI E VALUTAZIONE DEI DEBITI FUORI BILANCIO</w:t>
      </w:r>
      <w:bookmarkEnd w:id="82"/>
      <w:bookmarkEnd w:id="83"/>
    </w:p>
    <w:p w14:paraId="4C24A177" w14:textId="77777777" w:rsidR="009F183C" w:rsidRDefault="00757AA1">
      <w:pPr>
        <w:numPr>
          <w:ilvl w:val="12"/>
          <w:numId w:val="0"/>
        </w:numPr>
        <w:spacing w:before="240"/>
        <w:rPr>
          <w:rFonts w:cs="Arial"/>
          <w:sz w:val="20"/>
        </w:rPr>
      </w:pPr>
      <w:r>
        <w:rPr>
          <w:rFonts w:cs="Arial"/>
          <w:sz w:val="20"/>
        </w:rPr>
        <w:t>L’ente ha provveduto nel corso del 2017 al riconoscimento e finanziamento di debiti fuori bilancio per euro ….. di cui euro ……….. di parte corrente ed euro ……. in conto capitale.</w:t>
      </w:r>
    </w:p>
    <w:p w14:paraId="345341BA" w14:textId="77777777" w:rsidR="009F183C" w:rsidRDefault="00757AA1">
      <w:pPr>
        <w:numPr>
          <w:ilvl w:val="12"/>
          <w:numId w:val="0"/>
        </w:numPr>
        <w:rPr>
          <w:rFonts w:cs="Arial"/>
          <w:sz w:val="20"/>
        </w:rPr>
      </w:pPr>
      <w:r>
        <w:rPr>
          <w:rFonts w:cs="Arial"/>
          <w:sz w:val="20"/>
        </w:rPr>
        <w:t>Tali debiti sono così classificabili:</w:t>
      </w:r>
    </w:p>
    <w:p w14:paraId="790D51D6" w14:textId="77777777" w:rsidR="009F183C" w:rsidRDefault="009F183C">
      <w:pPr>
        <w:numPr>
          <w:ilvl w:val="12"/>
          <w:numId w:val="0"/>
        </w:numPr>
        <w:rPr>
          <w:rFonts w:cs="Arial"/>
          <w:szCs w:val="22"/>
        </w:rPr>
      </w:pPr>
    </w:p>
    <w:bookmarkStart w:id="84" w:name="_MON_1486996904"/>
    <w:bookmarkEnd w:id="84"/>
    <w:p w14:paraId="0F0973B5" w14:textId="77777777" w:rsidR="009F183C" w:rsidRDefault="00757AA1">
      <w:pPr>
        <w:numPr>
          <w:ilvl w:val="12"/>
          <w:numId w:val="0"/>
        </w:numPr>
        <w:rPr>
          <w:rFonts w:cs="Arial"/>
          <w:sz w:val="20"/>
        </w:rPr>
      </w:pPr>
      <w:r>
        <w:rPr>
          <w:rFonts w:cs="Arial"/>
          <w:sz w:val="20"/>
        </w:rPr>
        <w:object w:dxaOrig="9698" w:dyaOrig="3542" w14:anchorId="6C908881">
          <v:shape id="_x0000_i1062" type="#_x0000_t75" style="width:482.25pt;height:180pt" o:ole="">
            <v:imagedata r:id="rId87" o:title=""/>
          </v:shape>
          <o:OLEObject Type="Embed" ProgID="Excel.Sheet.12" ShapeID="_x0000_i1062" DrawAspect="Content" ObjectID="_1780988573" r:id="rId88"/>
        </w:object>
      </w:r>
    </w:p>
    <w:p w14:paraId="78A8AF0E" w14:textId="77777777" w:rsidR="009F183C" w:rsidRDefault="00757AA1">
      <w:pPr>
        <w:rPr>
          <w:rFonts w:cs="Arial"/>
          <w:sz w:val="20"/>
        </w:rPr>
      </w:pPr>
      <w:r>
        <w:rPr>
          <w:rFonts w:cs="Arial"/>
          <w:sz w:val="20"/>
        </w:rPr>
        <w:t>I relativi atti sono stati inviati alla competente Procura della Sezione Regionale della Corte dei Conti ai sensi dell’art. 23, comma 5, L. 289/2002.</w:t>
      </w:r>
    </w:p>
    <w:p w14:paraId="61C5CE2C" w14:textId="77777777" w:rsidR="00E455CA" w:rsidRPr="00E455CA" w:rsidRDefault="00E455CA">
      <w:pPr>
        <w:rPr>
          <w:rFonts w:cs="Arial"/>
          <w:bCs/>
          <w:iCs/>
          <w:sz w:val="20"/>
        </w:rPr>
      </w:pPr>
    </w:p>
    <w:p w14:paraId="7A50B726" w14:textId="77777777" w:rsidR="009F183C" w:rsidRPr="00E455CA" w:rsidRDefault="00757AA1" w:rsidP="00E455CA">
      <w:pPr>
        <w:rPr>
          <w:rFonts w:cs="Arial"/>
          <w:b/>
          <w:sz w:val="24"/>
          <w:szCs w:val="24"/>
          <w:u w:val="single"/>
        </w:rPr>
      </w:pPr>
      <w:bookmarkStart w:id="85" w:name="_Toc379377477"/>
      <w:r w:rsidRPr="00E455CA">
        <w:rPr>
          <w:rFonts w:cs="Arial"/>
          <w:b/>
          <w:sz w:val="24"/>
          <w:szCs w:val="24"/>
          <w:u w:val="single"/>
        </w:rPr>
        <w:t>Debiti fuori bilancio riconosciuti o segnalati dopo la chiusura dell’esercizio</w:t>
      </w:r>
      <w:bookmarkEnd w:id="85"/>
      <w:r w:rsidRPr="00E455CA">
        <w:rPr>
          <w:rFonts w:cs="Arial"/>
          <w:b/>
          <w:sz w:val="24"/>
          <w:szCs w:val="24"/>
          <w:u w:val="single"/>
        </w:rPr>
        <w:t xml:space="preserve"> </w:t>
      </w:r>
    </w:p>
    <w:p w14:paraId="058F31CE" w14:textId="77777777" w:rsidR="009F183C" w:rsidRDefault="00757AA1">
      <w:pPr>
        <w:rPr>
          <w:rFonts w:cs="Arial"/>
          <w:sz w:val="20"/>
        </w:rPr>
      </w:pPr>
      <w:r>
        <w:rPr>
          <w:rFonts w:cs="Arial"/>
          <w:sz w:val="20"/>
        </w:rPr>
        <w:t>Dopo la chiusura dell’esercizio ed entro la data di formazione dello schema di rendiconto sono stati:</w:t>
      </w:r>
    </w:p>
    <w:p w14:paraId="61766F32" w14:textId="77777777" w:rsidR="009F183C" w:rsidRDefault="00757AA1">
      <w:pPr>
        <w:numPr>
          <w:ilvl w:val="0"/>
          <w:numId w:val="19"/>
        </w:numPr>
        <w:rPr>
          <w:rFonts w:cs="Arial"/>
          <w:sz w:val="20"/>
        </w:rPr>
      </w:pPr>
      <w:r>
        <w:rPr>
          <w:rFonts w:cs="Arial"/>
          <w:sz w:val="20"/>
        </w:rPr>
        <w:t>riconosciuti e finanziati debiti fuori bilancio per euro …………………..</w:t>
      </w:r>
    </w:p>
    <w:p w14:paraId="1794B652" w14:textId="77777777" w:rsidR="009F183C" w:rsidRDefault="00757AA1">
      <w:pPr>
        <w:widowControl/>
        <w:numPr>
          <w:ilvl w:val="0"/>
          <w:numId w:val="19"/>
        </w:numPr>
        <w:overflowPunct/>
        <w:autoSpaceDE/>
        <w:autoSpaceDN/>
        <w:adjustRightInd/>
        <w:jc w:val="left"/>
        <w:textAlignment w:val="auto"/>
        <w:rPr>
          <w:rFonts w:cs="Arial"/>
          <w:sz w:val="20"/>
        </w:rPr>
      </w:pPr>
      <w:r>
        <w:rPr>
          <w:rFonts w:cs="Arial"/>
          <w:sz w:val="20"/>
        </w:rPr>
        <w:t>segnalati debiti fuori bilancio in attesa di riconoscimento per euro …………..</w:t>
      </w:r>
    </w:p>
    <w:p w14:paraId="3F232382" w14:textId="77777777" w:rsidR="009F183C" w:rsidRDefault="00757AA1">
      <w:pPr>
        <w:rPr>
          <w:rFonts w:cs="Arial"/>
          <w:sz w:val="20"/>
        </w:rPr>
      </w:pPr>
      <w:r>
        <w:rPr>
          <w:rFonts w:cs="Arial"/>
          <w:sz w:val="20"/>
        </w:rPr>
        <w:t>Al finanziamento dei debiti fuori bilancio di cui alla lettera a) si è provveduto come segue:</w:t>
      </w:r>
    </w:p>
    <w:p w14:paraId="42160326" w14:textId="77777777" w:rsidR="009F183C" w:rsidRDefault="00757AA1">
      <w:pPr>
        <w:widowControl/>
        <w:numPr>
          <w:ilvl w:val="0"/>
          <w:numId w:val="20"/>
        </w:numPr>
        <w:overflowPunct/>
        <w:autoSpaceDE/>
        <w:autoSpaceDN/>
        <w:adjustRightInd/>
        <w:jc w:val="left"/>
        <w:textAlignment w:val="auto"/>
        <w:rPr>
          <w:rFonts w:cs="Arial"/>
          <w:sz w:val="20"/>
        </w:rPr>
      </w:pPr>
      <w:r>
        <w:rPr>
          <w:rFonts w:cs="Arial"/>
          <w:sz w:val="20"/>
        </w:rPr>
        <w:t xml:space="preserve">con ………………………………………………………… per euro ……………………………….. </w:t>
      </w:r>
    </w:p>
    <w:p w14:paraId="6183A93C" w14:textId="77777777" w:rsidR="009F183C" w:rsidRDefault="009F183C">
      <w:pPr>
        <w:widowControl/>
        <w:overflowPunct/>
        <w:autoSpaceDE/>
        <w:autoSpaceDN/>
        <w:adjustRightInd/>
        <w:spacing w:after="0"/>
        <w:textAlignment w:val="auto"/>
        <w:rPr>
          <w:rFonts w:cs="Arial"/>
          <w:b/>
          <w:i/>
          <w:color w:val="0070C0"/>
          <w:szCs w:val="22"/>
        </w:rPr>
      </w:pPr>
    </w:p>
    <w:p w14:paraId="13005A3C" w14:textId="77777777" w:rsidR="009F183C" w:rsidRDefault="00757AA1">
      <w:pPr>
        <w:widowControl/>
        <w:overflowPunct/>
        <w:autoSpaceDE/>
        <w:autoSpaceDN/>
        <w:adjustRightInd/>
        <w:spacing w:after="0"/>
        <w:textAlignment w:val="auto"/>
        <w:rPr>
          <w:i/>
          <w:color w:val="00B0F0"/>
          <w:sz w:val="20"/>
        </w:rPr>
      </w:pPr>
      <w:r>
        <w:rPr>
          <w:i/>
          <w:color w:val="00B0F0"/>
          <w:sz w:val="20"/>
        </w:rPr>
        <w:t>In presenza di debiti fuori bilancio di cui alla lettera b) l’ente deve apporre apposito vincolo sulla quota libera dell’avanzo di amministrazione, se capiente.</w:t>
      </w:r>
    </w:p>
    <w:p w14:paraId="0F9277CE" w14:textId="77777777" w:rsidR="009F183C" w:rsidRDefault="009F183C">
      <w:pPr>
        <w:widowControl/>
        <w:overflowPunct/>
        <w:autoSpaceDE/>
        <w:autoSpaceDN/>
        <w:adjustRightInd/>
        <w:spacing w:after="0"/>
        <w:textAlignment w:val="auto"/>
        <w:rPr>
          <w:i/>
          <w:color w:val="00B0F0"/>
          <w:sz w:val="20"/>
        </w:rPr>
      </w:pPr>
    </w:p>
    <w:p w14:paraId="010AE2AC" w14:textId="77777777" w:rsidR="009F183C" w:rsidRDefault="00757AA1">
      <w:pPr>
        <w:widowControl/>
        <w:overflowPunct/>
        <w:autoSpaceDE/>
        <w:autoSpaceDN/>
        <w:adjustRightInd/>
        <w:spacing w:after="0"/>
        <w:textAlignment w:val="auto"/>
        <w:rPr>
          <w:i/>
          <w:color w:val="00B0F0"/>
          <w:sz w:val="20"/>
        </w:rPr>
      </w:pPr>
      <w:r>
        <w:rPr>
          <w:i/>
          <w:color w:val="00B0F0"/>
          <w:sz w:val="20"/>
        </w:rPr>
        <w:t>L’organo di revisione deve verificare presso il servizio legale dell’ente (o con richiesta al segretario comunale) se esistono azioni legali che vedono l’ente soccombente e che abbiano comportato l’avvio di atti difensivi (es. opposizione a sentenze esecutive di primo grado).</w:t>
      </w:r>
    </w:p>
    <w:p w14:paraId="19A682E1" w14:textId="77777777" w:rsidR="009F183C" w:rsidRDefault="009F183C">
      <w:pPr>
        <w:widowControl/>
        <w:overflowPunct/>
        <w:autoSpaceDE/>
        <w:autoSpaceDN/>
        <w:adjustRightInd/>
        <w:spacing w:after="0"/>
        <w:textAlignment w:val="auto"/>
        <w:rPr>
          <w:i/>
          <w:color w:val="00B0F0"/>
          <w:sz w:val="20"/>
        </w:rPr>
      </w:pPr>
    </w:p>
    <w:p w14:paraId="23F7B387" w14:textId="77777777" w:rsidR="009F183C" w:rsidRDefault="009F183C">
      <w:pPr>
        <w:widowControl/>
        <w:overflowPunct/>
        <w:autoSpaceDE/>
        <w:autoSpaceDN/>
        <w:adjustRightInd/>
        <w:spacing w:after="0"/>
        <w:jc w:val="left"/>
        <w:textAlignment w:val="auto"/>
        <w:rPr>
          <w:rFonts w:cs="Arial"/>
          <w:szCs w:val="22"/>
        </w:rPr>
      </w:pPr>
    </w:p>
    <w:p w14:paraId="70AF1373" w14:textId="77777777" w:rsidR="009F183C" w:rsidRDefault="009F183C">
      <w:pPr>
        <w:widowControl/>
        <w:overflowPunct/>
        <w:autoSpaceDE/>
        <w:autoSpaceDN/>
        <w:adjustRightInd/>
        <w:spacing w:after="0"/>
        <w:jc w:val="left"/>
        <w:textAlignment w:val="auto"/>
        <w:rPr>
          <w:rFonts w:cs="Arial"/>
          <w:sz w:val="20"/>
        </w:rPr>
      </w:pPr>
    </w:p>
    <w:p w14:paraId="078A1D54" w14:textId="77777777" w:rsidR="009F183C" w:rsidRDefault="009F183C">
      <w:pPr>
        <w:widowControl/>
        <w:overflowPunct/>
        <w:autoSpaceDE/>
        <w:autoSpaceDN/>
        <w:adjustRightInd/>
        <w:spacing w:after="0"/>
        <w:jc w:val="left"/>
        <w:textAlignment w:val="auto"/>
        <w:rPr>
          <w:rFonts w:cs="Arial"/>
          <w:sz w:val="20"/>
        </w:rPr>
      </w:pPr>
    </w:p>
    <w:p w14:paraId="5893C2A8" w14:textId="77777777" w:rsidR="009F183C" w:rsidRDefault="009F183C">
      <w:pPr>
        <w:widowControl/>
        <w:overflowPunct/>
        <w:autoSpaceDE/>
        <w:autoSpaceDN/>
        <w:adjustRightInd/>
        <w:spacing w:after="0"/>
        <w:jc w:val="left"/>
        <w:textAlignment w:val="auto"/>
        <w:rPr>
          <w:rFonts w:cs="Arial"/>
          <w:sz w:val="20"/>
        </w:rPr>
      </w:pPr>
    </w:p>
    <w:p w14:paraId="379F8824" w14:textId="77777777" w:rsidR="009F183C" w:rsidRDefault="009F183C">
      <w:pPr>
        <w:widowControl/>
        <w:overflowPunct/>
        <w:autoSpaceDE/>
        <w:autoSpaceDN/>
        <w:adjustRightInd/>
        <w:spacing w:after="0"/>
        <w:jc w:val="left"/>
        <w:textAlignment w:val="auto"/>
        <w:rPr>
          <w:rFonts w:cs="Arial"/>
          <w:sz w:val="20"/>
        </w:rPr>
      </w:pPr>
    </w:p>
    <w:p w14:paraId="7E369023" w14:textId="77777777" w:rsidR="009F183C" w:rsidRDefault="009F183C">
      <w:pPr>
        <w:widowControl/>
        <w:overflowPunct/>
        <w:autoSpaceDE/>
        <w:autoSpaceDN/>
        <w:adjustRightInd/>
        <w:spacing w:after="0"/>
        <w:jc w:val="left"/>
        <w:textAlignment w:val="auto"/>
        <w:rPr>
          <w:rFonts w:cs="Arial"/>
          <w:sz w:val="20"/>
        </w:rPr>
      </w:pPr>
    </w:p>
    <w:p w14:paraId="0E447E5D" w14:textId="77777777" w:rsidR="009F183C" w:rsidRDefault="009F183C">
      <w:pPr>
        <w:widowControl/>
        <w:overflowPunct/>
        <w:autoSpaceDE/>
        <w:autoSpaceDN/>
        <w:adjustRightInd/>
        <w:spacing w:after="0"/>
        <w:jc w:val="left"/>
        <w:textAlignment w:val="auto"/>
        <w:rPr>
          <w:rFonts w:cs="Arial"/>
          <w:sz w:val="20"/>
        </w:rPr>
      </w:pPr>
    </w:p>
    <w:p w14:paraId="74B05BC5" w14:textId="77777777" w:rsidR="009F183C" w:rsidRDefault="009F183C">
      <w:pPr>
        <w:widowControl/>
        <w:overflowPunct/>
        <w:autoSpaceDE/>
        <w:autoSpaceDN/>
        <w:adjustRightInd/>
        <w:spacing w:after="0"/>
        <w:jc w:val="left"/>
        <w:textAlignment w:val="auto"/>
        <w:rPr>
          <w:rFonts w:cs="Arial"/>
          <w:sz w:val="20"/>
        </w:rPr>
      </w:pPr>
    </w:p>
    <w:p w14:paraId="2CBD984B" w14:textId="77777777" w:rsidR="009F183C" w:rsidRDefault="009F183C">
      <w:pPr>
        <w:widowControl/>
        <w:overflowPunct/>
        <w:autoSpaceDE/>
        <w:autoSpaceDN/>
        <w:adjustRightInd/>
        <w:spacing w:after="0"/>
        <w:jc w:val="left"/>
        <w:textAlignment w:val="auto"/>
        <w:rPr>
          <w:rFonts w:cs="Arial"/>
          <w:sz w:val="20"/>
        </w:rPr>
      </w:pPr>
    </w:p>
    <w:p w14:paraId="00883550" w14:textId="77777777" w:rsidR="009F183C" w:rsidRDefault="009F183C">
      <w:pPr>
        <w:widowControl/>
        <w:overflowPunct/>
        <w:autoSpaceDE/>
        <w:autoSpaceDN/>
        <w:adjustRightInd/>
        <w:spacing w:after="0"/>
        <w:jc w:val="left"/>
        <w:textAlignment w:val="auto"/>
        <w:rPr>
          <w:rFonts w:cs="Arial"/>
          <w:sz w:val="20"/>
        </w:rPr>
      </w:pPr>
    </w:p>
    <w:p w14:paraId="0471FD28" w14:textId="77777777" w:rsidR="009F183C" w:rsidRDefault="009F183C">
      <w:pPr>
        <w:widowControl/>
        <w:overflowPunct/>
        <w:autoSpaceDE/>
        <w:autoSpaceDN/>
        <w:adjustRightInd/>
        <w:spacing w:after="0"/>
        <w:jc w:val="left"/>
        <w:textAlignment w:val="auto"/>
        <w:rPr>
          <w:rFonts w:cs="Arial"/>
          <w:sz w:val="20"/>
        </w:rPr>
      </w:pPr>
    </w:p>
    <w:p w14:paraId="240998C3" w14:textId="77777777" w:rsidR="009F183C" w:rsidRDefault="009F183C">
      <w:pPr>
        <w:widowControl/>
        <w:overflowPunct/>
        <w:autoSpaceDE/>
        <w:autoSpaceDN/>
        <w:adjustRightInd/>
        <w:spacing w:after="0"/>
        <w:jc w:val="left"/>
        <w:textAlignment w:val="auto"/>
        <w:rPr>
          <w:rFonts w:cs="Arial"/>
          <w:sz w:val="20"/>
        </w:rPr>
      </w:pPr>
    </w:p>
    <w:p w14:paraId="1F363CC7" w14:textId="77777777" w:rsidR="009F183C" w:rsidRDefault="009F183C">
      <w:pPr>
        <w:widowControl/>
        <w:overflowPunct/>
        <w:autoSpaceDE/>
        <w:autoSpaceDN/>
        <w:adjustRightInd/>
        <w:spacing w:after="0"/>
        <w:jc w:val="left"/>
        <w:textAlignment w:val="auto"/>
        <w:rPr>
          <w:rFonts w:cs="Arial"/>
          <w:sz w:val="20"/>
        </w:rPr>
      </w:pPr>
    </w:p>
    <w:p w14:paraId="7EC660DD" w14:textId="77777777" w:rsidR="009F183C" w:rsidRDefault="009F183C">
      <w:pPr>
        <w:widowControl/>
        <w:overflowPunct/>
        <w:autoSpaceDE/>
        <w:autoSpaceDN/>
        <w:adjustRightInd/>
        <w:spacing w:after="0"/>
        <w:jc w:val="left"/>
        <w:textAlignment w:val="auto"/>
        <w:rPr>
          <w:rFonts w:cs="Arial"/>
          <w:sz w:val="20"/>
        </w:rPr>
      </w:pPr>
    </w:p>
    <w:p w14:paraId="1B7EFA2F" w14:textId="77777777" w:rsidR="009F183C" w:rsidRDefault="009F183C">
      <w:pPr>
        <w:widowControl/>
        <w:overflowPunct/>
        <w:autoSpaceDE/>
        <w:autoSpaceDN/>
        <w:adjustRightInd/>
        <w:spacing w:after="0"/>
        <w:jc w:val="left"/>
        <w:textAlignment w:val="auto"/>
        <w:rPr>
          <w:rFonts w:cs="Arial"/>
          <w:sz w:val="20"/>
        </w:rPr>
      </w:pPr>
    </w:p>
    <w:p w14:paraId="71508A8E" w14:textId="77777777" w:rsidR="009F183C" w:rsidRDefault="009F183C">
      <w:pPr>
        <w:widowControl/>
        <w:overflowPunct/>
        <w:autoSpaceDE/>
        <w:autoSpaceDN/>
        <w:adjustRightInd/>
        <w:spacing w:after="0"/>
        <w:jc w:val="left"/>
        <w:textAlignment w:val="auto"/>
        <w:rPr>
          <w:rFonts w:cs="Arial"/>
          <w:sz w:val="20"/>
        </w:rPr>
      </w:pPr>
    </w:p>
    <w:p w14:paraId="39E04D3E" w14:textId="77777777" w:rsidR="009F183C" w:rsidRDefault="00757AA1">
      <w:pPr>
        <w:pStyle w:val="Titolo1"/>
        <w:shd w:val="clear" w:color="auto" w:fill="D6E3BC" w:themeFill="accent3" w:themeFillTint="66"/>
      </w:pPr>
      <w:bookmarkStart w:id="86" w:name="_Toc379377478"/>
      <w:bookmarkStart w:id="87" w:name="_Toc507691952"/>
      <w:r>
        <w:lastRenderedPageBreak/>
        <w:t>RAPPORTI CON ORGANISMI PARTECIPATI</w:t>
      </w:r>
      <w:bookmarkEnd w:id="86"/>
      <w:bookmarkEnd w:id="87"/>
    </w:p>
    <w:p w14:paraId="6D000D7A" w14:textId="77777777" w:rsidR="009F183C" w:rsidRDefault="009F183C">
      <w:pPr>
        <w:rPr>
          <w:rFonts w:cs="Arial"/>
          <w:sz w:val="20"/>
        </w:rPr>
      </w:pPr>
    </w:p>
    <w:p w14:paraId="3611E5E0" w14:textId="77777777" w:rsidR="009F183C" w:rsidRDefault="00757AA1">
      <w:pPr>
        <w:rPr>
          <w:rFonts w:cs="Arial"/>
          <w:b/>
          <w:szCs w:val="22"/>
          <w:u w:val="single"/>
        </w:rPr>
      </w:pPr>
      <w:bookmarkStart w:id="88" w:name="_Toc379377479"/>
      <w:r>
        <w:rPr>
          <w:rFonts w:cs="Arial"/>
          <w:b/>
          <w:szCs w:val="22"/>
          <w:u w:val="single"/>
        </w:rPr>
        <w:t>Verifica rapporti di debito e credito con i propri enti strumentali e le società controllate e partecipate</w:t>
      </w:r>
      <w:bookmarkEnd w:id="88"/>
    </w:p>
    <w:p w14:paraId="67AC9338" w14:textId="77777777" w:rsidR="009F183C" w:rsidRDefault="00757AA1">
      <w:pPr>
        <w:widowControl/>
        <w:overflowPunct/>
        <w:autoSpaceDE/>
        <w:autoSpaceDN/>
        <w:adjustRightInd/>
        <w:spacing w:after="0"/>
        <w:textAlignment w:val="auto"/>
        <w:rPr>
          <w:rFonts w:cs="Arial"/>
          <w:b/>
          <w:sz w:val="20"/>
          <w:u w:val="single"/>
        </w:rPr>
      </w:pPr>
      <w:r>
        <w:rPr>
          <w:rFonts w:cs="Arial"/>
          <w:b/>
          <w:sz w:val="20"/>
          <w:u w:val="single"/>
        </w:rPr>
        <w:t xml:space="preserve">Crediti e debiti reciproci </w:t>
      </w:r>
    </w:p>
    <w:p w14:paraId="6298CB2B" w14:textId="77777777" w:rsidR="009F183C" w:rsidRDefault="009F183C">
      <w:pPr>
        <w:widowControl/>
        <w:overflowPunct/>
        <w:autoSpaceDE/>
        <w:autoSpaceDN/>
        <w:adjustRightInd/>
        <w:spacing w:after="0"/>
        <w:textAlignment w:val="auto"/>
        <w:rPr>
          <w:rFonts w:cs="Arial"/>
          <w:b/>
          <w:sz w:val="20"/>
          <w:u w:val="single"/>
        </w:rPr>
      </w:pPr>
    </w:p>
    <w:p w14:paraId="1AB72C2E" w14:textId="77777777" w:rsidR="009F183C" w:rsidRDefault="00757AA1">
      <w:pPr>
        <w:widowControl/>
        <w:overflowPunct/>
        <w:autoSpaceDE/>
        <w:autoSpaceDN/>
        <w:adjustRightInd/>
        <w:spacing w:after="0"/>
        <w:textAlignment w:val="auto"/>
        <w:rPr>
          <w:rFonts w:cs="Arial"/>
          <w:sz w:val="20"/>
        </w:rPr>
      </w:pPr>
      <w:r>
        <w:rPr>
          <w:rFonts w:cs="Arial"/>
          <w:sz w:val="20"/>
        </w:rPr>
        <w:t xml:space="preserve">L’art.11, comma 6 lett. J del d.lgs.118/2011, richiede di illustrare nella relazione sulla gestione gli esiti della verifica dei crediti e debiti reciproci con i propri enti strumentali e le società controllate e partecipate. </w:t>
      </w:r>
    </w:p>
    <w:p w14:paraId="0026A859" w14:textId="77777777" w:rsidR="009F183C" w:rsidRDefault="009F183C">
      <w:pPr>
        <w:widowControl/>
        <w:overflowPunct/>
        <w:autoSpaceDE/>
        <w:autoSpaceDN/>
        <w:adjustRightInd/>
        <w:spacing w:after="0"/>
        <w:textAlignment w:val="auto"/>
        <w:rPr>
          <w:rFonts w:cs="Arial"/>
          <w:sz w:val="20"/>
        </w:rPr>
      </w:pPr>
    </w:p>
    <w:p w14:paraId="66150452" w14:textId="77777777" w:rsidR="009F183C" w:rsidRDefault="00757AA1">
      <w:pPr>
        <w:widowControl/>
        <w:overflowPunct/>
        <w:autoSpaceDE/>
        <w:autoSpaceDN/>
        <w:adjustRightInd/>
        <w:textAlignment w:val="auto"/>
        <w:rPr>
          <w:rFonts w:cs="Arial"/>
          <w:sz w:val="20"/>
        </w:rPr>
      </w:pPr>
      <w:r>
        <w:rPr>
          <w:rFonts w:cs="Arial"/>
          <w:sz w:val="20"/>
        </w:rPr>
        <w:t>L’esito di tale verifica è riportato nella seguente tabella:</w:t>
      </w:r>
    </w:p>
    <w:bookmarkStart w:id="89" w:name="_MON_1550735405"/>
    <w:bookmarkEnd w:id="89"/>
    <w:p w14:paraId="4F539B27" w14:textId="77777777" w:rsidR="009F183C" w:rsidRDefault="00757AA1">
      <w:pPr>
        <w:rPr>
          <w:rFonts w:cs="Arial"/>
          <w:sz w:val="20"/>
        </w:rPr>
      </w:pPr>
      <w:r>
        <w:rPr>
          <w:rFonts w:cs="Arial"/>
          <w:sz w:val="20"/>
        </w:rPr>
        <w:object w:dxaOrig="10498" w:dyaOrig="6856" w14:anchorId="7FD1A336">
          <v:shape id="_x0000_i1063" type="#_x0000_t75" style="width:7in;height:331.5pt" o:ole="">
            <v:imagedata r:id="rId89" o:title=""/>
          </v:shape>
          <o:OLEObject Type="Embed" ProgID="Excel.Sheet.12" ShapeID="_x0000_i1063" DrawAspect="Content" ObjectID="_1780988574" r:id="rId90"/>
        </w:object>
      </w:r>
      <w:bookmarkStart w:id="90" w:name="_Toc379377480"/>
      <w:r>
        <w:rPr>
          <w:rFonts w:cs="Arial"/>
          <w:sz w:val="20"/>
        </w:rPr>
        <w:t>In relazione alle differenze l’organo di revisione osserva quanto segue:</w:t>
      </w:r>
    </w:p>
    <w:p w14:paraId="5573F578" w14:textId="6412ED01" w:rsidR="009F183C" w:rsidRDefault="00757AA1">
      <w:pPr>
        <w:rPr>
          <w:rFonts w:cs="Arial"/>
          <w:sz w:val="20"/>
        </w:rPr>
      </w:pPr>
      <w:r>
        <w:rPr>
          <w:rFonts w:cs="Arial"/>
          <w:sz w:val="20"/>
        </w:rPr>
        <w:t>…………………………………………………………………………………………..</w:t>
      </w:r>
    </w:p>
    <w:p w14:paraId="451B2963" w14:textId="77777777" w:rsidR="00D71352" w:rsidRDefault="00D71352">
      <w:pPr>
        <w:rPr>
          <w:rFonts w:cs="Arial"/>
          <w:b/>
          <w:szCs w:val="22"/>
          <w:u w:val="single"/>
        </w:rPr>
      </w:pPr>
    </w:p>
    <w:p w14:paraId="5C9CCF50" w14:textId="77777777" w:rsidR="009F183C" w:rsidRDefault="00757AA1">
      <w:pPr>
        <w:rPr>
          <w:rFonts w:cs="Arial"/>
          <w:b/>
          <w:szCs w:val="22"/>
          <w:u w:val="single"/>
        </w:rPr>
      </w:pPr>
      <w:r>
        <w:rPr>
          <w:rFonts w:cs="Arial"/>
          <w:b/>
          <w:szCs w:val="22"/>
          <w:u w:val="single"/>
        </w:rPr>
        <w:t>Esternalizzazione dei servizi e rapporti con organismi partecipati</w:t>
      </w:r>
      <w:bookmarkEnd w:id="90"/>
    </w:p>
    <w:p w14:paraId="3F6F8016" w14:textId="77777777" w:rsidR="00D71352" w:rsidRDefault="00D71352">
      <w:pPr>
        <w:spacing w:after="240"/>
        <w:rPr>
          <w:rFonts w:cs="Arial"/>
          <w:sz w:val="20"/>
        </w:rPr>
      </w:pPr>
    </w:p>
    <w:p w14:paraId="06CA1E49" w14:textId="5D41C6AB" w:rsidR="009F183C" w:rsidRDefault="00757AA1">
      <w:pPr>
        <w:spacing w:after="240"/>
        <w:rPr>
          <w:rFonts w:cs="Arial"/>
          <w:szCs w:val="22"/>
        </w:rPr>
      </w:pPr>
      <w:r>
        <w:rPr>
          <w:rFonts w:cs="Arial"/>
          <w:sz w:val="20"/>
        </w:rPr>
        <w:t>Nel corso dell’esercizio 2017, l’Ente ha provveduto ad esternalizzare i seguenti servizi pubblici locali o, comunque, ha sostenuto le seguenti spese a favore di organismi (agenzia, associazione, azienda, azienda servizi alla persona-ASP, consorzio, fondazione, istituzione ed unione di comuni e società) partecipati direttamente o indirettamente</w:t>
      </w:r>
      <w:r>
        <w:rPr>
          <w:rFonts w:cs="Arial"/>
          <w:szCs w:val="22"/>
        </w:rPr>
        <w:t>:</w:t>
      </w:r>
    </w:p>
    <w:p w14:paraId="12F8916B" w14:textId="77777777" w:rsidR="009F183C" w:rsidRDefault="00757AA1">
      <w:pPr>
        <w:spacing w:after="240"/>
        <w:rPr>
          <w:b/>
          <w:i/>
          <w:color w:val="365F91"/>
          <w:sz w:val="20"/>
        </w:rPr>
      </w:pPr>
      <w:r>
        <w:rPr>
          <w:b/>
          <w:i/>
          <w:color w:val="365F91"/>
          <w:sz w:val="20"/>
        </w:rPr>
        <w:t xml:space="preserve">Nel caso (frequente) che i dati interessino più organismi partecipati è consigliabile predisporre un apposito allegato, replicando per ognuno le tabelle seguenti. </w:t>
      </w:r>
    </w:p>
    <w:bookmarkStart w:id="91" w:name="_MON_1487054174"/>
    <w:bookmarkEnd w:id="91"/>
    <w:p w14:paraId="64EF6081" w14:textId="77777777" w:rsidR="009F183C" w:rsidRDefault="00757AA1">
      <w:pPr>
        <w:spacing w:after="240"/>
        <w:rPr>
          <w:rFonts w:cs="Arial"/>
          <w:b/>
          <w:i/>
          <w:color w:val="0070C0"/>
          <w:sz w:val="20"/>
        </w:rPr>
      </w:pPr>
      <w:r>
        <w:rPr>
          <w:rFonts w:cs="Arial"/>
          <w:b/>
          <w:i/>
          <w:color w:val="0070C0"/>
          <w:sz w:val="20"/>
        </w:rPr>
        <w:object w:dxaOrig="9021" w:dyaOrig="5018" w14:anchorId="286F539E">
          <v:shape id="_x0000_i1064" type="#_x0000_t75" style="width:454.5pt;height:252pt" o:ole="">
            <v:imagedata r:id="rId91" o:title=""/>
          </v:shape>
          <o:OLEObject Type="Embed" ProgID="Excel.Sheet.12" ShapeID="_x0000_i1064" DrawAspect="Content" ObjectID="_1780988575" r:id="rId92"/>
        </w:object>
      </w:r>
    </w:p>
    <w:p w14:paraId="4E561C44" w14:textId="0BDA2581" w:rsidR="009F183C" w:rsidRDefault="00757AA1">
      <w:pPr>
        <w:rPr>
          <w:rFonts w:cs="Arial"/>
          <w:sz w:val="20"/>
        </w:rPr>
      </w:pPr>
      <w:r>
        <w:rPr>
          <w:rFonts w:cs="Arial"/>
          <w:sz w:val="20"/>
        </w:rPr>
        <w:t>In caso di costituzione o acquisizione di partecipazioni è stato rispettato quanto disposto dall’art.3, commi 30, 31 e 32 della Legge 244/</w:t>
      </w:r>
      <w:r w:rsidR="00C0640C">
        <w:rPr>
          <w:rFonts w:cs="Arial"/>
          <w:sz w:val="20"/>
        </w:rPr>
        <w:t>07, (</w:t>
      </w:r>
      <w:r>
        <w:rPr>
          <w:rFonts w:cs="Arial"/>
          <w:sz w:val="20"/>
        </w:rPr>
        <w:t>trasferimento di risorse umane e finanziarie) come da asseverazione dell’organo di revisione in data ………………..</w:t>
      </w:r>
    </w:p>
    <w:p w14:paraId="588729A7" w14:textId="77777777" w:rsidR="009F183C" w:rsidRDefault="00757AA1">
      <w:pPr>
        <w:rPr>
          <w:rFonts w:cs="Arial"/>
          <w:sz w:val="20"/>
        </w:rPr>
      </w:pPr>
      <w:r>
        <w:rPr>
          <w:rFonts w:cs="Arial"/>
          <w:sz w:val="20"/>
        </w:rPr>
        <w:t>L’Ente ha proceduto nell’esercizio 2017 ad ampliamento dell’oggetto dei seguenti contratti di servizio:</w:t>
      </w:r>
    </w:p>
    <w:p w14:paraId="5455DA69" w14:textId="77777777" w:rsidR="009F183C" w:rsidRDefault="00757AA1">
      <w:pPr>
        <w:rPr>
          <w:rFonts w:cs="Arial"/>
          <w:sz w:val="20"/>
        </w:rPr>
      </w:pPr>
      <w:r>
        <w:rPr>
          <w:rFonts w:cs="Arial"/>
          <w:sz w:val="20"/>
        </w:rPr>
        <w:t>…………………………………………</w:t>
      </w:r>
    </w:p>
    <w:p w14:paraId="7CA8D9D0" w14:textId="77777777" w:rsidR="009F183C" w:rsidRDefault="00757AA1">
      <w:pPr>
        <w:rPr>
          <w:rFonts w:cs="Arial"/>
          <w:b/>
          <w:szCs w:val="22"/>
          <w:u w:val="single"/>
        </w:rPr>
      </w:pPr>
      <w:r>
        <w:rPr>
          <w:rFonts w:cs="Arial"/>
          <w:b/>
          <w:szCs w:val="22"/>
          <w:u w:val="single"/>
        </w:rPr>
        <w:t xml:space="preserve">Nel caso di costituzione di società o acquisizione di partecipazioni </w:t>
      </w:r>
    </w:p>
    <w:p w14:paraId="415B60F8" w14:textId="77777777" w:rsidR="00D71352" w:rsidRDefault="00D71352">
      <w:pPr>
        <w:rPr>
          <w:rFonts w:cs="Arial"/>
          <w:sz w:val="20"/>
        </w:rPr>
      </w:pPr>
    </w:p>
    <w:p w14:paraId="74B90170" w14:textId="364AB704" w:rsidR="009F183C" w:rsidRDefault="00757AA1">
      <w:pPr>
        <w:rPr>
          <w:rFonts w:cs="Arial"/>
          <w:sz w:val="20"/>
        </w:rPr>
      </w:pPr>
      <w:r>
        <w:rPr>
          <w:rFonts w:cs="Arial"/>
          <w:sz w:val="20"/>
        </w:rPr>
        <w:t>Il Consiglio Comunale con deliberazione n. ……………… del ………., ha approvato l’atto deliberativo di costituzione della società (</w:t>
      </w:r>
      <w:r>
        <w:rPr>
          <w:rFonts w:cs="Arial"/>
          <w:i/>
          <w:sz w:val="20"/>
        </w:rPr>
        <w:t>o di acquisizione della partecipazione diretta o indiretta</w:t>
      </w:r>
      <w:r>
        <w:rPr>
          <w:rFonts w:cs="Arial"/>
          <w:sz w:val="20"/>
        </w:rPr>
        <w:t xml:space="preserve">) redatto in conformità a quanto previsto dall’art. 5, comma 1 del </w:t>
      </w:r>
      <w:r w:rsidR="00C0640C">
        <w:rPr>
          <w:rFonts w:cs="Arial"/>
          <w:sz w:val="20"/>
        </w:rPr>
        <w:t>D. Lgs</w:t>
      </w:r>
      <w:r>
        <w:rPr>
          <w:rFonts w:cs="Arial"/>
          <w:sz w:val="20"/>
        </w:rPr>
        <w:t xml:space="preserve">. 175/2016. </w:t>
      </w:r>
    </w:p>
    <w:p w14:paraId="78790FB5" w14:textId="77777777" w:rsidR="009F183C" w:rsidRDefault="00757AA1">
      <w:pPr>
        <w:rPr>
          <w:rFonts w:cs="Arial"/>
          <w:sz w:val="20"/>
        </w:rPr>
      </w:pPr>
      <w:r>
        <w:rPr>
          <w:rFonts w:cs="Arial"/>
          <w:sz w:val="20"/>
        </w:rPr>
        <w:t>L’atto deliberativo di costituzione della società (o di acquisizione della partecipazione diretta o indiretta):</w:t>
      </w:r>
    </w:p>
    <w:p w14:paraId="575C93DB" w14:textId="77777777" w:rsidR="009F183C" w:rsidRDefault="00757AA1">
      <w:pPr>
        <w:pStyle w:val="Paragrafoelenco"/>
        <w:numPr>
          <w:ilvl w:val="0"/>
          <w:numId w:val="30"/>
        </w:numPr>
        <w:rPr>
          <w:rFonts w:cs="Arial"/>
          <w:sz w:val="20"/>
        </w:rPr>
      </w:pPr>
      <w:r>
        <w:rPr>
          <w:rFonts w:cs="Arial"/>
          <w:sz w:val="20"/>
        </w:rPr>
        <w:t>è stato posto in consultazione pubblica tramite il suo inserimento sul sito istituzionale dell’Ente (o altra modalità) dal ……………. al ……….;</w:t>
      </w:r>
    </w:p>
    <w:p w14:paraId="15A11134" w14:textId="77777777" w:rsidR="009F183C" w:rsidRDefault="00757AA1">
      <w:pPr>
        <w:pStyle w:val="Paragrafoelenco"/>
        <w:numPr>
          <w:ilvl w:val="0"/>
          <w:numId w:val="30"/>
        </w:numPr>
        <w:rPr>
          <w:rFonts w:cs="Arial"/>
          <w:sz w:val="20"/>
        </w:rPr>
      </w:pPr>
      <w:r>
        <w:rPr>
          <w:rFonts w:cs="Arial"/>
          <w:sz w:val="20"/>
        </w:rPr>
        <w:t xml:space="preserve">è stato inviato alla </w:t>
      </w:r>
      <w:r>
        <w:rPr>
          <w:sz w:val="20"/>
        </w:rPr>
        <w:t xml:space="preserve">Sezione Regionale di controllo della </w:t>
      </w:r>
      <w:r>
        <w:rPr>
          <w:rFonts w:cs="Arial"/>
          <w:sz w:val="20"/>
        </w:rPr>
        <w:t>Corte dei Conti, ai fini conoscitivi, in data ………………… ;</w:t>
      </w:r>
    </w:p>
    <w:p w14:paraId="5F1DA6CB" w14:textId="77777777" w:rsidR="009F183C" w:rsidRDefault="00757AA1">
      <w:pPr>
        <w:pStyle w:val="Paragrafoelenco"/>
        <w:numPr>
          <w:ilvl w:val="0"/>
          <w:numId w:val="30"/>
        </w:numPr>
        <w:rPr>
          <w:rFonts w:cs="Arial"/>
          <w:sz w:val="20"/>
        </w:rPr>
      </w:pPr>
      <w:r>
        <w:rPr>
          <w:rFonts w:cs="Arial"/>
          <w:sz w:val="20"/>
        </w:rPr>
        <w:t>è stato inviato all’Autorità garante della concorrenza e del mercato in data ………………</w:t>
      </w:r>
    </w:p>
    <w:p w14:paraId="0F94AEB6" w14:textId="77777777" w:rsidR="009F183C" w:rsidRDefault="009F183C">
      <w:pPr>
        <w:rPr>
          <w:rFonts w:cs="Arial"/>
          <w:b/>
          <w:szCs w:val="22"/>
          <w:u w:val="single"/>
        </w:rPr>
      </w:pPr>
    </w:p>
    <w:p w14:paraId="55FF4459" w14:textId="77777777" w:rsidR="009F183C" w:rsidRDefault="00757AA1">
      <w:pPr>
        <w:rPr>
          <w:rFonts w:cs="Arial"/>
          <w:b/>
          <w:szCs w:val="22"/>
          <w:u w:val="single"/>
        </w:rPr>
      </w:pPr>
      <w:r>
        <w:rPr>
          <w:rFonts w:cs="Arial"/>
          <w:b/>
          <w:szCs w:val="22"/>
          <w:u w:val="single"/>
        </w:rPr>
        <w:t>Società che hanno conseguito perdite di esercizio</w:t>
      </w:r>
    </w:p>
    <w:p w14:paraId="2270D479" w14:textId="77777777" w:rsidR="00D71352" w:rsidRDefault="00D71352">
      <w:pPr>
        <w:rPr>
          <w:rFonts w:cs="Arial"/>
          <w:sz w:val="20"/>
        </w:rPr>
      </w:pPr>
    </w:p>
    <w:p w14:paraId="3CEDE811" w14:textId="1A1B3FF2" w:rsidR="009F183C" w:rsidRDefault="00757AA1">
      <w:pPr>
        <w:rPr>
          <w:rFonts w:cs="Arial"/>
          <w:sz w:val="20"/>
        </w:rPr>
      </w:pPr>
      <w:r>
        <w:rPr>
          <w:rFonts w:cs="Arial"/>
          <w:sz w:val="20"/>
        </w:rPr>
        <w:t>Le società che si trovano nei casi previsti dagli artt. 2447 e 2482-ter c.c. e per cui l’Ente ha ricostituito il capitale sociale sono le seguenti:</w:t>
      </w:r>
    </w:p>
    <w:tbl>
      <w:tblPr>
        <w:tblStyle w:val="Grigliatabella"/>
        <w:tblW w:w="5000" w:type="pct"/>
        <w:tblLook w:val="04A0" w:firstRow="1" w:lastRow="0" w:firstColumn="1" w:lastColumn="0" w:noHBand="0" w:noVBand="1"/>
      </w:tblPr>
      <w:tblGrid>
        <w:gridCol w:w="1399"/>
        <w:gridCol w:w="981"/>
        <w:gridCol w:w="1212"/>
        <w:gridCol w:w="1257"/>
        <w:gridCol w:w="1295"/>
        <w:gridCol w:w="1467"/>
        <w:gridCol w:w="1026"/>
      </w:tblGrid>
      <w:tr w:rsidR="009F183C" w14:paraId="1259F175" w14:textId="77777777">
        <w:trPr>
          <w:trHeight w:val="968"/>
        </w:trPr>
        <w:tc>
          <w:tcPr>
            <w:tcW w:w="733" w:type="pct"/>
            <w:vAlign w:val="bottom"/>
          </w:tcPr>
          <w:p w14:paraId="0DECB6EF" w14:textId="77777777" w:rsidR="009F183C" w:rsidRDefault="00757AA1">
            <w:pPr>
              <w:jc w:val="center"/>
              <w:rPr>
                <w:b/>
                <w:sz w:val="16"/>
                <w:szCs w:val="16"/>
              </w:rPr>
            </w:pPr>
            <w:r>
              <w:rPr>
                <w:b/>
                <w:sz w:val="16"/>
                <w:szCs w:val="16"/>
              </w:rPr>
              <w:t>Denominazione sociale</w:t>
            </w:r>
          </w:p>
        </w:tc>
        <w:tc>
          <w:tcPr>
            <w:tcW w:w="515" w:type="pct"/>
            <w:vAlign w:val="bottom"/>
          </w:tcPr>
          <w:p w14:paraId="4D32B1BC" w14:textId="77777777" w:rsidR="009F183C" w:rsidRDefault="00757AA1">
            <w:pPr>
              <w:jc w:val="center"/>
              <w:rPr>
                <w:b/>
                <w:sz w:val="16"/>
                <w:szCs w:val="16"/>
              </w:rPr>
            </w:pPr>
            <w:r>
              <w:rPr>
                <w:b/>
                <w:sz w:val="16"/>
                <w:szCs w:val="16"/>
              </w:rPr>
              <w:t>Quota di partecipa-zione</w:t>
            </w:r>
          </w:p>
        </w:tc>
        <w:tc>
          <w:tcPr>
            <w:tcW w:w="736" w:type="pct"/>
            <w:vAlign w:val="bottom"/>
          </w:tcPr>
          <w:p w14:paraId="2CD95B01" w14:textId="77777777" w:rsidR="009F183C" w:rsidRDefault="00757AA1">
            <w:pPr>
              <w:jc w:val="center"/>
              <w:rPr>
                <w:b/>
                <w:sz w:val="16"/>
                <w:szCs w:val="16"/>
              </w:rPr>
            </w:pPr>
            <w:r>
              <w:rPr>
                <w:b/>
                <w:sz w:val="16"/>
                <w:szCs w:val="16"/>
              </w:rPr>
              <w:t>Patrimonio netto al 31.12.2017*</w:t>
            </w:r>
          </w:p>
        </w:tc>
        <w:tc>
          <w:tcPr>
            <w:tcW w:w="736" w:type="pct"/>
            <w:vAlign w:val="bottom"/>
          </w:tcPr>
          <w:p w14:paraId="298509CF" w14:textId="77777777" w:rsidR="009F183C" w:rsidRDefault="00757AA1">
            <w:pPr>
              <w:jc w:val="center"/>
              <w:rPr>
                <w:b/>
                <w:sz w:val="16"/>
                <w:szCs w:val="16"/>
              </w:rPr>
            </w:pPr>
            <w:r>
              <w:rPr>
                <w:b/>
                <w:sz w:val="16"/>
                <w:szCs w:val="16"/>
              </w:rPr>
              <w:t>Importo versato per la ricostituzione del capitale sociale</w:t>
            </w:r>
          </w:p>
        </w:tc>
        <w:tc>
          <w:tcPr>
            <w:tcW w:w="809" w:type="pct"/>
            <w:vAlign w:val="bottom"/>
          </w:tcPr>
          <w:p w14:paraId="6FD618DF" w14:textId="77777777" w:rsidR="009F183C" w:rsidRDefault="00757AA1">
            <w:pPr>
              <w:jc w:val="center"/>
              <w:rPr>
                <w:b/>
                <w:sz w:val="16"/>
                <w:szCs w:val="16"/>
              </w:rPr>
            </w:pPr>
            <w:r>
              <w:rPr>
                <w:b/>
                <w:sz w:val="16"/>
                <w:szCs w:val="16"/>
              </w:rPr>
              <w:t xml:space="preserve">Motivazione della perdita </w:t>
            </w:r>
          </w:p>
        </w:tc>
        <w:tc>
          <w:tcPr>
            <w:tcW w:w="883" w:type="pct"/>
            <w:vAlign w:val="bottom"/>
          </w:tcPr>
          <w:p w14:paraId="03851894" w14:textId="77777777" w:rsidR="009F183C" w:rsidRDefault="00757AA1">
            <w:pPr>
              <w:jc w:val="center"/>
              <w:rPr>
                <w:b/>
                <w:sz w:val="16"/>
                <w:szCs w:val="16"/>
              </w:rPr>
            </w:pPr>
            <w:r>
              <w:rPr>
                <w:b/>
                <w:sz w:val="16"/>
                <w:szCs w:val="16"/>
              </w:rPr>
              <w:t xml:space="preserve">Valutazione della futura reddittività della società </w:t>
            </w:r>
          </w:p>
        </w:tc>
        <w:tc>
          <w:tcPr>
            <w:tcW w:w="589" w:type="pct"/>
            <w:vAlign w:val="bottom"/>
          </w:tcPr>
          <w:p w14:paraId="240C9918" w14:textId="77777777" w:rsidR="009F183C" w:rsidRDefault="00757AA1">
            <w:pPr>
              <w:jc w:val="center"/>
              <w:rPr>
                <w:b/>
                <w:sz w:val="16"/>
                <w:szCs w:val="16"/>
              </w:rPr>
            </w:pPr>
            <w:r>
              <w:rPr>
                <w:b/>
                <w:sz w:val="16"/>
                <w:szCs w:val="16"/>
              </w:rPr>
              <w:t>Esercizi precedenti chiusi in perdita</w:t>
            </w:r>
          </w:p>
        </w:tc>
      </w:tr>
      <w:tr w:rsidR="009F183C" w14:paraId="4DBA1EBD" w14:textId="77777777">
        <w:trPr>
          <w:trHeight w:val="579"/>
        </w:trPr>
        <w:tc>
          <w:tcPr>
            <w:tcW w:w="733" w:type="pct"/>
          </w:tcPr>
          <w:p w14:paraId="1F90D0C6" w14:textId="77777777" w:rsidR="009F183C" w:rsidRDefault="009F183C"/>
        </w:tc>
        <w:tc>
          <w:tcPr>
            <w:tcW w:w="515" w:type="pct"/>
          </w:tcPr>
          <w:p w14:paraId="11A60969" w14:textId="77777777" w:rsidR="009F183C" w:rsidRDefault="009F183C"/>
        </w:tc>
        <w:tc>
          <w:tcPr>
            <w:tcW w:w="736" w:type="pct"/>
          </w:tcPr>
          <w:p w14:paraId="29C3AD94" w14:textId="77777777" w:rsidR="009F183C" w:rsidRDefault="009F183C"/>
        </w:tc>
        <w:tc>
          <w:tcPr>
            <w:tcW w:w="736" w:type="pct"/>
          </w:tcPr>
          <w:p w14:paraId="52E6D597" w14:textId="77777777" w:rsidR="009F183C" w:rsidRDefault="009F183C"/>
        </w:tc>
        <w:tc>
          <w:tcPr>
            <w:tcW w:w="809" w:type="pct"/>
          </w:tcPr>
          <w:p w14:paraId="7C9CDEFD" w14:textId="77777777" w:rsidR="009F183C" w:rsidRDefault="009F183C"/>
        </w:tc>
        <w:tc>
          <w:tcPr>
            <w:tcW w:w="883" w:type="pct"/>
          </w:tcPr>
          <w:p w14:paraId="292387A6" w14:textId="77777777" w:rsidR="009F183C" w:rsidRDefault="009F183C"/>
        </w:tc>
        <w:tc>
          <w:tcPr>
            <w:tcW w:w="589" w:type="pct"/>
          </w:tcPr>
          <w:p w14:paraId="5317A8F8" w14:textId="77777777" w:rsidR="009F183C" w:rsidRDefault="009F183C"/>
        </w:tc>
      </w:tr>
      <w:tr w:rsidR="009F183C" w14:paraId="4AE2DD65" w14:textId="77777777">
        <w:trPr>
          <w:trHeight w:val="579"/>
        </w:trPr>
        <w:tc>
          <w:tcPr>
            <w:tcW w:w="733" w:type="pct"/>
          </w:tcPr>
          <w:p w14:paraId="783A2108" w14:textId="77777777" w:rsidR="009F183C" w:rsidRDefault="009F183C"/>
        </w:tc>
        <w:tc>
          <w:tcPr>
            <w:tcW w:w="515" w:type="pct"/>
          </w:tcPr>
          <w:p w14:paraId="69123115" w14:textId="77777777" w:rsidR="009F183C" w:rsidRDefault="009F183C"/>
        </w:tc>
        <w:tc>
          <w:tcPr>
            <w:tcW w:w="736" w:type="pct"/>
          </w:tcPr>
          <w:p w14:paraId="79F1D229" w14:textId="77777777" w:rsidR="009F183C" w:rsidRDefault="009F183C"/>
        </w:tc>
        <w:tc>
          <w:tcPr>
            <w:tcW w:w="736" w:type="pct"/>
          </w:tcPr>
          <w:p w14:paraId="4D185F70" w14:textId="77777777" w:rsidR="009F183C" w:rsidRDefault="009F183C"/>
        </w:tc>
        <w:tc>
          <w:tcPr>
            <w:tcW w:w="809" w:type="pct"/>
          </w:tcPr>
          <w:p w14:paraId="3B121EEF" w14:textId="77777777" w:rsidR="009F183C" w:rsidRDefault="009F183C"/>
        </w:tc>
        <w:tc>
          <w:tcPr>
            <w:tcW w:w="883" w:type="pct"/>
          </w:tcPr>
          <w:p w14:paraId="41398919" w14:textId="77777777" w:rsidR="009F183C" w:rsidRDefault="009F183C"/>
        </w:tc>
        <w:tc>
          <w:tcPr>
            <w:tcW w:w="589" w:type="pct"/>
          </w:tcPr>
          <w:p w14:paraId="574D487E" w14:textId="77777777" w:rsidR="009F183C" w:rsidRDefault="009F183C"/>
        </w:tc>
      </w:tr>
      <w:tr w:rsidR="009F183C" w14:paraId="4CA40729" w14:textId="77777777">
        <w:trPr>
          <w:trHeight w:val="579"/>
        </w:trPr>
        <w:tc>
          <w:tcPr>
            <w:tcW w:w="733" w:type="pct"/>
          </w:tcPr>
          <w:p w14:paraId="7C543A70" w14:textId="77777777" w:rsidR="009F183C" w:rsidRDefault="009F183C"/>
        </w:tc>
        <w:tc>
          <w:tcPr>
            <w:tcW w:w="515" w:type="pct"/>
          </w:tcPr>
          <w:p w14:paraId="4652D738" w14:textId="77777777" w:rsidR="009F183C" w:rsidRDefault="009F183C"/>
        </w:tc>
        <w:tc>
          <w:tcPr>
            <w:tcW w:w="736" w:type="pct"/>
          </w:tcPr>
          <w:p w14:paraId="731754FC" w14:textId="77777777" w:rsidR="009F183C" w:rsidRDefault="009F183C"/>
        </w:tc>
        <w:tc>
          <w:tcPr>
            <w:tcW w:w="736" w:type="pct"/>
          </w:tcPr>
          <w:p w14:paraId="612438FD" w14:textId="77777777" w:rsidR="009F183C" w:rsidRDefault="009F183C"/>
        </w:tc>
        <w:tc>
          <w:tcPr>
            <w:tcW w:w="809" w:type="pct"/>
          </w:tcPr>
          <w:p w14:paraId="45AB1C0D" w14:textId="77777777" w:rsidR="009F183C" w:rsidRDefault="009F183C"/>
        </w:tc>
        <w:tc>
          <w:tcPr>
            <w:tcW w:w="883" w:type="pct"/>
          </w:tcPr>
          <w:p w14:paraId="505FE5E7" w14:textId="77777777" w:rsidR="009F183C" w:rsidRDefault="009F183C"/>
        </w:tc>
        <w:tc>
          <w:tcPr>
            <w:tcW w:w="589" w:type="pct"/>
          </w:tcPr>
          <w:p w14:paraId="0A03BE31" w14:textId="77777777" w:rsidR="009F183C" w:rsidRDefault="009F183C"/>
        </w:tc>
      </w:tr>
    </w:tbl>
    <w:p w14:paraId="4BB393EC" w14:textId="77777777" w:rsidR="009F183C" w:rsidRDefault="00757AA1">
      <w:pPr>
        <w:rPr>
          <w:rFonts w:cs="Arial"/>
          <w:i/>
          <w:color w:val="00B0F0"/>
          <w:sz w:val="20"/>
        </w:rPr>
      </w:pPr>
      <w:r>
        <w:rPr>
          <w:rFonts w:cs="Arial"/>
          <w:i/>
          <w:color w:val="00B0F0"/>
          <w:sz w:val="20"/>
        </w:rPr>
        <w:t>* valutare se rispetto alla scadenza di presentazione del rendiconto sono già disponibili i dati relativi al bilancio 2017</w:t>
      </w:r>
    </w:p>
    <w:p w14:paraId="4A825301" w14:textId="77777777" w:rsidR="00D71352" w:rsidRDefault="00D71352">
      <w:pPr>
        <w:rPr>
          <w:rFonts w:cs="Arial"/>
          <w:sz w:val="20"/>
        </w:rPr>
      </w:pPr>
    </w:p>
    <w:p w14:paraId="433EB161" w14:textId="578954AD" w:rsidR="009F183C" w:rsidRDefault="00757AA1">
      <w:pPr>
        <w:rPr>
          <w:rFonts w:cs="Arial"/>
          <w:sz w:val="20"/>
        </w:rPr>
      </w:pPr>
      <w:r>
        <w:rPr>
          <w:rFonts w:cs="Arial"/>
          <w:sz w:val="20"/>
        </w:rPr>
        <w:t>Le società che si trovano nei casi previsti dagli artt. 2447 e 2482-ter c.c. e per cui l’assemblea ha deliberato lo scioglimento anticipato delle stesse o, nel caso di società per azioni, la trasformazione sono le seguenti:</w:t>
      </w:r>
    </w:p>
    <w:tbl>
      <w:tblPr>
        <w:tblStyle w:val="Grigliatabella"/>
        <w:tblW w:w="6612" w:type="dxa"/>
        <w:tblLayout w:type="fixed"/>
        <w:tblLook w:val="04A0" w:firstRow="1" w:lastRow="0" w:firstColumn="1" w:lastColumn="0" w:noHBand="0" w:noVBand="1"/>
      </w:tblPr>
      <w:tblGrid>
        <w:gridCol w:w="1653"/>
        <w:gridCol w:w="1653"/>
        <w:gridCol w:w="1653"/>
        <w:gridCol w:w="1653"/>
      </w:tblGrid>
      <w:tr w:rsidR="009F183C" w14:paraId="31F6509D" w14:textId="77777777">
        <w:tc>
          <w:tcPr>
            <w:tcW w:w="1653" w:type="dxa"/>
            <w:vAlign w:val="bottom"/>
          </w:tcPr>
          <w:p w14:paraId="5727BE9D" w14:textId="77777777" w:rsidR="009F183C" w:rsidRDefault="00757AA1">
            <w:pPr>
              <w:jc w:val="center"/>
              <w:rPr>
                <w:b/>
                <w:sz w:val="18"/>
                <w:szCs w:val="18"/>
              </w:rPr>
            </w:pPr>
            <w:r>
              <w:rPr>
                <w:b/>
                <w:sz w:val="18"/>
                <w:szCs w:val="18"/>
              </w:rPr>
              <w:t>Denominazione sociale</w:t>
            </w:r>
          </w:p>
        </w:tc>
        <w:tc>
          <w:tcPr>
            <w:tcW w:w="1653" w:type="dxa"/>
            <w:vAlign w:val="bottom"/>
          </w:tcPr>
          <w:p w14:paraId="2AC867DA" w14:textId="77777777" w:rsidR="009F183C" w:rsidRDefault="00757AA1">
            <w:pPr>
              <w:jc w:val="center"/>
              <w:rPr>
                <w:b/>
                <w:sz w:val="18"/>
                <w:szCs w:val="18"/>
              </w:rPr>
            </w:pPr>
            <w:r>
              <w:rPr>
                <w:b/>
                <w:sz w:val="18"/>
                <w:szCs w:val="18"/>
              </w:rPr>
              <w:t>Quota di partecipazione</w:t>
            </w:r>
          </w:p>
        </w:tc>
        <w:tc>
          <w:tcPr>
            <w:tcW w:w="1653" w:type="dxa"/>
            <w:vAlign w:val="bottom"/>
          </w:tcPr>
          <w:p w14:paraId="6544CF5D" w14:textId="77777777" w:rsidR="009F183C" w:rsidRDefault="00757AA1">
            <w:pPr>
              <w:jc w:val="center"/>
              <w:rPr>
                <w:b/>
                <w:sz w:val="18"/>
                <w:szCs w:val="18"/>
              </w:rPr>
            </w:pPr>
            <w:r>
              <w:rPr>
                <w:b/>
                <w:sz w:val="18"/>
                <w:szCs w:val="18"/>
              </w:rPr>
              <w:t>Delibera assembleare</w:t>
            </w:r>
          </w:p>
        </w:tc>
        <w:tc>
          <w:tcPr>
            <w:tcW w:w="1653" w:type="dxa"/>
            <w:vAlign w:val="bottom"/>
          </w:tcPr>
          <w:p w14:paraId="1BD41354" w14:textId="77777777" w:rsidR="009F183C" w:rsidRDefault="00757AA1">
            <w:pPr>
              <w:jc w:val="center"/>
              <w:rPr>
                <w:b/>
                <w:sz w:val="18"/>
                <w:szCs w:val="18"/>
              </w:rPr>
            </w:pPr>
            <w:r>
              <w:rPr>
                <w:b/>
                <w:sz w:val="18"/>
                <w:szCs w:val="18"/>
              </w:rPr>
              <w:t>Esercizi precedenti chiusi in perdita</w:t>
            </w:r>
          </w:p>
        </w:tc>
      </w:tr>
      <w:tr w:rsidR="009F183C" w14:paraId="0D7822AD" w14:textId="77777777">
        <w:trPr>
          <w:trHeight w:val="567"/>
        </w:trPr>
        <w:tc>
          <w:tcPr>
            <w:tcW w:w="1653" w:type="dxa"/>
          </w:tcPr>
          <w:p w14:paraId="517F5B5E" w14:textId="77777777" w:rsidR="009F183C" w:rsidRDefault="009F183C"/>
        </w:tc>
        <w:tc>
          <w:tcPr>
            <w:tcW w:w="1653" w:type="dxa"/>
          </w:tcPr>
          <w:p w14:paraId="1DE1182A" w14:textId="77777777" w:rsidR="009F183C" w:rsidRDefault="009F183C"/>
        </w:tc>
        <w:tc>
          <w:tcPr>
            <w:tcW w:w="1653" w:type="dxa"/>
          </w:tcPr>
          <w:p w14:paraId="5F68D620" w14:textId="77777777" w:rsidR="009F183C" w:rsidRDefault="009F183C"/>
        </w:tc>
        <w:tc>
          <w:tcPr>
            <w:tcW w:w="1653" w:type="dxa"/>
          </w:tcPr>
          <w:p w14:paraId="53EB85C8" w14:textId="77777777" w:rsidR="009F183C" w:rsidRDefault="009F183C"/>
        </w:tc>
      </w:tr>
      <w:tr w:rsidR="009F183C" w14:paraId="5293359B" w14:textId="77777777">
        <w:trPr>
          <w:trHeight w:val="567"/>
        </w:trPr>
        <w:tc>
          <w:tcPr>
            <w:tcW w:w="1653" w:type="dxa"/>
          </w:tcPr>
          <w:p w14:paraId="54D6F23B" w14:textId="77777777" w:rsidR="009F183C" w:rsidRDefault="009F183C"/>
        </w:tc>
        <w:tc>
          <w:tcPr>
            <w:tcW w:w="1653" w:type="dxa"/>
          </w:tcPr>
          <w:p w14:paraId="5517A1CA" w14:textId="77777777" w:rsidR="009F183C" w:rsidRDefault="009F183C"/>
        </w:tc>
        <w:tc>
          <w:tcPr>
            <w:tcW w:w="1653" w:type="dxa"/>
          </w:tcPr>
          <w:p w14:paraId="06A6B2DB" w14:textId="77777777" w:rsidR="009F183C" w:rsidRDefault="009F183C"/>
        </w:tc>
        <w:tc>
          <w:tcPr>
            <w:tcW w:w="1653" w:type="dxa"/>
          </w:tcPr>
          <w:p w14:paraId="44282153" w14:textId="77777777" w:rsidR="009F183C" w:rsidRDefault="009F183C"/>
        </w:tc>
      </w:tr>
      <w:tr w:rsidR="009F183C" w14:paraId="0814FDC1" w14:textId="77777777">
        <w:trPr>
          <w:trHeight w:val="567"/>
        </w:trPr>
        <w:tc>
          <w:tcPr>
            <w:tcW w:w="1653" w:type="dxa"/>
          </w:tcPr>
          <w:p w14:paraId="747C6DF2" w14:textId="77777777" w:rsidR="009F183C" w:rsidRDefault="009F183C"/>
        </w:tc>
        <w:tc>
          <w:tcPr>
            <w:tcW w:w="1653" w:type="dxa"/>
          </w:tcPr>
          <w:p w14:paraId="6492D9AB" w14:textId="77777777" w:rsidR="009F183C" w:rsidRDefault="009F183C"/>
        </w:tc>
        <w:tc>
          <w:tcPr>
            <w:tcW w:w="1653" w:type="dxa"/>
          </w:tcPr>
          <w:p w14:paraId="70B55F97" w14:textId="77777777" w:rsidR="009F183C" w:rsidRDefault="009F183C"/>
        </w:tc>
        <w:tc>
          <w:tcPr>
            <w:tcW w:w="1653" w:type="dxa"/>
          </w:tcPr>
          <w:p w14:paraId="79212853" w14:textId="77777777" w:rsidR="009F183C" w:rsidRDefault="009F183C"/>
        </w:tc>
      </w:tr>
    </w:tbl>
    <w:p w14:paraId="2857837F" w14:textId="77777777" w:rsidR="009F183C" w:rsidRDefault="009F183C">
      <w:pPr>
        <w:rPr>
          <w:rFonts w:cs="Arial"/>
          <w:sz w:val="20"/>
        </w:rPr>
      </w:pPr>
    </w:p>
    <w:p w14:paraId="405C6352" w14:textId="77777777" w:rsidR="009F183C" w:rsidRDefault="00757AA1">
      <w:pPr>
        <w:rPr>
          <w:rFonts w:cs="Arial"/>
          <w:sz w:val="20"/>
        </w:rPr>
      </w:pPr>
      <w:r>
        <w:rPr>
          <w:rFonts w:cs="Arial"/>
          <w:sz w:val="20"/>
        </w:rPr>
        <w:t>Le società che si trovano nei casi previsti dagli artt. 2447 e 2482-ter c.c. e per cui non è stato rispettato quanto previsto dai predetti articoli sono le seguenti:</w:t>
      </w:r>
    </w:p>
    <w:tbl>
      <w:tblPr>
        <w:tblStyle w:val="Grigliatabella"/>
        <w:tblW w:w="8926" w:type="dxa"/>
        <w:tblLayout w:type="fixed"/>
        <w:tblLook w:val="04A0" w:firstRow="1" w:lastRow="0" w:firstColumn="1" w:lastColumn="0" w:noHBand="0" w:noVBand="1"/>
      </w:tblPr>
      <w:tblGrid>
        <w:gridCol w:w="1838"/>
        <w:gridCol w:w="992"/>
        <w:gridCol w:w="1560"/>
        <w:gridCol w:w="1701"/>
        <w:gridCol w:w="2835"/>
      </w:tblGrid>
      <w:tr w:rsidR="009F183C" w14:paraId="369B0C19" w14:textId="77777777">
        <w:trPr>
          <w:trHeight w:val="968"/>
        </w:trPr>
        <w:tc>
          <w:tcPr>
            <w:tcW w:w="1838" w:type="dxa"/>
            <w:vAlign w:val="bottom"/>
          </w:tcPr>
          <w:p w14:paraId="335B25DE" w14:textId="77777777" w:rsidR="009F183C" w:rsidRDefault="00757AA1">
            <w:pPr>
              <w:jc w:val="center"/>
              <w:rPr>
                <w:b/>
                <w:sz w:val="16"/>
                <w:szCs w:val="16"/>
              </w:rPr>
            </w:pPr>
            <w:r>
              <w:rPr>
                <w:b/>
                <w:sz w:val="16"/>
                <w:szCs w:val="16"/>
              </w:rPr>
              <w:t>Denominazione sociale</w:t>
            </w:r>
          </w:p>
        </w:tc>
        <w:tc>
          <w:tcPr>
            <w:tcW w:w="992" w:type="dxa"/>
            <w:vAlign w:val="bottom"/>
          </w:tcPr>
          <w:p w14:paraId="4AC890C3" w14:textId="77777777" w:rsidR="009F183C" w:rsidRDefault="00757AA1">
            <w:pPr>
              <w:jc w:val="center"/>
              <w:rPr>
                <w:b/>
                <w:sz w:val="16"/>
                <w:szCs w:val="16"/>
              </w:rPr>
            </w:pPr>
            <w:r>
              <w:rPr>
                <w:b/>
                <w:sz w:val="16"/>
                <w:szCs w:val="16"/>
              </w:rPr>
              <w:t>Quota di partecipa-zione</w:t>
            </w:r>
          </w:p>
        </w:tc>
        <w:tc>
          <w:tcPr>
            <w:tcW w:w="1560" w:type="dxa"/>
            <w:vAlign w:val="bottom"/>
          </w:tcPr>
          <w:p w14:paraId="0B665DE3" w14:textId="77777777" w:rsidR="009F183C" w:rsidRDefault="00757AA1">
            <w:pPr>
              <w:jc w:val="center"/>
              <w:rPr>
                <w:b/>
                <w:sz w:val="16"/>
                <w:szCs w:val="16"/>
              </w:rPr>
            </w:pPr>
            <w:r>
              <w:rPr>
                <w:b/>
                <w:sz w:val="16"/>
                <w:szCs w:val="16"/>
              </w:rPr>
              <w:t>Patrimonio netto al 31.12.2017*</w:t>
            </w:r>
          </w:p>
        </w:tc>
        <w:tc>
          <w:tcPr>
            <w:tcW w:w="1701" w:type="dxa"/>
            <w:vAlign w:val="bottom"/>
          </w:tcPr>
          <w:p w14:paraId="712C8728" w14:textId="77777777" w:rsidR="009F183C" w:rsidRDefault="00757AA1">
            <w:pPr>
              <w:jc w:val="center"/>
              <w:rPr>
                <w:b/>
                <w:sz w:val="16"/>
                <w:szCs w:val="16"/>
              </w:rPr>
            </w:pPr>
            <w:r>
              <w:rPr>
                <w:b/>
                <w:sz w:val="16"/>
                <w:szCs w:val="16"/>
              </w:rPr>
              <w:t>Esercizi precedenti chiusi in perdita</w:t>
            </w:r>
          </w:p>
        </w:tc>
        <w:tc>
          <w:tcPr>
            <w:tcW w:w="2835" w:type="dxa"/>
            <w:vAlign w:val="bottom"/>
          </w:tcPr>
          <w:p w14:paraId="544A047D" w14:textId="77777777" w:rsidR="009F183C" w:rsidRDefault="00757AA1">
            <w:pPr>
              <w:jc w:val="center"/>
              <w:rPr>
                <w:b/>
                <w:sz w:val="16"/>
                <w:szCs w:val="16"/>
              </w:rPr>
            </w:pPr>
            <w:r>
              <w:rPr>
                <w:b/>
                <w:sz w:val="16"/>
                <w:szCs w:val="16"/>
              </w:rPr>
              <w:t>Criticità e motivazione della mancata attivazione della procedura prevista dal codice civile</w:t>
            </w:r>
          </w:p>
        </w:tc>
      </w:tr>
      <w:tr w:rsidR="009F183C" w14:paraId="0F1BC592" w14:textId="77777777">
        <w:trPr>
          <w:trHeight w:val="579"/>
        </w:trPr>
        <w:tc>
          <w:tcPr>
            <w:tcW w:w="1838" w:type="dxa"/>
          </w:tcPr>
          <w:p w14:paraId="752BE901" w14:textId="77777777" w:rsidR="009F183C" w:rsidRDefault="009F183C"/>
        </w:tc>
        <w:tc>
          <w:tcPr>
            <w:tcW w:w="992" w:type="dxa"/>
          </w:tcPr>
          <w:p w14:paraId="3096C7F8" w14:textId="77777777" w:rsidR="009F183C" w:rsidRDefault="009F183C"/>
        </w:tc>
        <w:tc>
          <w:tcPr>
            <w:tcW w:w="1560" w:type="dxa"/>
          </w:tcPr>
          <w:p w14:paraId="238251A2" w14:textId="77777777" w:rsidR="009F183C" w:rsidRDefault="009F183C"/>
        </w:tc>
        <w:tc>
          <w:tcPr>
            <w:tcW w:w="1701" w:type="dxa"/>
          </w:tcPr>
          <w:p w14:paraId="598273D7" w14:textId="77777777" w:rsidR="009F183C" w:rsidRDefault="009F183C"/>
        </w:tc>
        <w:tc>
          <w:tcPr>
            <w:tcW w:w="2835" w:type="dxa"/>
          </w:tcPr>
          <w:p w14:paraId="7CA2DD96" w14:textId="77777777" w:rsidR="009F183C" w:rsidRDefault="009F183C"/>
        </w:tc>
      </w:tr>
      <w:tr w:rsidR="009F183C" w14:paraId="2B50F262" w14:textId="77777777">
        <w:trPr>
          <w:trHeight w:val="579"/>
        </w:trPr>
        <w:tc>
          <w:tcPr>
            <w:tcW w:w="1838" w:type="dxa"/>
          </w:tcPr>
          <w:p w14:paraId="3777321B" w14:textId="77777777" w:rsidR="009F183C" w:rsidRDefault="009F183C"/>
        </w:tc>
        <w:tc>
          <w:tcPr>
            <w:tcW w:w="992" w:type="dxa"/>
          </w:tcPr>
          <w:p w14:paraId="72C9F4E5" w14:textId="77777777" w:rsidR="009F183C" w:rsidRDefault="009F183C"/>
        </w:tc>
        <w:tc>
          <w:tcPr>
            <w:tcW w:w="1560" w:type="dxa"/>
          </w:tcPr>
          <w:p w14:paraId="48C4F325" w14:textId="77777777" w:rsidR="009F183C" w:rsidRDefault="009F183C"/>
        </w:tc>
        <w:tc>
          <w:tcPr>
            <w:tcW w:w="1701" w:type="dxa"/>
          </w:tcPr>
          <w:p w14:paraId="46B0B951" w14:textId="77777777" w:rsidR="009F183C" w:rsidRDefault="009F183C"/>
        </w:tc>
        <w:tc>
          <w:tcPr>
            <w:tcW w:w="2835" w:type="dxa"/>
          </w:tcPr>
          <w:p w14:paraId="04C24154" w14:textId="77777777" w:rsidR="009F183C" w:rsidRDefault="009F183C"/>
        </w:tc>
      </w:tr>
      <w:tr w:rsidR="009F183C" w14:paraId="20B00E88" w14:textId="77777777">
        <w:trPr>
          <w:trHeight w:val="579"/>
        </w:trPr>
        <w:tc>
          <w:tcPr>
            <w:tcW w:w="1838" w:type="dxa"/>
          </w:tcPr>
          <w:p w14:paraId="5B6F5C49" w14:textId="77777777" w:rsidR="009F183C" w:rsidRDefault="009F183C"/>
        </w:tc>
        <w:tc>
          <w:tcPr>
            <w:tcW w:w="992" w:type="dxa"/>
          </w:tcPr>
          <w:p w14:paraId="5A344FAF" w14:textId="77777777" w:rsidR="009F183C" w:rsidRDefault="009F183C"/>
        </w:tc>
        <w:tc>
          <w:tcPr>
            <w:tcW w:w="1560" w:type="dxa"/>
          </w:tcPr>
          <w:p w14:paraId="23E1CD62" w14:textId="77777777" w:rsidR="009F183C" w:rsidRDefault="009F183C"/>
        </w:tc>
        <w:tc>
          <w:tcPr>
            <w:tcW w:w="1701" w:type="dxa"/>
          </w:tcPr>
          <w:p w14:paraId="2890F627" w14:textId="77777777" w:rsidR="009F183C" w:rsidRDefault="009F183C"/>
        </w:tc>
        <w:tc>
          <w:tcPr>
            <w:tcW w:w="2835" w:type="dxa"/>
          </w:tcPr>
          <w:p w14:paraId="5C400FEE" w14:textId="77777777" w:rsidR="009F183C" w:rsidRDefault="009F183C"/>
        </w:tc>
      </w:tr>
    </w:tbl>
    <w:p w14:paraId="1D2A2E8E" w14:textId="77777777" w:rsidR="009F183C" w:rsidRDefault="009F183C">
      <w:pPr>
        <w:rPr>
          <w:b/>
          <w:sz w:val="20"/>
        </w:rPr>
      </w:pPr>
    </w:p>
    <w:p w14:paraId="7648CB6F" w14:textId="77777777" w:rsidR="009F183C" w:rsidRDefault="00757AA1">
      <w:pPr>
        <w:rPr>
          <w:rFonts w:cs="Arial"/>
          <w:i/>
          <w:color w:val="00B0F0"/>
          <w:sz w:val="20"/>
        </w:rPr>
      </w:pPr>
      <w:r>
        <w:rPr>
          <w:rFonts w:cs="Arial"/>
          <w:i/>
          <w:color w:val="00B0F0"/>
          <w:sz w:val="20"/>
        </w:rPr>
        <w:t>* valutare se rispetto alla scadenza di presentazione del rendiconto sono già disponibili i dati relativi al bilancio 2017</w:t>
      </w:r>
    </w:p>
    <w:p w14:paraId="61B156F6" w14:textId="77777777" w:rsidR="009F183C" w:rsidRDefault="009F183C">
      <w:pPr>
        <w:rPr>
          <w:b/>
          <w:sz w:val="20"/>
        </w:rPr>
      </w:pPr>
    </w:p>
    <w:p w14:paraId="6B61FC19" w14:textId="22E3974B" w:rsidR="009F183C" w:rsidRDefault="00C0640C">
      <w:pPr>
        <w:rPr>
          <w:b/>
          <w:sz w:val="20"/>
        </w:rPr>
      </w:pPr>
      <w:r>
        <w:rPr>
          <w:b/>
          <w:sz w:val="20"/>
        </w:rPr>
        <w:t>È</w:t>
      </w:r>
      <w:r w:rsidR="00757AA1">
        <w:rPr>
          <w:b/>
          <w:sz w:val="20"/>
        </w:rPr>
        <w:t xml:space="preserve"> stato verificato il rispetto:</w:t>
      </w:r>
    </w:p>
    <w:p w14:paraId="29113808" w14:textId="350D9701" w:rsidR="009F183C" w:rsidRDefault="00757AA1">
      <w:pPr>
        <w:numPr>
          <w:ilvl w:val="0"/>
          <w:numId w:val="21"/>
        </w:numPr>
        <w:rPr>
          <w:sz w:val="20"/>
        </w:rPr>
      </w:pPr>
      <w:r>
        <w:rPr>
          <w:sz w:val="20"/>
        </w:rPr>
        <w:t xml:space="preserve"> dell’art. 14 comma 5 del D.</w:t>
      </w:r>
      <w:r w:rsidR="00C0640C">
        <w:rPr>
          <w:sz w:val="20"/>
        </w:rPr>
        <w:t xml:space="preserve"> L</w:t>
      </w:r>
      <w:r>
        <w:rPr>
          <w:sz w:val="20"/>
        </w:rPr>
        <w:t>gs. 175/2016 come modificato dal D</w:t>
      </w:r>
      <w:r w:rsidR="00C0640C">
        <w:rPr>
          <w:sz w:val="20"/>
        </w:rPr>
        <w:t>.L</w:t>
      </w:r>
      <w:r>
        <w:rPr>
          <w:sz w:val="20"/>
        </w:rPr>
        <w:t>gs. 16 giugno 2017, n.100 (divieto di sottoscrivere aumenti di capitale sociale, effettuare trasferimenti straordinari, aperture di credito e rilasciare garanzie a favore di società partecipate che hanno conseguito per tre esercizi consecutivi perdite di esercizio);</w:t>
      </w:r>
    </w:p>
    <w:p w14:paraId="149F4295" w14:textId="0BA09349" w:rsidR="009F183C" w:rsidRDefault="00757AA1">
      <w:pPr>
        <w:numPr>
          <w:ilvl w:val="0"/>
          <w:numId w:val="21"/>
        </w:numPr>
        <w:rPr>
          <w:sz w:val="20"/>
        </w:rPr>
      </w:pPr>
      <w:r>
        <w:rPr>
          <w:sz w:val="20"/>
        </w:rPr>
        <w:t>dell’art. 11, comma 3 del D.</w:t>
      </w:r>
      <w:r w:rsidR="00C0640C">
        <w:rPr>
          <w:sz w:val="20"/>
        </w:rPr>
        <w:t xml:space="preserve"> </w:t>
      </w:r>
      <w:r>
        <w:rPr>
          <w:sz w:val="20"/>
        </w:rPr>
        <w:t xml:space="preserve">Lgs. 175/2016 (adeguata motivazione nella delibera assembleare della nomina del consiglio di amministrazione e numero massimo di consiglieri nelle società a controllo pubblico); </w:t>
      </w:r>
    </w:p>
    <w:p w14:paraId="3CCA0008" w14:textId="64541951" w:rsidR="009F183C" w:rsidRDefault="00757AA1">
      <w:pPr>
        <w:numPr>
          <w:ilvl w:val="0"/>
          <w:numId w:val="21"/>
        </w:numPr>
        <w:rPr>
          <w:sz w:val="20"/>
        </w:rPr>
      </w:pPr>
      <w:r>
        <w:rPr>
          <w:sz w:val="20"/>
        </w:rPr>
        <w:t>dell’art.11, comma 6 del D.</w:t>
      </w:r>
      <w:r w:rsidR="00C0640C">
        <w:rPr>
          <w:sz w:val="20"/>
        </w:rPr>
        <w:t xml:space="preserve"> </w:t>
      </w:r>
      <w:r>
        <w:rPr>
          <w:sz w:val="20"/>
        </w:rPr>
        <w:t>Lgs. 175/2016 (entità massima dei compensi agli amministratori di società a controllo pubblico);</w:t>
      </w:r>
    </w:p>
    <w:p w14:paraId="2C700BB3" w14:textId="77777777" w:rsidR="009F183C" w:rsidRDefault="00757AA1">
      <w:pPr>
        <w:numPr>
          <w:ilvl w:val="0"/>
          <w:numId w:val="21"/>
        </w:numPr>
        <w:rPr>
          <w:sz w:val="20"/>
        </w:rPr>
      </w:pPr>
      <w:r>
        <w:rPr>
          <w:sz w:val="20"/>
        </w:rPr>
        <w:t>dell’art.1, comma 718 della Legge 296/06 (divieto di percezione di compensi da parte del Sindaco e assessori, se nominati membri dell’organo amministrativo di società partecipate);</w:t>
      </w:r>
    </w:p>
    <w:p w14:paraId="617D8EDE" w14:textId="77777777" w:rsidR="009F183C" w:rsidRDefault="00757AA1">
      <w:pPr>
        <w:numPr>
          <w:ilvl w:val="0"/>
          <w:numId w:val="21"/>
        </w:numPr>
        <w:rPr>
          <w:sz w:val="20"/>
        </w:rPr>
      </w:pPr>
      <w:r>
        <w:rPr>
          <w:sz w:val="20"/>
        </w:rPr>
        <w:t>dell’art. 1, comma 734 della Legge 296/06 (divieto di nomina di amministratore che nei 5 anni precedenti, ricoprendo cariche analoghe ha chiuso in perdita per 3 esercizi consecutivi);</w:t>
      </w:r>
    </w:p>
    <w:p w14:paraId="28DEC75F" w14:textId="21AF2076" w:rsidR="009F183C" w:rsidRDefault="00757AA1">
      <w:pPr>
        <w:numPr>
          <w:ilvl w:val="0"/>
          <w:numId w:val="21"/>
        </w:numPr>
        <w:rPr>
          <w:sz w:val="20"/>
        </w:rPr>
      </w:pPr>
      <w:r>
        <w:rPr>
          <w:sz w:val="20"/>
        </w:rPr>
        <w:t>dell’art. 11, comma 8 del D.</w:t>
      </w:r>
      <w:r w:rsidR="00C0640C">
        <w:rPr>
          <w:sz w:val="20"/>
        </w:rPr>
        <w:t xml:space="preserve"> </w:t>
      </w:r>
      <w:r>
        <w:rPr>
          <w:sz w:val="20"/>
        </w:rPr>
        <w:t xml:space="preserve">Lgs. 175/2016 (divieto di nomina di amministratore per i dipendenti delle amministrazioni pubbliche controllanti e vigilanti e obbligo per i dipendenti della società </w:t>
      </w:r>
      <w:r>
        <w:rPr>
          <w:sz w:val="20"/>
        </w:rPr>
        <w:lastRenderedPageBreak/>
        <w:t>controllante di riversare i relativi compensi alla società di appartenenza);</w:t>
      </w:r>
    </w:p>
    <w:p w14:paraId="0593507F" w14:textId="5107BA6D" w:rsidR="009F183C" w:rsidRDefault="00757AA1">
      <w:pPr>
        <w:numPr>
          <w:ilvl w:val="0"/>
          <w:numId w:val="21"/>
        </w:numPr>
        <w:rPr>
          <w:sz w:val="20"/>
        </w:rPr>
      </w:pPr>
      <w:r>
        <w:rPr>
          <w:sz w:val="20"/>
        </w:rPr>
        <w:t>dell’art. 11, comma 13 del D.Lgs. 175/2016 (limiti dei compensi ai componenti di comitati con funzioni consultive o di proposta);</w:t>
      </w:r>
    </w:p>
    <w:p w14:paraId="7F83C876" w14:textId="2432C53A" w:rsidR="009F183C" w:rsidRDefault="00757AA1">
      <w:pPr>
        <w:numPr>
          <w:ilvl w:val="0"/>
          <w:numId w:val="21"/>
        </w:numPr>
        <w:rPr>
          <w:sz w:val="20"/>
        </w:rPr>
      </w:pPr>
      <w:r>
        <w:rPr>
          <w:sz w:val="20"/>
        </w:rPr>
        <w:t>dell’art. 1, comma 554 della Legge 147/2013 e dell’art. 21 comma 3 del D.Lgs. 175/2016 (riduzione compensi o revoca degli amministratori per gli organismi che nei tre esercizi precedenti hanno conseguito una perdita);</w:t>
      </w:r>
    </w:p>
    <w:p w14:paraId="7DAE5D23" w14:textId="06071243" w:rsidR="009F183C" w:rsidRDefault="00757AA1">
      <w:pPr>
        <w:numPr>
          <w:ilvl w:val="0"/>
          <w:numId w:val="21"/>
        </w:numPr>
        <w:rPr>
          <w:sz w:val="20"/>
        </w:rPr>
      </w:pPr>
      <w:r>
        <w:rPr>
          <w:sz w:val="20"/>
        </w:rPr>
        <w:t>dell’art.11, comma 9 del D.</w:t>
      </w:r>
      <w:r w:rsidR="00C0640C">
        <w:rPr>
          <w:sz w:val="20"/>
        </w:rPr>
        <w:t>L</w:t>
      </w:r>
      <w:r>
        <w:rPr>
          <w:sz w:val="20"/>
        </w:rPr>
        <w:t>gs. 175/2016 (adeguamento statuti societari)</w:t>
      </w:r>
    </w:p>
    <w:p w14:paraId="2537F4BD" w14:textId="5F864FF3" w:rsidR="009F183C" w:rsidRDefault="00757AA1">
      <w:pPr>
        <w:numPr>
          <w:ilvl w:val="0"/>
          <w:numId w:val="21"/>
        </w:numPr>
        <w:rPr>
          <w:sz w:val="20"/>
        </w:rPr>
      </w:pPr>
      <w:r>
        <w:rPr>
          <w:sz w:val="20"/>
        </w:rPr>
        <w:t>dell’art. 19 del D.Lgs. 175/2016 (reclutamento del personale).</w:t>
      </w:r>
    </w:p>
    <w:p w14:paraId="25993F40" w14:textId="77777777" w:rsidR="009F183C" w:rsidRDefault="00757AA1">
      <w:pPr>
        <w:rPr>
          <w:i/>
          <w:sz w:val="20"/>
        </w:rPr>
      </w:pPr>
      <w:r>
        <w:rPr>
          <w:i/>
          <w:sz w:val="20"/>
        </w:rPr>
        <w:t>(oppure)</w:t>
      </w:r>
    </w:p>
    <w:p w14:paraId="031C3154" w14:textId="77777777" w:rsidR="009F183C" w:rsidRDefault="00757AA1">
      <w:pPr>
        <w:rPr>
          <w:b/>
          <w:i/>
          <w:color w:val="0070C0"/>
          <w:sz w:val="20"/>
        </w:rPr>
      </w:pPr>
      <w:r>
        <w:rPr>
          <w:sz w:val="20"/>
        </w:rPr>
        <w:t>Dalla verifica del rispetto delle suddette disposizioni è emerso quanto segue: ……………..</w:t>
      </w:r>
    </w:p>
    <w:p w14:paraId="6B9D0408" w14:textId="77777777" w:rsidR="009F183C" w:rsidRDefault="009F183C">
      <w:pPr>
        <w:rPr>
          <w:sz w:val="20"/>
        </w:rPr>
      </w:pPr>
    </w:p>
    <w:p w14:paraId="01B0A0AC" w14:textId="7D04ECAF" w:rsidR="009F183C" w:rsidRDefault="00757AA1">
      <w:pPr>
        <w:rPr>
          <w:sz w:val="20"/>
        </w:rPr>
      </w:pPr>
      <w:r>
        <w:rPr>
          <w:sz w:val="20"/>
        </w:rPr>
        <w:t xml:space="preserve">Le società affidatarie </w:t>
      </w:r>
      <w:r>
        <w:rPr>
          <w:i/>
          <w:sz w:val="20"/>
        </w:rPr>
        <w:t>in house</w:t>
      </w:r>
      <w:r>
        <w:rPr>
          <w:sz w:val="20"/>
        </w:rPr>
        <w:t xml:space="preserve"> hanno rispettato le prescrizioni dell’art. 16, comma 7 del D.Lgs. 175/2016 in tema di acquisto di lavori, beni e servizi.</w:t>
      </w:r>
    </w:p>
    <w:p w14:paraId="37FC4DB6" w14:textId="77777777" w:rsidR="00766AA6" w:rsidRDefault="00766AA6">
      <w:pPr>
        <w:rPr>
          <w:rFonts w:cs="Arial"/>
          <w:b/>
          <w:szCs w:val="22"/>
          <w:u w:val="single"/>
        </w:rPr>
      </w:pPr>
    </w:p>
    <w:p w14:paraId="4696538F" w14:textId="77777777" w:rsidR="009F183C" w:rsidRDefault="00757AA1">
      <w:pPr>
        <w:rPr>
          <w:rFonts w:cs="Arial"/>
          <w:b/>
          <w:szCs w:val="22"/>
          <w:u w:val="single"/>
        </w:rPr>
      </w:pPr>
      <w:r>
        <w:rPr>
          <w:rFonts w:cs="Arial"/>
          <w:b/>
          <w:szCs w:val="22"/>
          <w:u w:val="single"/>
        </w:rPr>
        <w:t xml:space="preserve">Revisione straordinaria delle partecipazioni </w:t>
      </w:r>
    </w:p>
    <w:p w14:paraId="10108139" w14:textId="77777777" w:rsidR="009F183C" w:rsidRPr="00C0640C" w:rsidRDefault="00757AA1">
      <w:pPr>
        <w:rPr>
          <w:sz w:val="20"/>
        </w:rPr>
      </w:pPr>
      <w:r w:rsidRPr="00C0640C">
        <w:rPr>
          <w:sz w:val="20"/>
        </w:rPr>
        <w:t>(art. 24 del D.Lgs. 175/2016)</w:t>
      </w:r>
    </w:p>
    <w:p w14:paraId="643A2D3D" w14:textId="77777777" w:rsidR="009F183C" w:rsidRDefault="00757AA1">
      <w:pPr>
        <w:rPr>
          <w:sz w:val="20"/>
        </w:rPr>
      </w:pPr>
      <w:r>
        <w:rPr>
          <w:sz w:val="20"/>
        </w:rPr>
        <w:t>L’Ente ha provveduto entro il 30 settembre 2017 alla ricognizione di tutte le partecipazioni possedute, direttamente e indirettamente, individuando quelle che devono essere dismesse.</w:t>
      </w:r>
    </w:p>
    <w:p w14:paraId="26E66C95" w14:textId="77777777" w:rsidR="009F183C" w:rsidRDefault="00757AA1">
      <w:pPr>
        <w:rPr>
          <w:sz w:val="20"/>
        </w:rPr>
      </w:pPr>
      <w:r>
        <w:rPr>
          <w:sz w:val="20"/>
        </w:rPr>
        <w:t>L’esito di tale ricognizione, anche se negativo:</w:t>
      </w:r>
    </w:p>
    <w:p w14:paraId="70E0476C" w14:textId="77777777" w:rsidR="009F183C" w:rsidRDefault="00757AA1">
      <w:pPr>
        <w:pStyle w:val="Paragrafoelenco"/>
        <w:numPr>
          <w:ilvl w:val="0"/>
          <w:numId w:val="31"/>
        </w:numPr>
        <w:rPr>
          <w:sz w:val="20"/>
        </w:rPr>
      </w:pPr>
      <w:r>
        <w:rPr>
          <w:sz w:val="20"/>
        </w:rPr>
        <w:t>è stato comunicato, con le modalità previste dall’art. 17 del D.L. 90/2014, convertito con modificazioni dalla Legge 114/2014, in data ……………;</w:t>
      </w:r>
    </w:p>
    <w:p w14:paraId="6720FC62" w14:textId="77777777" w:rsidR="009F183C" w:rsidRDefault="00757AA1">
      <w:pPr>
        <w:pStyle w:val="Paragrafoelenco"/>
        <w:numPr>
          <w:ilvl w:val="0"/>
          <w:numId w:val="31"/>
        </w:numPr>
        <w:rPr>
          <w:sz w:val="20"/>
        </w:rPr>
      </w:pPr>
      <w:r>
        <w:rPr>
          <w:sz w:val="20"/>
        </w:rPr>
        <w:t>è stato inviato alla Sezione Regionale di controllo della Corte dei Conti in data …………;</w:t>
      </w:r>
    </w:p>
    <w:p w14:paraId="777F2912" w14:textId="77777777" w:rsidR="009F183C" w:rsidRDefault="00757AA1">
      <w:pPr>
        <w:pStyle w:val="Paragrafoelenco"/>
        <w:numPr>
          <w:ilvl w:val="0"/>
          <w:numId w:val="31"/>
        </w:numPr>
        <w:rPr>
          <w:sz w:val="20"/>
        </w:rPr>
      </w:pPr>
      <w:r>
        <w:rPr>
          <w:sz w:val="20"/>
        </w:rPr>
        <w:t>è stato inviato alla struttura competente per l’indirizzo, il controllo e il monitoraggio previsto dall’art.15 del D.Lgs. 175/2016 come modificato dal D.Lgs. 16 giugno 2017 n.100, in data …………</w:t>
      </w:r>
    </w:p>
    <w:p w14:paraId="64577FD6" w14:textId="77777777" w:rsidR="009F183C" w:rsidRDefault="00757AA1">
      <w:pPr>
        <w:rPr>
          <w:rFonts w:cs="Arial"/>
          <w:b/>
          <w:szCs w:val="22"/>
          <w:u w:val="single"/>
        </w:rPr>
      </w:pPr>
      <w:r>
        <w:rPr>
          <w:rFonts w:cs="Arial"/>
          <w:b/>
          <w:szCs w:val="22"/>
          <w:u w:val="single"/>
        </w:rPr>
        <w:t xml:space="preserve">Razionalizzazione periodica delle partecipazioni pubbliche </w:t>
      </w:r>
    </w:p>
    <w:p w14:paraId="0BD02EF4" w14:textId="77777777" w:rsidR="009F183C" w:rsidRPr="00C0640C" w:rsidRDefault="00757AA1">
      <w:pPr>
        <w:rPr>
          <w:sz w:val="20"/>
        </w:rPr>
      </w:pPr>
      <w:r w:rsidRPr="00C0640C">
        <w:rPr>
          <w:sz w:val="20"/>
        </w:rPr>
        <w:t>(art. 20 del D.Lgs. 175/2016)</w:t>
      </w:r>
    </w:p>
    <w:p w14:paraId="4CA603EE" w14:textId="77777777" w:rsidR="009F183C" w:rsidRDefault="00757AA1">
      <w:pPr>
        <w:rPr>
          <w:sz w:val="20"/>
        </w:rPr>
      </w:pPr>
      <w:r>
        <w:rPr>
          <w:sz w:val="20"/>
        </w:rPr>
        <w:t>L’Ente ha provveduto in data……………… (</w:t>
      </w:r>
      <w:r>
        <w:rPr>
          <w:color w:val="00B0F0"/>
          <w:sz w:val="20"/>
        </w:rPr>
        <w:t>entro il 31 dicembre 2018</w:t>
      </w:r>
      <w:r>
        <w:rPr>
          <w:sz w:val="20"/>
        </w:rPr>
        <w:t>) all’analisi dell’assetto complessivo di tutte le partecipazioni possedute, dirette e indirette, predisponendo, ove ricorrano i presupposti, un piano di riassetto per la loro razionalizzazione.</w:t>
      </w:r>
    </w:p>
    <w:p w14:paraId="17F1B1A2" w14:textId="77777777" w:rsidR="009F183C" w:rsidRDefault="00757AA1">
      <w:pPr>
        <w:rPr>
          <w:sz w:val="20"/>
        </w:rPr>
      </w:pPr>
      <w:r>
        <w:rPr>
          <w:sz w:val="20"/>
        </w:rPr>
        <w:t>Il piano di razionalizzazione:</w:t>
      </w:r>
    </w:p>
    <w:p w14:paraId="2E38441B" w14:textId="77777777" w:rsidR="009F183C" w:rsidRDefault="00757AA1">
      <w:pPr>
        <w:pStyle w:val="Paragrafoelenco"/>
        <w:numPr>
          <w:ilvl w:val="0"/>
          <w:numId w:val="31"/>
        </w:numPr>
        <w:rPr>
          <w:sz w:val="20"/>
        </w:rPr>
      </w:pPr>
      <w:r>
        <w:rPr>
          <w:sz w:val="20"/>
        </w:rPr>
        <w:t>è stato trasmesso, con le modalità previste dall’art. 17 del D.L. 90/2014, convertito con modificazioni dalla Legge 114/2014, in data ……………;</w:t>
      </w:r>
    </w:p>
    <w:p w14:paraId="3F9998C0" w14:textId="77777777" w:rsidR="009F183C" w:rsidRDefault="00757AA1">
      <w:pPr>
        <w:pStyle w:val="Paragrafoelenco"/>
        <w:numPr>
          <w:ilvl w:val="0"/>
          <w:numId w:val="31"/>
        </w:numPr>
        <w:rPr>
          <w:sz w:val="20"/>
        </w:rPr>
      </w:pPr>
      <w:r>
        <w:rPr>
          <w:sz w:val="20"/>
        </w:rPr>
        <w:t>è stato inviato alla Sezione Regionale di controllo della Corte dei Conti in data …………;</w:t>
      </w:r>
    </w:p>
    <w:p w14:paraId="0285C888" w14:textId="77777777" w:rsidR="009F183C" w:rsidRDefault="00757AA1">
      <w:pPr>
        <w:pStyle w:val="Paragrafoelenco"/>
        <w:numPr>
          <w:ilvl w:val="0"/>
          <w:numId w:val="31"/>
        </w:numPr>
        <w:rPr>
          <w:sz w:val="20"/>
        </w:rPr>
      </w:pPr>
      <w:r>
        <w:rPr>
          <w:sz w:val="20"/>
        </w:rPr>
        <w:t>è stato inviato alla struttura competente per l’indirizzo, il controllo e il monitoraggio prevista dall’art.15 del D.Lgs. 175/2016 come modificato dal D.Lgs. 16 giugno 2017 n.100, in data …………</w:t>
      </w:r>
    </w:p>
    <w:p w14:paraId="616AC785" w14:textId="77777777" w:rsidR="009F183C" w:rsidRDefault="00757AA1">
      <w:pPr>
        <w:rPr>
          <w:sz w:val="20"/>
        </w:rPr>
      </w:pPr>
      <w:r>
        <w:rPr>
          <w:sz w:val="20"/>
        </w:rPr>
        <w:t>(Gli Enti che non detengono partecipazioni lo comunicano alla Sezione Regionale di controllo della Corte dei Conti e alla struttura competente per l’indirizzo, il controllo e il monitoraggio previsto dall’art.15 del D.Lgs. 175/2016 come modificato dal D.Lgs. 16 giugno 2017 n.100).</w:t>
      </w:r>
    </w:p>
    <w:p w14:paraId="58752969" w14:textId="18EB46A7" w:rsidR="009F183C" w:rsidRDefault="00757AA1">
      <w:pPr>
        <w:rPr>
          <w:sz w:val="20"/>
        </w:rPr>
      </w:pPr>
      <w:r>
        <w:rPr>
          <w:sz w:val="20"/>
        </w:rPr>
        <w:t>Le partecipazioni che risultano da dismettere sono:</w:t>
      </w:r>
    </w:p>
    <w:tbl>
      <w:tblPr>
        <w:tblStyle w:val="Grigliatabella"/>
        <w:tblW w:w="5000" w:type="pct"/>
        <w:tblLook w:val="04A0" w:firstRow="1" w:lastRow="0" w:firstColumn="1" w:lastColumn="0" w:noHBand="0" w:noVBand="1"/>
      </w:tblPr>
      <w:tblGrid>
        <w:gridCol w:w="1547"/>
        <w:gridCol w:w="1477"/>
        <w:gridCol w:w="1371"/>
        <w:gridCol w:w="1372"/>
        <w:gridCol w:w="1372"/>
        <w:gridCol w:w="1498"/>
      </w:tblGrid>
      <w:tr w:rsidR="009F183C" w14:paraId="67862544" w14:textId="77777777" w:rsidTr="00883443">
        <w:tc>
          <w:tcPr>
            <w:tcW w:w="896" w:type="pct"/>
            <w:vAlign w:val="bottom"/>
          </w:tcPr>
          <w:p w14:paraId="21C287CC" w14:textId="77777777" w:rsidR="009F183C" w:rsidRDefault="00757AA1">
            <w:pPr>
              <w:jc w:val="center"/>
              <w:rPr>
                <w:b/>
                <w:sz w:val="18"/>
                <w:szCs w:val="18"/>
              </w:rPr>
            </w:pPr>
            <w:r>
              <w:rPr>
                <w:b/>
                <w:sz w:val="18"/>
                <w:szCs w:val="18"/>
              </w:rPr>
              <w:t>Denominazione sociale</w:t>
            </w:r>
          </w:p>
        </w:tc>
        <w:tc>
          <w:tcPr>
            <w:tcW w:w="855" w:type="pct"/>
            <w:vAlign w:val="bottom"/>
          </w:tcPr>
          <w:p w14:paraId="3EE0711B" w14:textId="77777777" w:rsidR="009F183C" w:rsidRDefault="00757AA1">
            <w:pPr>
              <w:jc w:val="center"/>
              <w:rPr>
                <w:b/>
                <w:sz w:val="18"/>
                <w:szCs w:val="18"/>
              </w:rPr>
            </w:pPr>
            <w:r>
              <w:rPr>
                <w:b/>
                <w:sz w:val="18"/>
                <w:szCs w:val="18"/>
              </w:rPr>
              <w:t>Quota di partecipazione</w:t>
            </w:r>
          </w:p>
        </w:tc>
        <w:tc>
          <w:tcPr>
            <w:tcW w:w="794" w:type="pct"/>
            <w:vAlign w:val="bottom"/>
          </w:tcPr>
          <w:p w14:paraId="435FE409" w14:textId="77777777" w:rsidR="009F183C" w:rsidRDefault="00757AA1">
            <w:pPr>
              <w:jc w:val="center"/>
              <w:rPr>
                <w:b/>
                <w:sz w:val="18"/>
                <w:szCs w:val="18"/>
              </w:rPr>
            </w:pPr>
            <w:r>
              <w:rPr>
                <w:b/>
                <w:sz w:val="18"/>
                <w:szCs w:val="18"/>
              </w:rPr>
              <w:t>Motivo di dismissione</w:t>
            </w:r>
          </w:p>
        </w:tc>
        <w:tc>
          <w:tcPr>
            <w:tcW w:w="794" w:type="pct"/>
            <w:vAlign w:val="bottom"/>
          </w:tcPr>
          <w:p w14:paraId="50BC1532" w14:textId="77777777" w:rsidR="009F183C" w:rsidRDefault="00757AA1">
            <w:pPr>
              <w:jc w:val="center"/>
              <w:rPr>
                <w:b/>
                <w:sz w:val="18"/>
                <w:szCs w:val="18"/>
              </w:rPr>
            </w:pPr>
            <w:r>
              <w:rPr>
                <w:b/>
                <w:sz w:val="18"/>
                <w:szCs w:val="18"/>
              </w:rPr>
              <w:t>Modalità di dismissione</w:t>
            </w:r>
          </w:p>
        </w:tc>
        <w:tc>
          <w:tcPr>
            <w:tcW w:w="794" w:type="pct"/>
            <w:vAlign w:val="bottom"/>
          </w:tcPr>
          <w:p w14:paraId="5A85F687" w14:textId="77777777" w:rsidR="009F183C" w:rsidRDefault="00757AA1">
            <w:pPr>
              <w:jc w:val="center"/>
              <w:rPr>
                <w:b/>
                <w:sz w:val="18"/>
                <w:szCs w:val="18"/>
              </w:rPr>
            </w:pPr>
            <w:r>
              <w:rPr>
                <w:b/>
                <w:sz w:val="18"/>
                <w:szCs w:val="18"/>
              </w:rPr>
              <w:t>Data di dismissione</w:t>
            </w:r>
          </w:p>
        </w:tc>
        <w:tc>
          <w:tcPr>
            <w:tcW w:w="867" w:type="pct"/>
          </w:tcPr>
          <w:p w14:paraId="604F914D" w14:textId="77777777" w:rsidR="009F183C" w:rsidRDefault="00757AA1">
            <w:pPr>
              <w:jc w:val="center"/>
              <w:rPr>
                <w:b/>
                <w:sz w:val="18"/>
                <w:szCs w:val="18"/>
              </w:rPr>
            </w:pPr>
            <w:r>
              <w:rPr>
                <w:b/>
                <w:sz w:val="18"/>
                <w:szCs w:val="18"/>
              </w:rPr>
              <w:t xml:space="preserve">Modalità ricollocamento personale </w:t>
            </w:r>
          </w:p>
        </w:tc>
      </w:tr>
      <w:tr w:rsidR="009F183C" w14:paraId="7AD72679" w14:textId="77777777" w:rsidTr="00883443">
        <w:trPr>
          <w:trHeight w:val="567"/>
        </w:trPr>
        <w:tc>
          <w:tcPr>
            <w:tcW w:w="896" w:type="pct"/>
          </w:tcPr>
          <w:p w14:paraId="205089EE" w14:textId="77777777" w:rsidR="009F183C" w:rsidRDefault="009F183C"/>
        </w:tc>
        <w:tc>
          <w:tcPr>
            <w:tcW w:w="855" w:type="pct"/>
          </w:tcPr>
          <w:p w14:paraId="4CC83C56" w14:textId="77777777" w:rsidR="009F183C" w:rsidRDefault="009F183C"/>
        </w:tc>
        <w:tc>
          <w:tcPr>
            <w:tcW w:w="794" w:type="pct"/>
          </w:tcPr>
          <w:p w14:paraId="38BF9705" w14:textId="77777777" w:rsidR="009F183C" w:rsidRDefault="009F183C"/>
        </w:tc>
        <w:tc>
          <w:tcPr>
            <w:tcW w:w="794" w:type="pct"/>
          </w:tcPr>
          <w:p w14:paraId="2911643F" w14:textId="77777777" w:rsidR="009F183C" w:rsidRDefault="009F183C"/>
        </w:tc>
        <w:tc>
          <w:tcPr>
            <w:tcW w:w="794" w:type="pct"/>
          </w:tcPr>
          <w:p w14:paraId="1B3F9F07" w14:textId="77777777" w:rsidR="009F183C" w:rsidRDefault="009F183C"/>
        </w:tc>
        <w:tc>
          <w:tcPr>
            <w:tcW w:w="867" w:type="pct"/>
          </w:tcPr>
          <w:p w14:paraId="72C496B9" w14:textId="77777777" w:rsidR="009F183C" w:rsidRDefault="009F183C"/>
        </w:tc>
      </w:tr>
    </w:tbl>
    <w:p w14:paraId="0814146F" w14:textId="77777777" w:rsidR="009F183C" w:rsidRDefault="009F183C">
      <w:pPr>
        <w:rPr>
          <w:sz w:val="20"/>
        </w:rPr>
      </w:pPr>
    </w:p>
    <w:p w14:paraId="672411B1" w14:textId="77777777" w:rsidR="009F183C" w:rsidRDefault="00757AA1">
      <w:pPr>
        <w:pStyle w:val="Titolo1"/>
        <w:shd w:val="clear" w:color="auto" w:fill="D6E3BC" w:themeFill="accent3" w:themeFillTint="66"/>
      </w:pPr>
      <w:bookmarkStart w:id="92" w:name="_Toc379377481"/>
      <w:bookmarkStart w:id="93" w:name="_Toc507691953"/>
      <w:r>
        <w:t>TEMPESTIVITA’ PAGAMENTI E COMUNICAZIONE RITARDI</w:t>
      </w:r>
      <w:bookmarkEnd w:id="92"/>
      <w:bookmarkEnd w:id="93"/>
    </w:p>
    <w:p w14:paraId="6DC7AC75" w14:textId="77777777" w:rsidR="009F183C" w:rsidRDefault="009F183C">
      <w:pPr>
        <w:rPr>
          <w:rFonts w:cs="Arial"/>
          <w:b/>
          <w:szCs w:val="22"/>
        </w:rPr>
      </w:pPr>
    </w:p>
    <w:p w14:paraId="202FF9B2" w14:textId="77777777" w:rsidR="009F183C" w:rsidRDefault="00757AA1">
      <w:pPr>
        <w:rPr>
          <w:rFonts w:cs="Arial"/>
          <w:b/>
          <w:szCs w:val="22"/>
        </w:rPr>
      </w:pPr>
      <w:r>
        <w:rPr>
          <w:rFonts w:cs="Arial"/>
          <w:b/>
          <w:szCs w:val="22"/>
        </w:rPr>
        <w:t>Tempestività pagamenti</w:t>
      </w:r>
    </w:p>
    <w:p w14:paraId="6B8AD86F" w14:textId="77777777" w:rsidR="009F183C" w:rsidRDefault="00757AA1">
      <w:pPr>
        <w:widowControl/>
        <w:overflowPunct/>
        <w:autoSpaceDE/>
        <w:autoSpaceDN/>
        <w:adjustRightInd/>
        <w:spacing w:after="0"/>
        <w:textAlignment w:val="auto"/>
        <w:rPr>
          <w:rFonts w:cs="Arial"/>
          <w:sz w:val="20"/>
        </w:rPr>
      </w:pPr>
      <w:r>
        <w:rPr>
          <w:rFonts w:cs="Arial"/>
          <w:sz w:val="20"/>
        </w:rPr>
        <w:t>L’Organo di revisione ha verificato l’adozione da parte dell’ente delle misure organizzative per garantire il tempestivo pagamento delle somme dovute per somministrazioni, forniture e appalti, anche in relazione all’obbligo previsto dal novellato art.183 comma 8 TUEL.</w:t>
      </w:r>
    </w:p>
    <w:p w14:paraId="489E120F" w14:textId="77777777" w:rsidR="009F183C" w:rsidRDefault="009F183C">
      <w:pPr>
        <w:widowControl/>
        <w:overflowPunct/>
        <w:autoSpaceDE/>
        <w:autoSpaceDN/>
        <w:adjustRightInd/>
        <w:spacing w:after="0"/>
        <w:textAlignment w:val="auto"/>
        <w:rPr>
          <w:rFonts w:cs="Arial"/>
          <w:sz w:val="20"/>
        </w:rPr>
      </w:pPr>
    </w:p>
    <w:p w14:paraId="7327AD7A" w14:textId="2D92FED5" w:rsidR="009F183C" w:rsidRDefault="00757AA1">
      <w:pPr>
        <w:widowControl/>
        <w:overflowPunct/>
        <w:autoSpaceDE/>
        <w:autoSpaceDN/>
        <w:adjustRightInd/>
        <w:spacing w:after="0"/>
        <w:textAlignment w:val="auto"/>
        <w:rPr>
          <w:rFonts w:cs="Arial"/>
          <w:sz w:val="20"/>
        </w:rPr>
      </w:pPr>
      <w:r>
        <w:rPr>
          <w:rFonts w:cs="Arial"/>
          <w:sz w:val="20"/>
        </w:rPr>
        <w:t>In merito alle misure adottate ed al rispetto della tempestività dei pagament</w:t>
      </w:r>
      <w:r w:rsidR="00C0640C">
        <w:rPr>
          <w:rFonts w:cs="Arial"/>
          <w:sz w:val="20"/>
        </w:rPr>
        <w:t>i</w:t>
      </w:r>
      <w:r>
        <w:rPr>
          <w:rFonts w:cs="Arial"/>
          <w:sz w:val="20"/>
        </w:rPr>
        <w:t xml:space="preserve"> l’organo di revisione osserva …………………………………………</w:t>
      </w:r>
    </w:p>
    <w:p w14:paraId="54370DF7" w14:textId="77777777" w:rsidR="009F183C" w:rsidRDefault="009F183C">
      <w:pPr>
        <w:widowControl/>
        <w:overflowPunct/>
        <w:autoSpaceDE/>
        <w:autoSpaceDN/>
        <w:adjustRightInd/>
        <w:spacing w:after="0"/>
        <w:textAlignment w:val="auto"/>
        <w:rPr>
          <w:rFonts w:cs="Arial"/>
          <w:sz w:val="20"/>
        </w:rPr>
      </w:pPr>
    </w:p>
    <w:p w14:paraId="5F1FA541" w14:textId="77777777" w:rsidR="009F183C" w:rsidRDefault="00757AA1">
      <w:pPr>
        <w:widowControl/>
        <w:overflowPunct/>
        <w:autoSpaceDE/>
        <w:autoSpaceDN/>
        <w:adjustRightInd/>
        <w:spacing w:after="0"/>
        <w:textAlignment w:val="auto"/>
        <w:rPr>
          <w:rFonts w:cs="Arial"/>
          <w:sz w:val="20"/>
        </w:rPr>
      </w:pPr>
      <w:r>
        <w:rPr>
          <w:rFonts w:cs="Arial"/>
          <w:sz w:val="20"/>
        </w:rPr>
        <w:t>Nel caso di mancata adozione l’Ente ha motivato tale inadempimento in ragione………………....</w:t>
      </w:r>
    </w:p>
    <w:p w14:paraId="5C13975D" w14:textId="77777777" w:rsidR="009F183C" w:rsidRDefault="009F183C">
      <w:pPr>
        <w:widowControl/>
        <w:overflowPunct/>
        <w:autoSpaceDE/>
        <w:autoSpaceDN/>
        <w:adjustRightInd/>
        <w:spacing w:after="0"/>
        <w:textAlignment w:val="auto"/>
        <w:rPr>
          <w:rFonts w:cs="Arial"/>
          <w:sz w:val="20"/>
        </w:rPr>
      </w:pPr>
    </w:p>
    <w:p w14:paraId="76A2A213" w14:textId="77777777" w:rsidR="009F183C" w:rsidRDefault="00757AA1">
      <w:pPr>
        <w:widowControl/>
        <w:overflowPunct/>
        <w:autoSpaceDE/>
        <w:autoSpaceDN/>
        <w:adjustRightInd/>
        <w:spacing w:after="0"/>
        <w:textAlignment w:val="auto"/>
        <w:rPr>
          <w:rFonts w:cs="Arial"/>
          <w:sz w:val="20"/>
        </w:rPr>
      </w:pPr>
      <w:r>
        <w:rPr>
          <w:rFonts w:cs="Arial"/>
          <w:sz w:val="20"/>
        </w:rPr>
        <w:t xml:space="preserve">L'indicatore annuale di tempestività dei pagamenti rilevante ai fini dell'articolo 41, comma I, del decreto-legge 24 aprile 2014, n. 66, </w:t>
      </w:r>
      <w:r>
        <w:rPr>
          <w:rFonts w:cs="Arial"/>
          <w:b/>
          <w:sz w:val="20"/>
        </w:rPr>
        <w:t>è/non è</w:t>
      </w:r>
      <w:r>
        <w:rPr>
          <w:rFonts w:cs="Arial"/>
          <w:sz w:val="20"/>
        </w:rPr>
        <w:t xml:space="preserve"> allegato in apposito prospetto, sottoscritto dal rappresentante legale e dal responsabile finanziario, alla relazione al rendiconto. </w:t>
      </w:r>
    </w:p>
    <w:p w14:paraId="5830A431" w14:textId="77777777" w:rsidR="009F183C" w:rsidRDefault="009F183C">
      <w:pPr>
        <w:widowControl/>
        <w:overflowPunct/>
        <w:autoSpaceDE/>
        <w:autoSpaceDN/>
        <w:adjustRightInd/>
        <w:spacing w:after="0"/>
        <w:textAlignment w:val="auto"/>
        <w:rPr>
          <w:rFonts w:cs="Arial"/>
          <w:color w:val="548DD4" w:themeColor="text2" w:themeTint="99"/>
          <w:sz w:val="20"/>
        </w:rPr>
      </w:pPr>
    </w:p>
    <w:p w14:paraId="5D17DE37" w14:textId="77777777" w:rsidR="009F183C" w:rsidRDefault="00757AA1">
      <w:pPr>
        <w:widowControl/>
        <w:overflowPunct/>
        <w:autoSpaceDE/>
        <w:autoSpaceDN/>
        <w:adjustRightInd/>
        <w:spacing w:after="0"/>
        <w:textAlignment w:val="auto"/>
        <w:rPr>
          <w:i/>
          <w:color w:val="00B0F0"/>
          <w:sz w:val="20"/>
        </w:rPr>
      </w:pPr>
      <w:r>
        <w:rPr>
          <w:i/>
          <w:color w:val="00B0F0"/>
          <w:sz w:val="20"/>
        </w:rPr>
        <w:t xml:space="preserve">In caso di superamento dei termini di pagamento previsti dall'articolo 1, comma 2, del decreto </w:t>
      </w:r>
    </w:p>
    <w:p w14:paraId="77B4CBD4" w14:textId="713A9DD2" w:rsidR="009F183C" w:rsidRDefault="00757AA1">
      <w:pPr>
        <w:widowControl/>
        <w:overflowPunct/>
        <w:autoSpaceDE/>
        <w:autoSpaceDN/>
        <w:adjustRightInd/>
        <w:spacing w:after="0"/>
        <w:textAlignment w:val="auto"/>
        <w:rPr>
          <w:i/>
          <w:color w:val="00B0F0"/>
          <w:sz w:val="20"/>
        </w:rPr>
      </w:pPr>
      <w:r>
        <w:rPr>
          <w:i/>
          <w:color w:val="00B0F0"/>
          <w:sz w:val="20"/>
        </w:rPr>
        <w:t xml:space="preserve">legislativo 9 ottobre 2002, n. 231, la relazione deve indicare anche le misure da adottare per rientrare nei termini di pagamento </w:t>
      </w:r>
      <w:r w:rsidR="00C0640C">
        <w:rPr>
          <w:i/>
          <w:color w:val="00B0F0"/>
          <w:sz w:val="20"/>
        </w:rPr>
        <w:t>previsti.</w:t>
      </w:r>
    </w:p>
    <w:p w14:paraId="6DFC7AC6" w14:textId="77777777" w:rsidR="009F183C" w:rsidRDefault="009F183C">
      <w:pPr>
        <w:rPr>
          <w:i/>
          <w:color w:val="00B0F0"/>
          <w:sz w:val="20"/>
        </w:rPr>
      </w:pPr>
    </w:p>
    <w:p w14:paraId="09FEFA64" w14:textId="77777777" w:rsidR="009F183C" w:rsidRDefault="00757AA1">
      <w:pPr>
        <w:rPr>
          <w:i/>
          <w:color w:val="00B0F0"/>
          <w:sz w:val="20"/>
        </w:rPr>
      </w:pPr>
      <w:r>
        <w:rPr>
          <w:i/>
          <w:color w:val="00B0F0"/>
          <w:sz w:val="20"/>
        </w:rPr>
        <w:t>(L’organo di revisione deve vigilare sulla corretta applicazione delle disposizioni ed il rapporto è allegato alla relazione da trasmettere alla Corte dei Conti ai sensi dell’art.1, commi 166 e 170 della Legge 266/2005)</w:t>
      </w:r>
    </w:p>
    <w:p w14:paraId="15D87691" w14:textId="77777777" w:rsidR="009F183C" w:rsidRDefault="009F183C">
      <w:pPr>
        <w:widowControl/>
        <w:overflowPunct/>
        <w:autoSpaceDE/>
        <w:autoSpaceDN/>
        <w:adjustRightInd/>
        <w:spacing w:after="0"/>
        <w:textAlignment w:val="auto"/>
        <w:rPr>
          <w:rFonts w:cs="Arial"/>
          <w:sz w:val="20"/>
        </w:rPr>
      </w:pPr>
    </w:p>
    <w:p w14:paraId="2C4960E8" w14:textId="21DD251E" w:rsidR="009F183C" w:rsidRDefault="00757AA1">
      <w:pPr>
        <w:rPr>
          <w:b/>
          <w:i/>
          <w:szCs w:val="22"/>
          <w:u w:val="single"/>
        </w:rPr>
      </w:pPr>
      <w:r>
        <w:rPr>
          <w:b/>
          <w:i/>
          <w:szCs w:val="22"/>
          <w:u w:val="single"/>
        </w:rPr>
        <w:t xml:space="preserve">Comunicazione dei dati riferiti a fatture (o richieste equivalenti di pagamento). Art. 27 </w:t>
      </w:r>
      <w:r w:rsidR="00C0640C">
        <w:rPr>
          <w:b/>
          <w:i/>
          <w:szCs w:val="22"/>
          <w:u w:val="single"/>
        </w:rPr>
        <w:t>Decreto-legge</w:t>
      </w:r>
      <w:r>
        <w:rPr>
          <w:b/>
          <w:i/>
          <w:szCs w:val="22"/>
          <w:u w:val="single"/>
        </w:rPr>
        <w:t xml:space="preserve"> 24/04/2014 n. 66 </w:t>
      </w:r>
    </w:p>
    <w:p w14:paraId="16178205" w14:textId="77777777" w:rsidR="009F183C" w:rsidRDefault="00757AA1">
      <w:pPr>
        <w:pStyle w:val="Didascalia"/>
        <w:rPr>
          <w:b w:val="0"/>
          <w:i/>
          <w:color w:val="00B0F0"/>
          <w:sz w:val="20"/>
          <w:u w:val="none"/>
        </w:rPr>
      </w:pPr>
      <w:r>
        <w:rPr>
          <w:b w:val="0"/>
          <w:i/>
          <w:color w:val="00B0F0"/>
          <w:sz w:val="20"/>
          <w:u w:val="none"/>
        </w:rPr>
        <w:t>Il comma 4 dell’art. 7bis del D.L. 35/2013 ha disposto a partire dal mese di luglio 2014, la comunicazione, entro il giorno 15 di ciascun mese, delle fatture per le quali sia stato superato il termine di scadenza senza che ne sia stato disposto il pagamento.</w:t>
      </w:r>
    </w:p>
    <w:p w14:paraId="1EE3B636" w14:textId="77777777" w:rsidR="009F183C" w:rsidRDefault="00757AA1">
      <w:pPr>
        <w:pStyle w:val="Didascalia"/>
        <w:rPr>
          <w:b w:val="0"/>
          <w:i/>
          <w:color w:val="00B0F0"/>
          <w:sz w:val="20"/>
          <w:u w:val="none"/>
        </w:rPr>
      </w:pPr>
      <w:r>
        <w:rPr>
          <w:b w:val="0"/>
          <w:i/>
          <w:color w:val="00B0F0"/>
          <w:sz w:val="20"/>
          <w:u w:val="none"/>
        </w:rPr>
        <w:t>Il comma 5 ribadisce l’obbligo, già esistente, di rilevare tempestivamente sul sistema PCC (ossia, contestualmente all’emissione del mandato) di aver disposto il pagamento della fattura (fase di pagamento), al fine di evitare che un credito già pagato possa essere impropriamente utilizzato ai fini della certificazione del credito per il conseguente smobilizzo attraverso operazioni di anticipazione, cessione e/o compensazione.</w:t>
      </w:r>
    </w:p>
    <w:p w14:paraId="20D1F888" w14:textId="77777777" w:rsidR="009F183C" w:rsidRDefault="00757AA1">
      <w:pPr>
        <w:pStyle w:val="Didascalia"/>
        <w:rPr>
          <w:b w:val="0"/>
          <w:i/>
          <w:color w:val="00B0F0"/>
          <w:sz w:val="20"/>
          <w:u w:val="none"/>
        </w:rPr>
      </w:pPr>
      <w:r>
        <w:rPr>
          <w:b w:val="0"/>
          <w:i/>
          <w:color w:val="00B0F0"/>
          <w:sz w:val="20"/>
          <w:u w:val="none"/>
        </w:rPr>
        <w:t>Il successivo comma 8, dispone che il mancato rispetto degli adempimenti da essi previsti, è rilevante ai fini della misurazione e della valutazione della performance individuale del dirigente responsabile e comporta responsabilità dirigenziale e disciplinare ai sensi degli articoli 21 e 55 del Decreto legislativo 30 marzo 2001, n. 165 e successive modificazioni.</w:t>
      </w:r>
    </w:p>
    <w:p w14:paraId="323834C0" w14:textId="77777777" w:rsidR="009F183C" w:rsidRDefault="00757AA1">
      <w:pPr>
        <w:spacing w:line="360" w:lineRule="auto"/>
        <w:rPr>
          <w:sz w:val="20"/>
        </w:rPr>
      </w:pPr>
      <w:r>
        <w:rPr>
          <w:sz w:val="20"/>
        </w:rPr>
        <w:t>L’organo di revisione ha verificato la corretta attuazione delle procedure di cui ai commi 4 e 5 dell’art. 7bis del D.L. 35/2013.</w:t>
      </w:r>
    </w:p>
    <w:p w14:paraId="314C7E32" w14:textId="77777777" w:rsidR="009F183C" w:rsidRDefault="00757AA1">
      <w:pPr>
        <w:spacing w:line="360" w:lineRule="auto"/>
        <w:rPr>
          <w:sz w:val="20"/>
        </w:rPr>
      </w:pPr>
      <w:r>
        <w:rPr>
          <w:sz w:val="20"/>
        </w:rPr>
        <w:t xml:space="preserve">A tale proposito l’organo di revisione ritiene …………………… </w:t>
      </w:r>
    </w:p>
    <w:p w14:paraId="5E9212D6" w14:textId="77777777" w:rsidR="009F183C" w:rsidRDefault="009F183C">
      <w:pPr>
        <w:spacing w:line="360" w:lineRule="auto"/>
        <w:rPr>
          <w:sz w:val="20"/>
        </w:rPr>
      </w:pPr>
    </w:p>
    <w:p w14:paraId="6FD4CCD2" w14:textId="77777777" w:rsidR="00185F7F" w:rsidRDefault="00185F7F">
      <w:pPr>
        <w:spacing w:line="360" w:lineRule="auto"/>
        <w:rPr>
          <w:sz w:val="20"/>
        </w:rPr>
      </w:pPr>
    </w:p>
    <w:p w14:paraId="51C29A8F" w14:textId="77777777" w:rsidR="00185F7F" w:rsidRDefault="00185F7F">
      <w:pPr>
        <w:spacing w:line="360" w:lineRule="auto"/>
        <w:rPr>
          <w:sz w:val="20"/>
        </w:rPr>
      </w:pPr>
    </w:p>
    <w:p w14:paraId="31B04CF9" w14:textId="77777777" w:rsidR="00185F7F" w:rsidRDefault="00185F7F">
      <w:pPr>
        <w:spacing w:line="360" w:lineRule="auto"/>
        <w:rPr>
          <w:sz w:val="20"/>
        </w:rPr>
      </w:pPr>
    </w:p>
    <w:p w14:paraId="5385AAF2" w14:textId="77777777" w:rsidR="00185F7F" w:rsidRDefault="00185F7F">
      <w:pPr>
        <w:spacing w:line="360" w:lineRule="auto"/>
        <w:rPr>
          <w:sz w:val="20"/>
        </w:rPr>
      </w:pPr>
    </w:p>
    <w:p w14:paraId="1CB3DA89" w14:textId="77777777" w:rsidR="009F183C" w:rsidRDefault="00757AA1">
      <w:pPr>
        <w:pStyle w:val="Titolo1"/>
        <w:shd w:val="clear" w:color="auto" w:fill="D6E3BC" w:themeFill="accent3" w:themeFillTint="66"/>
      </w:pPr>
      <w:bookmarkStart w:id="94" w:name="_Toc379377482"/>
      <w:bookmarkStart w:id="95" w:name="_Toc507691954"/>
      <w:r>
        <w:t>PARAMETRI DI RISCONTRO DELLA SITUAZIONE DI DEFICITARIETA’ STRUTTURALE</w:t>
      </w:r>
      <w:bookmarkEnd w:id="94"/>
      <w:bookmarkEnd w:id="95"/>
    </w:p>
    <w:p w14:paraId="319D2A3D" w14:textId="77777777" w:rsidR="00D71352" w:rsidRDefault="00D71352">
      <w:pPr>
        <w:rPr>
          <w:sz w:val="20"/>
        </w:rPr>
      </w:pPr>
    </w:p>
    <w:p w14:paraId="3AD386DF" w14:textId="7B9C2DFD" w:rsidR="009F183C" w:rsidRDefault="00757AA1">
      <w:pPr>
        <w:rPr>
          <w:sz w:val="20"/>
        </w:rPr>
      </w:pPr>
      <w:r>
        <w:rPr>
          <w:sz w:val="20"/>
        </w:rPr>
        <w:t>L’ente nel rendiconto 2017, rispetta tutti i parametri di riscontro della situazione di deficitarietà strutturale pubblicati con decreto del Ministero dell’Interno del 18/02/2013, come da prospetto allegato al rendiconto.</w:t>
      </w:r>
    </w:p>
    <w:p w14:paraId="5FE9EF54" w14:textId="77777777" w:rsidR="009F183C" w:rsidRDefault="00757AA1">
      <w:pPr>
        <w:rPr>
          <w:sz w:val="20"/>
        </w:rPr>
      </w:pPr>
      <w:r>
        <w:rPr>
          <w:sz w:val="20"/>
        </w:rPr>
        <w:t>(oppure)</w:t>
      </w:r>
    </w:p>
    <w:p w14:paraId="2C8F4CF2" w14:textId="77777777" w:rsidR="009F183C" w:rsidRDefault="00757AA1">
      <w:pPr>
        <w:rPr>
          <w:sz w:val="20"/>
        </w:rPr>
      </w:pPr>
      <w:r>
        <w:rPr>
          <w:sz w:val="20"/>
        </w:rPr>
        <w:t xml:space="preserve">Dai dati risultanti dal rendiconto 2017, l’ente non rispetta i seguenti parametri di deficitarietà strutturale indicati nel decreto del Ministero dell’Interno del 18/2/2013, come da prospetto allegato al rendiconto. </w:t>
      </w:r>
    </w:p>
    <w:p w14:paraId="1087BB2E" w14:textId="77777777" w:rsidR="009F183C" w:rsidRDefault="00757AA1">
      <w:pPr>
        <w:rPr>
          <w:sz w:val="20"/>
        </w:rPr>
      </w:pPr>
      <w:r>
        <w:rPr>
          <w:sz w:val="20"/>
        </w:rPr>
        <w:t>Il mancato rispetto di tali parametri è causato da ………………………………………………………</w:t>
      </w:r>
    </w:p>
    <w:p w14:paraId="42249054" w14:textId="77777777" w:rsidR="009F183C" w:rsidRDefault="00757AA1">
      <w:pPr>
        <w:rPr>
          <w:sz w:val="20"/>
        </w:rPr>
      </w:pPr>
      <w:r>
        <w:rPr>
          <w:sz w:val="20"/>
        </w:rPr>
        <w:t>(oppure)</w:t>
      </w:r>
    </w:p>
    <w:p w14:paraId="0FC1BE56" w14:textId="77777777" w:rsidR="009F183C" w:rsidRDefault="00757AA1">
      <w:pPr>
        <w:rPr>
          <w:sz w:val="20"/>
        </w:rPr>
      </w:pPr>
      <w:r>
        <w:rPr>
          <w:sz w:val="20"/>
        </w:rPr>
        <w:t xml:space="preserve">Dai dati risultanti dalla tabella dei parametri di deficitarietà strutturale allegata al rendiconto emerge che almeno la metà presenta valori deficitari e pertanto l’ente è da considerarsi strutturalmente deficitario e soggetto ai controlli di cui all’art. </w:t>
      </w:r>
      <w:hyperlink r:id="rId93" w:history="1">
        <w:r>
          <w:rPr>
            <w:rStyle w:val="Collegamentoipertestuale"/>
            <w:color w:val="auto"/>
            <w:sz w:val="20"/>
          </w:rPr>
          <w:t>243</w:t>
        </w:r>
      </w:hyperlink>
      <w:r>
        <w:rPr>
          <w:sz w:val="20"/>
        </w:rPr>
        <w:t xml:space="preserve"> del Tuel.</w:t>
      </w:r>
    </w:p>
    <w:p w14:paraId="16AF983A" w14:textId="77777777" w:rsidR="009F183C" w:rsidRDefault="009F183C">
      <w:pPr>
        <w:rPr>
          <w:b/>
          <w:i/>
          <w:color w:val="0070C0"/>
          <w:sz w:val="20"/>
        </w:rPr>
      </w:pPr>
    </w:p>
    <w:p w14:paraId="696F9846" w14:textId="77777777" w:rsidR="009F183C" w:rsidRDefault="00757AA1">
      <w:pPr>
        <w:pStyle w:val="Titolo1"/>
        <w:shd w:val="clear" w:color="auto" w:fill="D6E3BC" w:themeFill="accent3" w:themeFillTint="66"/>
      </w:pPr>
      <w:bookmarkStart w:id="96" w:name="_Toc379377483"/>
      <w:bookmarkStart w:id="97" w:name="_Toc507691955"/>
      <w:r>
        <w:t>RESA DEL CONTO DEGLI AGENTI CONTABILI</w:t>
      </w:r>
      <w:bookmarkEnd w:id="96"/>
      <w:bookmarkEnd w:id="97"/>
    </w:p>
    <w:p w14:paraId="79319FE6" w14:textId="77777777" w:rsidR="009F183C" w:rsidRDefault="009F183C">
      <w:pPr>
        <w:rPr>
          <w:sz w:val="20"/>
        </w:rPr>
      </w:pPr>
    </w:p>
    <w:p w14:paraId="7FD03F06" w14:textId="2B376B3D" w:rsidR="009F183C" w:rsidRDefault="00757AA1">
      <w:pPr>
        <w:rPr>
          <w:sz w:val="20"/>
        </w:rPr>
      </w:pPr>
      <w:r>
        <w:rPr>
          <w:sz w:val="20"/>
        </w:rPr>
        <w:t xml:space="preserve">Che in attuazione dell’articoli 226 e 233 del Tuel i seguenti agenti contabili, hanno reso il conto della loro gestione, entro il 30 gennaio 2018, allegando i documenti di cui al secondo comma del citato art. </w:t>
      </w:r>
      <w:r w:rsidR="00C0640C">
        <w:rPr>
          <w:sz w:val="20"/>
        </w:rPr>
        <w:t>233:</w:t>
      </w:r>
    </w:p>
    <w:p w14:paraId="730ECEC6" w14:textId="77777777" w:rsidR="009F183C" w:rsidRDefault="00757AA1">
      <w:pPr>
        <w:tabs>
          <w:tab w:val="left" w:pos="2410"/>
        </w:tabs>
        <w:rPr>
          <w:sz w:val="20"/>
        </w:rPr>
      </w:pPr>
      <w:r>
        <w:rPr>
          <w:sz w:val="20"/>
        </w:rPr>
        <w:t>Tesoriere</w:t>
      </w:r>
      <w:r>
        <w:rPr>
          <w:sz w:val="20"/>
        </w:rPr>
        <w:tab/>
        <w:t>…..</w:t>
      </w:r>
      <w:r>
        <w:rPr>
          <w:sz w:val="20"/>
        </w:rPr>
        <w:tab/>
      </w:r>
      <w:r>
        <w:rPr>
          <w:sz w:val="20"/>
        </w:rPr>
        <w:tab/>
      </w:r>
      <w:r>
        <w:rPr>
          <w:sz w:val="20"/>
        </w:rPr>
        <w:tab/>
      </w:r>
    </w:p>
    <w:p w14:paraId="1A1F7D0A" w14:textId="77777777" w:rsidR="009F183C" w:rsidRDefault="00757AA1">
      <w:pPr>
        <w:tabs>
          <w:tab w:val="left" w:pos="2410"/>
        </w:tabs>
        <w:rPr>
          <w:sz w:val="20"/>
        </w:rPr>
      </w:pPr>
      <w:r>
        <w:rPr>
          <w:sz w:val="20"/>
        </w:rPr>
        <w:t xml:space="preserve">Economo </w:t>
      </w:r>
      <w:r>
        <w:rPr>
          <w:sz w:val="20"/>
        </w:rPr>
        <w:tab/>
        <w:t>…..</w:t>
      </w:r>
    </w:p>
    <w:p w14:paraId="450CACE4" w14:textId="77777777" w:rsidR="009F183C" w:rsidRDefault="00757AA1">
      <w:pPr>
        <w:tabs>
          <w:tab w:val="left" w:pos="2410"/>
        </w:tabs>
        <w:rPr>
          <w:sz w:val="20"/>
        </w:rPr>
      </w:pPr>
      <w:r>
        <w:rPr>
          <w:sz w:val="20"/>
        </w:rPr>
        <w:t>Riscuotitori speciali</w:t>
      </w:r>
      <w:r>
        <w:rPr>
          <w:sz w:val="20"/>
        </w:rPr>
        <w:tab/>
        <w:t xml:space="preserve">….. </w:t>
      </w:r>
    </w:p>
    <w:p w14:paraId="125192E1" w14:textId="77777777" w:rsidR="009F183C" w:rsidRDefault="00757AA1">
      <w:pPr>
        <w:tabs>
          <w:tab w:val="left" w:pos="2410"/>
        </w:tabs>
        <w:rPr>
          <w:sz w:val="20"/>
        </w:rPr>
      </w:pPr>
      <w:r>
        <w:rPr>
          <w:sz w:val="20"/>
        </w:rPr>
        <w:t xml:space="preserve">Altri agenti contabili…………… </w:t>
      </w:r>
    </w:p>
    <w:p w14:paraId="5E7C725D" w14:textId="77777777" w:rsidR="009F183C" w:rsidRDefault="00757AA1">
      <w:pPr>
        <w:tabs>
          <w:tab w:val="left" w:pos="2410"/>
        </w:tabs>
        <w:rPr>
          <w:sz w:val="20"/>
        </w:rPr>
      </w:pPr>
      <w:r>
        <w:rPr>
          <w:sz w:val="20"/>
        </w:rPr>
        <w:t>Concessionari</w:t>
      </w:r>
      <w:r>
        <w:rPr>
          <w:sz w:val="20"/>
        </w:rPr>
        <w:tab/>
        <w:t xml:space="preserve">….. </w:t>
      </w:r>
      <w:r>
        <w:rPr>
          <w:sz w:val="20"/>
        </w:rPr>
        <w:tab/>
      </w:r>
    </w:p>
    <w:p w14:paraId="673C5591" w14:textId="77777777" w:rsidR="009F183C" w:rsidRDefault="00757AA1">
      <w:pPr>
        <w:tabs>
          <w:tab w:val="left" w:pos="2410"/>
        </w:tabs>
        <w:rPr>
          <w:sz w:val="20"/>
        </w:rPr>
      </w:pPr>
      <w:r>
        <w:rPr>
          <w:sz w:val="20"/>
        </w:rPr>
        <w:t>Consegnatari azioni</w:t>
      </w:r>
      <w:r>
        <w:rPr>
          <w:sz w:val="20"/>
        </w:rPr>
        <w:tab/>
        <w:t>…..</w:t>
      </w:r>
    </w:p>
    <w:p w14:paraId="10AB7837" w14:textId="77777777" w:rsidR="009F183C" w:rsidRDefault="00757AA1">
      <w:pPr>
        <w:tabs>
          <w:tab w:val="left" w:pos="2410"/>
        </w:tabs>
        <w:rPr>
          <w:sz w:val="20"/>
        </w:rPr>
      </w:pPr>
      <w:r>
        <w:rPr>
          <w:sz w:val="20"/>
        </w:rPr>
        <w:t>Consegnatari beni</w:t>
      </w:r>
      <w:r>
        <w:rPr>
          <w:sz w:val="20"/>
        </w:rPr>
        <w:tab/>
        <w:t>…...</w:t>
      </w:r>
    </w:p>
    <w:p w14:paraId="1D2F95F9" w14:textId="77777777" w:rsidR="009F183C" w:rsidRDefault="00757AA1">
      <w:pPr>
        <w:pStyle w:val="Corpodeltesto3"/>
        <w:rPr>
          <w:rFonts w:cs="Arial"/>
          <w:i/>
        </w:rPr>
      </w:pPr>
      <w:r>
        <w:rPr>
          <w:rFonts w:cs="Arial"/>
          <w:i/>
        </w:rPr>
        <w:t>(eventuale)</w:t>
      </w:r>
    </w:p>
    <w:p w14:paraId="45992994" w14:textId="762AD63D" w:rsidR="009F183C" w:rsidRDefault="00757AA1">
      <w:pPr>
        <w:rPr>
          <w:sz w:val="20"/>
        </w:rPr>
      </w:pPr>
      <w:r>
        <w:rPr>
          <w:sz w:val="20"/>
        </w:rPr>
        <w:t>Alla data odierna non sono state presentate le rese del conto dei Concessionari ………..</w:t>
      </w:r>
      <w:r w:rsidR="00C0640C">
        <w:rPr>
          <w:sz w:val="20"/>
        </w:rPr>
        <w:t xml:space="preserve"> </w:t>
      </w:r>
      <w:r>
        <w:rPr>
          <w:sz w:val="20"/>
        </w:rPr>
        <w:t>e si invita pertanto l’ente a sollecitare la presentazione assegnando un termine. Nel caso di inadempimento entro il termine assegnato l’ente dovrà provvedere alla segnalazione alla Corte dei Conti.</w:t>
      </w:r>
    </w:p>
    <w:p w14:paraId="1FDCEE7B" w14:textId="77777777" w:rsidR="009F183C" w:rsidRDefault="009F183C">
      <w:pPr>
        <w:rPr>
          <w:sz w:val="20"/>
        </w:rPr>
      </w:pPr>
    </w:p>
    <w:p w14:paraId="79B5A4BE" w14:textId="77777777" w:rsidR="009F183C" w:rsidRDefault="009F183C">
      <w:pPr>
        <w:rPr>
          <w:sz w:val="20"/>
        </w:rPr>
      </w:pPr>
    </w:p>
    <w:p w14:paraId="487E18D7" w14:textId="77777777" w:rsidR="009F183C" w:rsidRDefault="009F183C">
      <w:pPr>
        <w:rPr>
          <w:sz w:val="20"/>
        </w:rPr>
      </w:pPr>
    </w:p>
    <w:p w14:paraId="288BC7D9" w14:textId="77777777" w:rsidR="009F183C" w:rsidRDefault="009F183C">
      <w:pPr>
        <w:rPr>
          <w:sz w:val="20"/>
        </w:rPr>
      </w:pPr>
    </w:p>
    <w:p w14:paraId="157E9E36" w14:textId="77777777" w:rsidR="009F183C" w:rsidRDefault="009F183C">
      <w:pPr>
        <w:rPr>
          <w:sz w:val="20"/>
        </w:rPr>
      </w:pPr>
    </w:p>
    <w:p w14:paraId="358830F2" w14:textId="77777777" w:rsidR="009F183C" w:rsidRDefault="009F183C">
      <w:pPr>
        <w:rPr>
          <w:sz w:val="20"/>
        </w:rPr>
      </w:pPr>
    </w:p>
    <w:p w14:paraId="44CA77A6" w14:textId="77777777" w:rsidR="009F183C" w:rsidRDefault="009F183C">
      <w:pPr>
        <w:rPr>
          <w:sz w:val="20"/>
        </w:rPr>
      </w:pPr>
    </w:p>
    <w:p w14:paraId="265CFCF0" w14:textId="77777777" w:rsidR="009F183C" w:rsidRDefault="009F183C">
      <w:pPr>
        <w:rPr>
          <w:sz w:val="20"/>
        </w:rPr>
      </w:pPr>
    </w:p>
    <w:p w14:paraId="586050AA" w14:textId="77777777" w:rsidR="009F183C" w:rsidRDefault="009F183C">
      <w:pPr>
        <w:rPr>
          <w:sz w:val="20"/>
        </w:rPr>
      </w:pPr>
    </w:p>
    <w:p w14:paraId="02035C8F" w14:textId="77777777" w:rsidR="009F183C" w:rsidRDefault="009F183C">
      <w:pPr>
        <w:rPr>
          <w:sz w:val="20"/>
        </w:rPr>
      </w:pPr>
    </w:p>
    <w:p w14:paraId="56028269" w14:textId="77777777" w:rsidR="009F183C" w:rsidRDefault="009F183C">
      <w:pPr>
        <w:rPr>
          <w:sz w:val="20"/>
        </w:rPr>
      </w:pPr>
    </w:p>
    <w:p w14:paraId="13235989" w14:textId="77777777" w:rsidR="009F183C" w:rsidRDefault="00757AA1">
      <w:pPr>
        <w:pStyle w:val="Titolo1"/>
        <w:shd w:val="clear" w:color="auto" w:fill="D6E3BC" w:themeFill="accent3" w:themeFillTint="66"/>
      </w:pPr>
      <w:bookmarkStart w:id="98" w:name="_Toc379377485"/>
      <w:bookmarkStart w:id="99" w:name="_Toc507691956"/>
      <w:r>
        <w:t>CONTO ECONOMICO</w:t>
      </w:r>
      <w:bookmarkEnd w:id="98"/>
      <w:bookmarkEnd w:id="99"/>
    </w:p>
    <w:p w14:paraId="4E2E9138" w14:textId="77777777" w:rsidR="009F183C" w:rsidRDefault="00757AA1">
      <w:pPr>
        <w:pStyle w:val="Corpodeltesto3"/>
        <w:numPr>
          <w:ilvl w:val="12"/>
          <w:numId w:val="0"/>
        </w:numPr>
        <w:rPr>
          <w:rFonts w:cs="Arial"/>
        </w:rPr>
      </w:pPr>
      <w:r>
        <w:rPr>
          <w:rFonts w:cs="Arial"/>
        </w:rPr>
        <w:t>Nel conto economico della gestione sono rilevati i componenti positivi e negativi secondo criteri di competenza economica così sintetizzati:</w:t>
      </w:r>
    </w:p>
    <w:p w14:paraId="6B85F0E0" w14:textId="77777777" w:rsidR="009F183C" w:rsidRDefault="00757AA1">
      <w:pPr>
        <w:pStyle w:val="Corpodeltesto3"/>
        <w:numPr>
          <w:ilvl w:val="12"/>
          <w:numId w:val="0"/>
        </w:numPr>
        <w:rPr>
          <w:rFonts w:cs="Arial"/>
        </w:rPr>
      </w:pPr>
      <w:r>
        <w:rPr>
          <w:rFonts w:cs="Arial"/>
        </w:rPr>
        <w:lastRenderedPageBreak/>
        <w:t>(</w:t>
      </w:r>
      <w:r>
        <w:rPr>
          <w:rFonts w:cs="Arial"/>
          <w:i/>
        </w:rPr>
        <w:t>per la compilazione del prospetto di conto economico si rimanda agli schemi di bilancio per il 2017 – rendiconto della gestione 2017 pubblicati sul sito di Arconet</w:t>
      </w:r>
    </w:p>
    <w:p w14:paraId="0C76B1EC" w14:textId="77777777" w:rsidR="009F183C" w:rsidRDefault="00000000">
      <w:pPr>
        <w:pStyle w:val="Corpodeltesto3"/>
        <w:numPr>
          <w:ilvl w:val="12"/>
          <w:numId w:val="0"/>
        </w:numPr>
        <w:rPr>
          <w:rFonts w:cs="Arial"/>
        </w:rPr>
      </w:pPr>
      <w:hyperlink r:id="rId94" w:history="1">
        <w:r w:rsidR="00757AA1">
          <w:rPr>
            <w:rStyle w:val="Collegamentoipertestuale"/>
            <w:rFonts w:cs="Arial"/>
          </w:rPr>
          <w:t>http://www.rgs.mef.gov.it/_Documenti/VERSIONE-I/e-GOVERNME1/ARCONET/SchemidiBilancio/decorrenza2017/All_10_RENDICONTO_DEFINITIVO.xls</w:t>
        </w:r>
      </w:hyperlink>
      <w:r w:rsidR="00757AA1">
        <w:rPr>
          <w:rFonts w:cs="Arial"/>
        </w:rPr>
        <w:t xml:space="preserve">   </w:t>
      </w:r>
    </w:p>
    <w:p w14:paraId="15F21AAC" w14:textId="2F75A900" w:rsidR="009F183C" w:rsidRPr="0096017F" w:rsidRDefault="00757AA1">
      <w:pPr>
        <w:pStyle w:val="Corpodeltesto3"/>
        <w:numPr>
          <w:ilvl w:val="12"/>
          <w:numId w:val="0"/>
        </w:numPr>
        <w:rPr>
          <w:rFonts w:cs="Arial"/>
          <w:i/>
        </w:rPr>
      </w:pPr>
      <w:r>
        <w:rPr>
          <w:rFonts w:cs="Arial"/>
          <w:i/>
        </w:rPr>
        <w:t>Allegato n.10 rendiconto della gestione  - foglio conto economico</w:t>
      </w:r>
      <w:r>
        <w:rPr>
          <w:rFonts w:cs="Arial"/>
        </w:rPr>
        <w:t>)</w:t>
      </w:r>
    </w:p>
    <w:p w14:paraId="03F5FCE6" w14:textId="77777777" w:rsidR="009F183C" w:rsidRDefault="009F183C">
      <w:pPr>
        <w:pStyle w:val="Corpodeltesto3"/>
        <w:numPr>
          <w:ilvl w:val="12"/>
          <w:numId w:val="0"/>
        </w:numPr>
        <w:rPr>
          <w:rFonts w:cs="Arial"/>
        </w:rPr>
      </w:pPr>
    </w:p>
    <w:p w14:paraId="3209F69B" w14:textId="77777777" w:rsidR="009F183C" w:rsidRDefault="00757AA1">
      <w:pPr>
        <w:pStyle w:val="Corpodeltesto3"/>
        <w:numPr>
          <w:ilvl w:val="12"/>
          <w:numId w:val="0"/>
        </w:numPr>
        <w:rPr>
          <w:rFonts w:cs="Arial"/>
        </w:rPr>
      </w:pPr>
      <w:r>
        <w:rPr>
          <w:rFonts w:cs="Arial"/>
        </w:rPr>
        <w:t>Il conto economico è stato formato sulla base del sistema contabile concomitante integrato con la contabilità finanziaria e con la rilevazione, con la tecnica della partita doppia delle scritture di assestamento e rettifica.</w:t>
      </w:r>
    </w:p>
    <w:p w14:paraId="43466B08" w14:textId="77777777" w:rsidR="009F183C" w:rsidRDefault="00757AA1">
      <w:pPr>
        <w:rPr>
          <w:rFonts w:cs="Arial"/>
          <w:sz w:val="20"/>
        </w:rPr>
      </w:pPr>
      <w:r>
        <w:rPr>
          <w:rFonts w:cs="Arial"/>
          <w:bCs/>
          <w:sz w:val="20"/>
        </w:rPr>
        <w:t>Nella predisposizione del conto economico sono stati rispettati i principi di competenza economica ed in particolare i criteri di valutazione e classificazione indicati nei punti da 4.1 a 4.36, del principio contabile applicato n.4/3</w:t>
      </w:r>
      <w:r>
        <w:rPr>
          <w:rFonts w:cs="Arial"/>
          <w:sz w:val="20"/>
        </w:rPr>
        <w:t>.</w:t>
      </w:r>
    </w:p>
    <w:p w14:paraId="7F84D9C2" w14:textId="29055AD6" w:rsidR="009F183C" w:rsidRDefault="00757AA1">
      <w:pPr>
        <w:numPr>
          <w:ilvl w:val="12"/>
          <w:numId w:val="0"/>
        </w:numPr>
        <w:jc w:val="left"/>
        <w:rPr>
          <w:rFonts w:cs="Arial"/>
          <w:sz w:val="20"/>
        </w:rPr>
      </w:pPr>
      <w:r>
        <w:rPr>
          <w:rFonts w:cs="Arial"/>
          <w:sz w:val="20"/>
        </w:rPr>
        <w:t xml:space="preserve">In merito al risultato economico conseguito nel 2017 si </w:t>
      </w:r>
      <w:r w:rsidR="00C0640C">
        <w:rPr>
          <w:rFonts w:cs="Arial"/>
          <w:sz w:val="20"/>
        </w:rPr>
        <w:t>rileva:</w:t>
      </w:r>
      <w:r>
        <w:rPr>
          <w:rFonts w:cs="Arial"/>
          <w:sz w:val="20"/>
        </w:rPr>
        <w:t>______</w:t>
      </w:r>
    </w:p>
    <w:p w14:paraId="26A2EF19" w14:textId="5BBD2F18" w:rsidR="009F183C" w:rsidRDefault="00757AA1">
      <w:pPr>
        <w:numPr>
          <w:ilvl w:val="12"/>
          <w:numId w:val="0"/>
        </w:numPr>
        <w:rPr>
          <w:rFonts w:cs="Arial"/>
          <w:sz w:val="20"/>
        </w:rPr>
      </w:pPr>
      <w:r>
        <w:rPr>
          <w:rFonts w:cs="Arial"/>
          <w:sz w:val="20"/>
        </w:rPr>
        <w:t>Il miglioramento/</w:t>
      </w:r>
      <w:r>
        <w:rPr>
          <w:rFonts w:cs="Arial"/>
          <w:iCs/>
          <w:sz w:val="20"/>
        </w:rPr>
        <w:t>peggioramento</w:t>
      </w:r>
      <w:r>
        <w:rPr>
          <w:rFonts w:cs="Arial"/>
          <w:i/>
          <w:iCs/>
          <w:sz w:val="20"/>
        </w:rPr>
        <w:t xml:space="preserve"> </w:t>
      </w:r>
      <w:r>
        <w:rPr>
          <w:rFonts w:cs="Arial"/>
          <w:sz w:val="20"/>
        </w:rPr>
        <w:t xml:space="preserve">del risultato della gestione (differenza fra componenti positivi e componenti </w:t>
      </w:r>
      <w:r w:rsidR="00C0640C">
        <w:rPr>
          <w:rFonts w:cs="Arial"/>
          <w:sz w:val="20"/>
        </w:rPr>
        <w:t>negativi) rispetto</w:t>
      </w:r>
      <w:r>
        <w:rPr>
          <w:rFonts w:cs="Arial"/>
          <w:sz w:val="20"/>
        </w:rPr>
        <w:t xml:space="preserve"> all’esercizio precedente è motivato dai seguenti elementi: ___________</w:t>
      </w:r>
    </w:p>
    <w:p w14:paraId="53BB633A" w14:textId="77777777" w:rsidR="009F183C" w:rsidRDefault="00757AA1">
      <w:pPr>
        <w:numPr>
          <w:ilvl w:val="12"/>
          <w:numId w:val="0"/>
        </w:numPr>
        <w:rPr>
          <w:rFonts w:cs="Arial"/>
          <w:sz w:val="20"/>
        </w:rPr>
      </w:pPr>
      <w:r>
        <w:rPr>
          <w:rFonts w:cs="Arial"/>
          <w:sz w:val="20"/>
        </w:rPr>
        <w:t>Il risultato economico depurato della parte straordinaria (area E), presenta un saldo di Euro ……….. con un miglioramento (o peggioramento)</w:t>
      </w:r>
      <w:r>
        <w:rPr>
          <w:rFonts w:cs="Arial"/>
          <w:b/>
          <w:i/>
          <w:sz w:val="20"/>
        </w:rPr>
        <w:t xml:space="preserve"> </w:t>
      </w:r>
      <w:r>
        <w:rPr>
          <w:rFonts w:cs="Arial"/>
          <w:sz w:val="20"/>
        </w:rPr>
        <w:t>dell’equilibrio economico di Euro …………… rispetto al risultato del precedente esercizio.</w:t>
      </w:r>
    </w:p>
    <w:p w14:paraId="56DA9D68" w14:textId="77777777" w:rsidR="009F183C" w:rsidRDefault="00757AA1">
      <w:pPr>
        <w:pStyle w:val="Corpodeltesto3"/>
        <w:numPr>
          <w:ilvl w:val="12"/>
          <w:numId w:val="0"/>
        </w:numPr>
        <w:rPr>
          <w:rFonts w:cs="Arial"/>
          <w:lang w:bidi="he-IL"/>
        </w:rPr>
      </w:pPr>
      <w:r>
        <w:rPr>
          <w:rFonts w:cs="Arial"/>
          <w:lang w:bidi="he-IL"/>
        </w:rPr>
        <w:t>L’organo di revisione ritiene che l’equilibrio economico sia un obiettivo essenziale ai fini della funzionalità dell’ente. La tendenza al pareggio economico della gestione ordinaria deve essere pertanto considerata un obiettivo da perseguire.</w:t>
      </w:r>
    </w:p>
    <w:p w14:paraId="1BD589DB" w14:textId="77777777" w:rsidR="009F183C" w:rsidRDefault="009F183C">
      <w:pPr>
        <w:numPr>
          <w:ilvl w:val="12"/>
          <w:numId w:val="0"/>
        </w:numPr>
        <w:rPr>
          <w:rFonts w:cs="Arial"/>
          <w:sz w:val="20"/>
        </w:rPr>
      </w:pPr>
    </w:p>
    <w:p w14:paraId="6A165FB0" w14:textId="77777777" w:rsidR="009F183C" w:rsidRDefault="00757AA1">
      <w:pPr>
        <w:numPr>
          <w:ilvl w:val="12"/>
          <w:numId w:val="0"/>
        </w:numPr>
        <w:rPr>
          <w:rFonts w:cs="Arial"/>
          <w:sz w:val="20"/>
        </w:rPr>
      </w:pPr>
      <w:r>
        <w:rPr>
          <w:rFonts w:cs="Arial"/>
          <w:sz w:val="20"/>
        </w:rPr>
        <w:t>I proventi da partecipazione indicati tra i proventi finanziari per euro……… , si riferiscono alle seguenti partecipazioni:</w:t>
      </w:r>
    </w:p>
    <w:p w14:paraId="7761C790" w14:textId="77777777" w:rsidR="009F183C" w:rsidRDefault="009F183C">
      <w:pPr>
        <w:numPr>
          <w:ilvl w:val="12"/>
          <w:numId w:val="0"/>
        </w:numPr>
        <w:rPr>
          <w:rFonts w:cs="Arial"/>
          <w:sz w:val="20"/>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3092"/>
        <w:gridCol w:w="3092"/>
      </w:tblGrid>
      <w:tr w:rsidR="009F183C" w14:paraId="257C5707" w14:textId="77777777">
        <w:trPr>
          <w:trHeight w:val="301"/>
        </w:trPr>
        <w:tc>
          <w:tcPr>
            <w:tcW w:w="3090" w:type="dxa"/>
            <w:shd w:val="clear" w:color="auto" w:fill="auto"/>
          </w:tcPr>
          <w:p w14:paraId="7D31DD57" w14:textId="77777777" w:rsidR="009F183C" w:rsidRDefault="00757AA1">
            <w:pPr>
              <w:numPr>
                <w:ilvl w:val="12"/>
                <w:numId w:val="0"/>
              </w:numPr>
              <w:rPr>
                <w:rFonts w:cs="Arial"/>
                <w:sz w:val="20"/>
              </w:rPr>
            </w:pPr>
            <w:r>
              <w:rPr>
                <w:rFonts w:cs="Arial"/>
                <w:sz w:val="20"/>
              </w:rPr>
              <w:t>società</w:t>
            </w:r>
          </w:p>
        </w:tc>
        <w:tc>
          <w:tcPr>
            <w:tcW w:w="3092" w:type="dxa"/>
            <w:shd w:val="clear" w:color="auto" w:fill="auto"/>
          </w:tcPr>
          <w:p w14:paraId="7D054086" w14:textId="77777777" w:rsidR="009F183C" w:rsidRDefault="00757AA1">
            <w:pPr>
              <w:numPr>
                <w:ilvl w:val="12"/>
                <w:numId w:val="0"/>
              </w:numPr>
              <w:rPr>
                <w:rFonts w:cs="Arial"/>
                <w:sz w:val="20"/>
              </w:rPr>
            </w:pPr>
            <w:r>
              <w:rPr>
                <w:rFonts w:cs="Arial"/>
                <w:sz w:val="20"/>
              </w:rPr>
              <w:t>% di partecipazione</w:t>
            </w:r>
          </w:p>
        </w:tc>
        <w:tc>
          <w:tcPr>
            <w:tcW w:w="3092" w:type="dxa"/>
            <w:shd w:val="clear" w:color="auto" w:fill="auto"/>
          </w:tcPr>
          <w:p w14:paraId="4D894080" w14:textId="77777777" w:rsidR="009F183C" w:rsidRDefault="00757AA1">
            <w:pPr>
              <w:numPr>
                <w:ilvl w:val="12"/>
                <w:numId w:val="0"/>
              </w:numPr>
              <w:rPr>
                <w:rFonts w:cs="Arial"/>
                <w:sz w:val="20"/>
              </w:rPr>
            </w:pPr>
            <w:r>
              <w:rPr>
                <w:rFonts w:cs="Arial"/>
                <w:sz w:val="20"/>
              </w:rPr>
              <w:t>Proventi</w:t>
            </w:r>
          </w:p>
        </w:tc>
      </w:tr>
      <w:tr w:rsidR="009F183C" w14:paraId="2D6B430D" w14:textId="77777777">
        <w:trPr>
          <w:trHeight w:val="301"/>
        </w:trPr>
        <w:tc>
          <w:tcPr>
            <w:tcW w:w="3090" w:type="dxa"/>
            <w:shd w:val="clear" w:color="auto" w:fill="auto"/>
          </w:tcPr>
          <w:p w14:paraId="2E2369EE" w14:textId="77777777" w:rsidR="009F183C" w:rsidRDefault="009F183C">
            <w:pPr>
              <w:numPr>
                <w:ilvl w:val="12"/>
                <w:numId w:val="0"/>
              </w:numPr>
              <w:rPr>
                <w:rFonts w:cs="Arial"/>
                <w:sz w:val="20"/>
              </w:rPr>
            </w:pPr>
          </w:p>
        </w:tc>
        <w:tc>
          <w:tcPr>
            <w:tcW w:w="3092" w:type="dxa"/>
            <w:shd w:val="clear" w:color="auto" w:fill="auto"/>
          </w:tcPr>
          <w:p w14:paraId="1FA3A6C1" w14:textId="77777777" w:rsidR="009F183C" w:rsidRDefault="009F183C">
            <w:pPr>
              <w:numPr>
                <w:ilvl w:val="12"/>
                <w:numId w:val="0"/>
              </w:numPr>
              <w:rPr>
                <w:rFonts w:cs="Arial"/>
                <w:sz w:val="20"/>
              </w:rPr>
            </w:pPr>
          </w:p>
        </w:tc>
        <w:tc>
          <w:tcPr>
            <w:tcW w:w="3092" w:type="dxa"/>
            <w:shd w:val="clear" w:color="auto" w:fill="auto"/>
          </w:tcPr>
          <w:p w14:paraId="6441050A" w14:textId="77777777" w:rsidR="009F183C" w:rsidRDefault="009F183C">
            <w:pPr>
              <w:numPr>
                <w:ilvl w:val="12"/>
                <w:numId w:val="0"/>
              </w:numPr>
              <w:rPr>
                <w:rFonts w:cs="Arial"/>
                <w:sz w:val="20"/>
              </w:rPr>
            </w:pPr>
          </w:p>
        </w:tc>
      </w:tr>
      <w:tr w:rsidR="009F183C" w14:paraId="349C9B84" w14:textId="77777777">
        <w:trPr>
          <w:trHeight w:val="301"/>
        </w:trPr>
        <w:tc>
          <w:tcPr>
            <w:tcW w:w="3090" w:type="dxa"/>
            <w:shd w:val="clear" w:color="auto" w:fill="auto"/>
          </w:tcPr>
          <w:p w14:paraId="06F80B37" w14:textId="77777777" w:rsidR="009F183C" w:rsidRDefault="009F183C">
            <w:pPr>
              <w:numPr>
                <w:ilvl w:val="12"/>
                <w:numId w:val="0"/>
              </w:numPr>
              <w:rPr>
                <w:rFonts w:cs="Arial"/>
                <w:sz w:val="20"/>
              </w:rPr>
            </w:pPr>
          </w:p>
        </w:tc>
        <w:tc>
          <w:tcPr>
            <w:tcW w:w="3092" w:type="dxa"/>
            <w:shd w:val="clear" w:color="auto" w:fill="auto"/>
          </w:tcPr>
          <w:p w14:paraId="74D2E703" w14:textId="77777777" w:rsidR="009F183C" w:rsidRDefault="009F183C">
            <w:pPr>
              <w:numPr>
                <w:ilvl w:val="12"/>
                <w:numId w:val="0"/>
              </w:numPr>
              <w:rPr>
                <w:rFonts w:cs="Arial"/>
                <w:sz w:val="20"/>
              </w:rPr>
            </w:pPr>
          </w:p>
        </w:tc>
        <w:tc>
          <w:tcPr>
            <w:tcW w:w="3092" w:type="dxa"/>
            <w:shd w:val="clear" w:color="auto" w:fill="auto"/>
          </w:tcPr>
          <w:p w14:paraId="59F55A78" w14:textId="77777777" w:rsidR="009F183C" w:rsidRDefault="009F183C">
            <w:pPr>
              <w:numPr>
                <w:ilvl w:val="12"/>
                <w:numId w:val="0"/>
              </w:numPr>
              <w:rPr>
                <w:rFonts w:cs="Arial"/>
                <w:sz w:val="20"/>
              </w:rPr>
            </w:pPr>
          </w:p>
        </w:tc>
      </w:tr>
      <w:tr w:rsidR="009F183C" w14:paraId="0C60E015" w14:textId="77777777">
        <w:trPr>
          <w:trHeight w:val="301"/>
        </w:trPr>
        <w:tc>
          <w:tcPr>
            <w:tcW w:w="3090" w:type="dxa"/>
            <w:shd w:val="clear" w:color="auto" w:fill="auto"/>
          </w:tcPr>
          <w:p w14:paraId="7706DC55" w14:textId="77777777" w:rsidR="009F183C" w:rsidRDefault="009F183C">
            <w:pPr>
              <w:numPr>
                <w:ilvl w:val="12"/>
                <w:numId w:val="0"/>
              </w:numPr>
              <w:rPr>
                <w:rFonts w:cs="Arial"/>
                <w:sz w:val="20"/>
              </w:rPr>
            </w:pPr>
          </w:p>
        </w:tc>
        <w:tc>
          <w:tcPr>
            <w:tcW w:w="3092" w:type="dxa"/>
            <w:shd w:val="clear" w:color="auto" w:fill="auto"/>
          </w:tcPr>
          <w:p w14:paraId="5D3FB0B9" w14:textId="77777777" w:rsidR="009F183C" w:rsidRDefault="009F183C">
            <w:pPr>
              <w:numPr>
                <w:ilvl w:val="12"/>
                <w:numId w:val="0"/>
              </w:numPr>
              <w:rPr>
                <w:rFonts w:cs="Arial"/>
                <w:sz w:val="20"/>
              </w:rPr>
            </w:pPr>
          </w:p>
        </w:tc>
        <w:tc>
          <w:tcPr>
            <w:tcW w:w="3092" w:type="dxa"/>
            <w:shd w:val="clear" w:color="auto" w:fill="auto"/>
          </w:tcPr>
          <w:p w14:paraId="6F6B8F2F" w14:textId="77777777" w:rsidR="009F183C" w:rsidRDefault="009F183C">
            <w:pPr>
              <w:numPr>
                <w:ilvl w:val="12"/>
                <w:numId w:val="0"/>
              </w:numPr>
              <w:rPr>
                <w:rFonts w:cs="Arial"/>
                <w:sz w:val="20"/>
              </w:rPr>
            </w:pPr>
          </w:p>
        </w:tc>
      </w:tr>
    </w:tbl>
    <w:p w14:paraId="7B814F94" w14:textId="77777777" w:rsidR="009F183C" w:rsidRDefault="009F183C">
      <w:pPr>
        <w:numPr>
          <w:ilvl w:val="12"/>
          <w:numId w:val="0"/>
        </w:numPr>
        <w:rPr>
          <w:rFonts w:cs="Arial"/>
          <w:sz w:val="20"/>
        </w:rPr>
      </w:pPr>
    </w:p>
    <w:p w14:paraId="2AD6EBAF" w14:textId="6E473FED" w:rsidR="009F183C" w:rsidRDefault="00757AA1">
      <w:pPr>
        <w:pStyle w:val="Testocommento"/>
        <w:numPr>
          <w:ilvl w:val="12"/>
          <w:numId w:val="0"/>
        </w:numPr>
        <w:spacing w:after="0"/>
        <w:rPr>
          <w:rFonts w:cs="Arial"/>
        </w:rPr>
      </w:pPr>
      <w:r>
        <w:rPr>
          <w:rFonts w:cs="Arial"/>
        </w:rPr>
        <w:t xml:space="preserve">Le quote di ammortamento sono state determinate sulla base dei coefficienti indicati al punto 4.18 </w:t>
      </w:r>
      <w:r w:rsidR="00C0640C">
        <w:rPr>
          <w:rFonts w:cs="Arial"/>
        </w:rPr>
        <w:t>del principio</w:t>
      </w:r>
      <w:r>
        <w:rPr>
          <w:rFonts w:cs="Arial"/>
        </w:rPr>
        <w:t xml:space="preserve"> contabile applicato 4/3 (o sulla base di……………………………………….).</w:t>
      </w:r>
    </w:p>
    <w:p w14:paraId="121C696D" w14:textId="77777777" w:rsidR="009F183C" w:rsidRDefault="00757AA1">
      <w:pPr>
        <w:pStyle w:val="Testocommento"/>
        <w:numPr>
          <w:ilvl w:val="12"/>
          <w:numId w:val="0"/>
        </w:numPr>
        <w:spacing w:after="0"/>
        <w:rPr>
          <w:rFonts w:cs="Arial"/>
        </w:rPr>
      </w:pPr>
      <w:r>
        <w:rPr>
          <w:rFonts w:cs="Arial"/>
        </w:rPr>
        <w:t>Le quote d’ammortamento sono rilevate nel registro dei beni ammortizzabili (o schede equivalenti);</w:t>
      </w:r>
    </w:p>
    <w:p w14:paraId="67052DB2" w14:textId="77777777" w:rsidR="009F183C" w:rsidRDefault="00757AA1">
      <w:pPr>
        <w:pStyle w:val="Testocommento"/>
        <w:numPr>
          <w:ilvl w:val="12"/>
          <w:numId w:val="0"/>
        </w:numPr>
        <w:rPr>
          <w:rFonts w:cs="Arial"/>
        </w:rPr>
      </w:pPr>
      <w:r>
        <w:rPr>
          <w:rFonts w:cs="Arial"/>
        </w:rPr>
        <w:t>Le quote di ammortamento rilevate negli ultimi tre esercizi sono le seguenti:</w:t>
      </w:r>
    </w:p>
    <w:p w14:paraId="4CB70138" w14:textId="77777777" w:rsidR="009F183C" w:rsidRDefault="009F183C">
      <w:pPr>
        <w:pStyle w:val="Testocommento"/>
        <w:numPr>
          <w:ilvl w:val="12"/>
          <w:numId w:val="0"/>
        </w:numPr>
        <w:rPr>
          <w:rFonts w:cs="Arial"/>
        </w:rPr>
      </w:pPr>
    </w:p>
    <w:bookmarkStart w:id="100" w:name="_MON_1519198693"/>
    <w:bookmarkEnd w:id="100"/>
    <w:p w14:paraId="23B6AF57" w14:textId="77777777" w:rsidR="009F183C" w:rsidRDefault="00757AA1">
      <w:pPr>
        <w:pStyle w:val="Testocommento"/>
        <w:numPr>
          <w:ilvl w:val="12"/>
          <w:numId w:val="0"/>
        </w:numPr>
        <w:rPr>
          <w:rFonts w:cs="Arial"/>
        </w:rPr>
      </w:pPr>
      <w:r>
        <w:rPr>
          <w:rFonts w:cs="Arial"/>
        </w:rPr>
        <w:object w:dxaOrig="6096" w:dyaOrig="1469" w14:anchorId="3CB5D2A1">
          <v:shape id="_x0000_i1065" type="#_x0000_t75" style="width:302.25pt;height:1in" o:ole="">
            <v:imagedata r:id="rId95" o:title=""/>
          </v:shape>
          <o:OLEObject Type="Embed" ProgID="Excel.Sheet.12" ShapeID="_x0000_i1065" DrawAspect="Content" ObjectID="_1780988576" r:id="rId96"/>
        </w:object>
      </w:r>
    </w:p>
    <w:p w14:paraId="327168F5" w14:textId="77777777" w:rsidR="009F183C" w:rsidRDefault="009F183C">
      <w:pPr>
        <w:pStyle w:val="Testocommento"/>
        <w:numPr>
          <w:ilvl w:val="12"/>
          <w:numId w:val="0"/>
        </w:numPr>
        <w:rPr>
          <w:rFonts w:cs="Arial"/>
        </w:rPr>
      </w:pPr>
    </w:p>
    <w:p w14:paraId="43D45C5D" w14:textId="77777777" w:rsidR="009F183C" w:rsidRDefault="00757AA1">
      <w:pPr>
        <w:pStyle w:val="Testocommento"/>
        <w:numPr>
          <w:ilvl w:val="12"/>
          <w:numId w:val="0"/>
        </w:numPr>
        <w:rPr>
          <w:rFonts w:cs="Arial"/>
        </w:rPr>
      </w:pPr>
      <w:r>
        <w:rPr>
          <w:rFonts w:cs="Arial"/>
        </w:rPr>
        <w:t>I proventi e gli oneri straordinari si riferiscono (</w:t>
      </w:r>
      <w:r>
        <w:rPr>
          <w:rFonts w:cs="Arial"/>
          <w:color w:val="548DD4" w:themeColor="text2" w:themeTint="99"/>
        </w:rPr>
        <w:t>eventuale</w:t>
      </w:r>
      <w:r>
        <w:rPr>
          <w:rFonts w:cs="Arial"/>
        </w:rPr>
        <w:t xml:space="preserve">): </w:t>
      </w:r>
    </w:p>
    <w:p w14:paraId="44E84210" w14:textId="77777777" w:rsidR="009F183C" w:rsidRDefault="009F183C">
      <w:pPr>
        <w:pStyle w:val="Testocommento"/>
        <w:numPr>
          <w:ilvl w:val="12"/>
          <w:numId w:val="0"/>
        </w:numPr>
        <w:rPr>
          <w:rFonts w:cs="Arial"/>
          <w:iCs/>
        </w:rPr>
      </w:pPr>
    </w:p>
    <w:p w14:paraId="1D3B3755" w14:textId="77777777" w:rsidR="009F183C" w:rsidRDefault="00757AA1">
      <w:pPr>
        <w:pStyle w:val="Corpodeltesto3"/>
        <w:numPr>
          <w:ilvl w:val="12"/>
          <w:numId w:val="0"/>
        </w:numPr>
        <w:rPr>
          <w:rFonts w:cs="Arial"/>
          <w:iCs/>
        </w:rPr>
      </w:pPr>
      <w:r>
        <w:rPr>
          <w:rFonts w:cs="Arial"/>
          <w:iCs/>
        </w:rPr>
        <w:t xml:space="preserve">Ai fini della verifica della esatta correlazione tra i dati del conto del bilancio e i risultati economici è stato effettuato il seguente riscontro: </w:t>
      </w:r>
    </w:p>
    <w:p w14:paraId="03C6715A" w14:textId="77777777" w:rsidR="009F183C" w:rsidRDefault="00757AA1">
      <w:pPr>
        <w:numPr>
          <w:ilvl w:val="0"/>
          <w:numId w:val="10"/>
        </w:numPr>
        <w:tabs>
          <w:tab w:val="left" w:pos="0"/>
        </w:tabs>
        <w:suppressAutoHyphens/>
        <w:rPr>
          <w:rFonts w:cs="Arial"/>
          <w:sz w:val="20"/>
        </w:rPr>
      </w:pPr>
      <w:r>
        <w:rPr>
          <w:rFonts w:cs="Arial"/>
          <w:sz w:val="20"/>
        </w:rPr>
        <w:lastRenderedPageBreak/>
        <w:t xml:space="preserve">rilevazione nella voce </w:t>
      </w:r>
      <w:r>
        <w:rPr>
          <w:rFonts w:cs="Arial"/>
          <w:i/>
          <w:iCs/>
          <w:sz w:val="20"/>
        </w:rPr>
        <w:t>E .24 c.</w:t>
      </w:r>
      <w:r>
        <w:rPr>
          <w:rFonts w:cs="Arial"/>
          <w:sz w:val="20"/>
        </w:rPr>
        <w:t xml:space="preserve"> del conto economico come “Insussistenze del passivo” dei minori residui passivi iscritti come debiti nel conto del patrimonio dell’anno precedente;</w:t>
      </w:r>
    </w:p>
    <w:p w14:paraId="6EF74962" w14:textId="77777777" w:rsidR="009F183C" w:rsidRDefault="00757AA1">
      <w:pPr>
        <w:numPr>
          <w:ilvl w:val="0"/>
          <w:numId w:val="10"/>
        </w:numPr>
        <w:tabs>
          <w:tab w:val="left" w:pos="0"/>
        </w:tabs>
        <w:suppressAutoHyphens/>
        <w:rPr>
          <w:rFonts w:cs="Arial"/>
          <w:sz w:val="20"/>
        </w:rPr>
      </w:pPr>
      <w:r>
        <w:rPr>
          <w:rFonts w:cs="Arial"/>
          <w:sz w:val="20"/>
        </w:rPr>
        <w:t xml:space="preserve">rilevazione nella voce E.24 c. del conto economico come “Sopravvenienze attive” dei maggiori residui attivi iscritti come crediti nel conto del patrimonio dell’anno precedente, nonché il valore delle immobilizzazioni acquisite gratuitamente; </w:t>
      </w:r>
    </w:p>
    <w:p w14:paraId="1FC71D94" w14:textId="77777777" w:rsidR="009F183C" w:rsidRDefault="00757AA1">
      <w:pPr>
        <w:numPr>
          <w:ilvl w:val="0"/>
          <w:numId w:val="10"/>
        </w:numPr>
        <w:tabs>
          <w:tab w:val="left" w:pos="0"/>
        </w:tabs>
        <w:suppressAutoHyphens/>
        <w:rPr>
          <w:rFonts w:cs="Arial"/>
          <w:sz w:val="20"/>
        </w:rPr>
      </w:pPr>
      <w:r>
        <w:rPr>
          <w:rFonts w:cs="Arial"/>
          <w:sz w:val="20"/>
        </w:rPr>
        <w:t xml:space="preserve">rilevazione nella voce </w:t>
      </w:r>
      <w:r>
        <w:rPr>
          <w:rFonts w:cs="Arial"/>
          <w:i/>
          <w:iCs/>
          <w:sz w:val="20"/>
        </w:rPr>
        <w:t xml:space="preserve">E. 25 b. </w:t>
      </w:r>
      <w:r>
        <w:rPr>
          <w:rFonts w:cs="Arial"/>
          <w:sz w:val="20"/>
        </w:rPr>
        <w:t>del conto economico come “Insussistenze dell’attivo” dei minori residui attivi iscritti come crediti nel conto del patrimonio dell’anno precedente;</w:t>
      </w:r>
    </w:p>
    <w:p w14:paraId="34C67CAD" w14:textId="77777777" w:rsidR="009F183C" w:rsidRDefault="00757AA1">
      <w:pPr>
        <w:numPr>
          <w:ilvl w:val="0"/>
          <w:numId w:val="10"/>
        </w:numPr>
        <w:tabs>
          <w:tab w:val="left" w:pos="0"/>
        </w:tabs>
        <w:suppressAutoHyphens/>
        <w:rPr>
          <w:rFonts w:cs="Arial"/>
          <w:sz w:val="20"/>
        </w:rPr>
      </w:pPr>
      <w:r>
        <w:rPr>
          <w:rFonts w:cs="Arial"/>
          <w:sz w:val="20"/>
        </w:rPr>
        <w:t>rilevazione di plusvalenze (</w:t>
      </w:r>
      <w:r>
        <w:rPr>
          <w:rFonts w:cs="Arial"/>
          <w:i/>
          <w:iCs/>
          <w:sz w:val="20"/>
        </w:rPr>
        <w:t>voce E.24 d.</w:t>
      </w:r>
      <w:r>
        <w:rPr>
          <w:rFonts w:cs="Arial"/>
          <w:sz w:val="20"/>
        </w:rPr>
        <w:t>) o minusvalenze (</w:t>
      </w:r>
      <w:r>
        <w:rPr>
          <w:rFonts w:cs="Arial"/>
          <w:i/>
          <w:iCs/>
          <w:sz w:val="20"/>
        </w:rPr>
        <w:t>voce E.25 c.</w:t>
      </w:r>
      <w:r>
        <w:rPr>
          <w:rFonts w:cs="Arial"/>
          <w:sz w:val="20"/>
        </w:rPr>
        <w:t>) patrimoniali riferite alla cessione di cespiti (pari alla differenza tra indennizzo o prezzo di cessione e valore contabile residuo);</w:t>
      </w:r>
    </w:p>
    <w:p w14:paraId="3DA9BE62" w14:textId="77777777" w:rsidR="009F183C" w:rsidRDefault="009F183C">
      <w:pPr>
        <w:numPr>
          <w:ilvl w:val="12"/>
          <w:numId w:val="0"/>
        </w:numPr>
        <w:spacing w:after="0"/>
        <w:rPr>
          <w:rFonts w:cs="Arial"/>
          <w:b/>
          <w:i/>
          <w:color w:val="0070C0"/>
          <w:sz w:val="18"/>
          <w:szCs w:val="16"/>
        </w:rPr>
      </w:pPr>
    </w:p>
    <w:p w14:paraId="33F97EA8" w14:textId="77777777" w:rsidR="009F183C" w:rsidRDefault="00757AA1">
      <w:pPr>
        <w:pStyle w:val="Titolo1"/>
        <w:pBdr>
          <w:top w:val="single" w:sz="4" w:space="4" w:color="auto" w:shadow="1"/>
        </w:pBdr>
        <w:shd w:val="clear" w:color="auto" w:fill="D6E3BC" w:themeFill="accent3" w:themeFillTint="66"/>
      </w:pPr>
      <w:bookmarkStart w:id="101" w:name="_Toc379377486"/>
      <w:bookmarkStart w:id="102" w:name="_Toc507691957"/>
      <w:r>
        <w:t>STATO PATRIMONIALE</w:t>
      </w:r>
      <w:bookmarkEnd w:id="101"/>
      <w:bookmarkEnd w:id="102"/>
    </w:p>
    <w:p w14:paraId="057CD0B2" w14:textId="0E2A2E08" w:rsidR="009F183C" w:rsidRDefault="00757AA1">
      <w:pPr>
        <w:pStyle w:val="Paragrafoelenco"/>
        <w:ind w:left="0"/>
        <w:rPr>
          <w:rFonts w:cs="Arial"/>
          <w:i/>
          <w:sz w:val="18"/>
          <w:szCs w:val="18"/>
        </w:rPr>
      </w:pPr>
      <w:r w:rsidRPr="0096017F">
        <w:rPr>
          <w:rFonts w:cs="Arial"/>
          <w:i/>
          <w:color w:val="00B0F0"/>
          <w:sz w:val="18"/>
          <w:szCs w:val="18"/>
        </w:rPr>
        <w:t>Per gli enti con popolazione inferiore a 5.000 abitanti che si sono avvalsi della facoltà di rinviare all’esercizio 2017 la tenuta della contabilità economico patrimoniale</w:t>
      </w:r>
    </w:p>
    <w:p w14:paraId="205EF217" w14:textId="77777777" w:rsidR="009F183C" w:rsidRPr="0096017F" w:rsidRDefault="009F183C">
      <w:pPr>
        <w:pStyle w:val="Paragrafoelenco"/>
        <w:ind w:left="0"/>
        <w:rPr>
          <w:rFonts w:cs="Arial"/>
          <w:i/>
          <w:sz w:val="18"/>
          <w:szCs w:val="18"/>
        </w:rPr>
      </w:pPr>
    </w:p>
    <w:p w14:paraId="757A2362" w14:textId="157D3630" w:rsidR="009F183C" w:rsidRDefault="00757AA1">
      <w:pPr>
        <w:pStyle w:val="Paragrafoelenco"/>
        <w:ind w:left="0"/>
        <w:rPr>
          <w:rFonts w:cs="Arial"/>
          <w:b/>
          <w:sz w:val="20"/>
        </w:rPr>
      </w:pPr>
      <w:r>
        <w:rPr>
          <w:rFonts w:cs="Arial"/>
          <w:sz w:val="20"/>
        </w:rPr>
        <w:t xml:space="preserve">L’ente ha provveduto sulla base del punto 9.1 del principio contabile applicato 4/3: </w:t>
      </w:r>
      <w:r>
        <w:rPr>
          <w:rFonts w:cs="Arial"/>
          <w:b/>
          <w:sz w:val="20"/>
        </w:rPr>
        <w:t xml:space="preserve"> </w:t>
      </w:r>
    </w:p>
    <w:p w14:paraId="69AC6E4B" w14:textId="77777777" w:rsidR="009F183C" w:rsidRDefault="009F183C">
      <w:pPr>
        <w:pStyle w:val="Paragrafoelenco"/>
        <w:ind w:left="0"/>
        <w:rPr>
          <w:rFonts w:cs="Arial"/>
          <w:b/>
          <w:sz w:val="20"/>
        </w:rPr>
      </w:pPr>
    </w:p>
    <w:p w14:paraId="171031A7" w14:textId="77777777" w:rsidR="009F183C" w:rsidRDefault="00757AA1">
      <w:pPr>
        <w:pStyle w:val="Paragrafoelenco"/>
        <w:numPr>
          <w:ilvl w:val="1"/>
          <w:numId w:val="19"/>
        </w:numPr>
        <w:ind w:left="284" w:hanging="284"/>
        <w:rPr>
          <w:rFonts w:cs="Arial"/>
          <w:sz w:val="20"/>
        </w:rPr>
      </w:pPr>
      <w:r>
        <w:rPr>
          <w:rFonts w:cs="Arial"/>
          <w:sz w:val="20"/>
        </w:rPr>
        <w:t xml:space="preserve">alla riclassificazione delle voci dello stato patrimoniale al 31/12/2016 – 01.01.2017 in base alla FAQ Arconet 22/2017; </w:t>
      </w:r>
    </w:p>
    <w:p w14:paraId="634D978D" w14:textId="77777777" w:rsidR="009F183C" w:rsidRDefault="00757AA1">
      <w:pPr>
        <w:pStyle w:val="Paragrafoelenco"/>
        <w:numPr>
          <w:ilvl w:val="0"/>
          <w:numId w:val="19"/>
        </w:numPr>
        <w:rPr>
          <w:rFonts w:cs="Arial"/>
          <w:sz w:val="20"/>
        </w:rPr>
      </w:pPr>
      <w:r>
        <w:rPr>
          <w:rFonts w:cs="Arial"/>
          <w:sz w:val="20"/>
        </w:rPr>
        <w:t>all’ applicazione dei nuovi criteri di valutazione dell’attivo e del passivo.</w:t>
      </w:r>
    </w:p>
    <w:p w14:paraId="32BBEBCB" w14:textId="77777777" w:rsidR="009F183C" w:rsidRDefault="00757AA1">
      <w:pPr>
        <w:rPr>
          <w:rFonts w:cs="Arial"/>
          <w:sz w:val="20"/>
        </w:rPr>
      </w:pPr>
      <w:r>
        <w:rPr>
          <w:rFonts w:cs="Arial"/>
          <w:sz w:val="20"/>
        </w:rPr>
        <w:t>I prospetti riguardanti l’inventario e lo stato patrimoniale al 1° gennaio dell’esercizio di avvio della nuova contabilità, riclassificati e rivalutati, con l’indicazione delle differenze di rivalutazione, sono allegati al rendiconto e saranno oggetto di approvazione del Consiglio in sede di approvazione del rendiconto dell’esercizio di avvio della contabilità economico patrimoniale, unitariamente ad un prospetto che evidenzia il raccordo tra la vecchia e la nuova classificazione.</w:t>
      </w:r>
    </w:p>
    <w:p w14:paraId="6E518FFA" w14:textId="797D09E2" w:rsidR="009F183C" w:rsidRDefault="00757AA1">
      <w:pPr>
        <w:rPr>
          <w:rFonts w:cs="Arial"/>
          <w:sz w:val="20"/>
        </w:rPr>
      </w:pPr>
      <w:r>
        <w:rPr>
          <w:rFonts w:cs="Arial"/>
          <w:sz w:val="20"/>
        </w:rPr>
        <w:t>Per effetto dei nuov</w:t>
      </w:r>
      <w:r w:rsidR="0096017F">
        <w:rPr>
          <w:rFonts w:cs="Arial"/>
          <w:sz w:val="20"/>
        </w:rPr>
        <w:t>i</w:t>
      </w:r>
      <w:r>
        <w:rPr>
          <w:rFonts w:cs="Arial"/>
          <w:sz w:val="20"/>
        </w:rPr>
        <w:t xml:space="preserve"> criteri di valutazione il patrimonio netto al 1/1/2017 risulta di euro……. </w:t>
      </w:r>
    </w:p>
    <w:p w14:paraId="4A0D63BA" w14:textId="77777777" w:rsidR="009F183C" w:rsidRDefault="009F183C">
      <w:pPr>
        <w:rPr>
          <w:rFonts w:ascii="Times New Roman" w:hAnsi="Times New Roman"/>
          <w:sz w:val="20"/>
        </w:rPr>
      </w:pPr>
    </w:p>
    <w:p w14:paraId="7EB7C4C9" w14:textId="77777777" w:rsidR="009F183C" w:rsidRPr="0096017F" w:rsidRDefault="00757AA1">
      <w:pPr>
        <w:pStyle w:val="Corpodeltesto3"/>
        <w:rPr>
          <w:rFonts w:cs="Arial"/>
          <w:i/>
          <w:color w:val="00B0F0"/>
        </w:rPr>
      </w:pPr>
      <w:r w:rsidRPr="0096017F">
        <w:rPr>
          <w:rFonts w:cs="Arial"/>
          <w:i/>
          <w:color w:val="00B0F0"/>
        </w:rPr>
        <w:t>Per tutti gli enti</w:t>
      </w:r>
    </w:p>
    <w:p w14:paraId="477316BA" w14:textId="77777777" w:rsidR="009F183C" w:rsidRDefault="00757AA1">
      <w:pPr>
        <w:rPr>
          <w:rFonts w:cs="Arial"/>
          <w:sz w:val="20"/>
        </w:rPr>
      </w:pPr>
      <w:r>
        <w:rPr>
          <w:rFonts w:cs="Arial"/>
          <w:sz w:val="20"/>
        </w:rPr>
        <w:t>L’ente (eventuale) non ha completato la valutazione dei seguenti beni patrimoniali che dovrà completare entro l’esercizio 2018: (motivare…………………………………………………)</w:t>
      </w:r>
    </w:p>
    <w:p w14:paraId="7D5A1B70" w14:textId="77777777" w:rsidR="009F183C" w:rsidRDefault="00757AA1">
      <w:pPr>
        <w:numPr>
          <w:ilvl w:val="12"/>
          <w:numId w:val="0"/>
        </w:numPr>
        <w:rPr>
          <w:rFonts w:cs="Arial"/>
          <w:sz w:val="20"/>
        </w:rPr>
      </w:pPr>
      <w:r>
        <w:rPr>
          <w:rFonts w:cs="Arial"/>
          <w:sz w:val="20"/>
        </w:rPr>
        <w:t>Nello stato patrimoniale sono rilevati gli elementi dell’attivo e del passivo, nonché le variazioni che gli elementi patrimoniali hanno subito per effetto della gestione.</w:t>
      </w:r>
    </w:p>
    <w:p w14:paraId="04DB8310" w14:textId="77777777" w:rsidR="009F183C" w:rsidRDefault="00757AA1">
      <w:pPr>
        <w:pStyle w:val="Corpodeltesto3"/>
        <w:numPr>
          <w:ilvl w:val="12"/>
          <w:numId w:val="0"/>
        </w:numPr>
        <w:tabs>
          <w:tab w:val="num" w:pos="360"/>
        </w:tabs>
        <w:rPr>
          <w:rFonts w:cs="Arial"/>
        </w:rPr>
      </w:pPr>
      <w:r>
        <w:rPr>
          <w:rFonts w:cs="Arial"/>
        </w:rPr>
        <w:t>I valori patrimoniali al 31/12/2017 e le variazioni rispetto all’ anno precedente sono così rilevati:</w:t>
      </w:r>
    </w:p>
    <w:p w14:paraId="743FBB86" w14:textId="77777777" w:rsidR="009F183C" w:rsidRDefault="009F183C">
      <w:pPr>
        <w:pStyle w:val="Corpodeltesto3"/>
        <w:numPr>
          <w:ilvl w:val="12"/>
          <w:numId w:val="0"/>
        </w:numPr>
        <w:tabs>
          <w:tab w:val="num" w:pos="360"/>
        </w:tabs>
        <w:rPr>
          <w:rFonts w:cs="Arial"/>
        </w:rPr>
      </w:pPr>
    </w:p>
    <w:p w14:paraId="4C0A0528" w14:textId="77777777" w:rsidR="009F183C" w:rsidRDefault="00757AA1">
      <w:pPr>
        <w:pStyle w:val="Corpodeltesto3"/>
        <w:numPr>
          <w:ilvl w:val="12"/>
          <w:numId w:val="0"/>
        </w:numPr>
        <w:rPr>
          <w:rFonts w:cs="Arial"/>
        </w:rPr>
      </w:pPr>
      <w:r>
        <w:rPr>
          <w:rFonts w:cs="Arial"/>
        </w:rPr>
        <w:t>(</w:t>
      </w:r>
      <w:r>
        <w:rPr>
          <w:rFonts w:cs="Arial"/>
          <w:i/>
        </w:rPr>
        <w:t>per la compilazione dei valori dello stato patrimoniale si rimanda agli schemi di bilancio per il 2017 – rendiconto della gestione 2017 pubblicati sul sito di Arconet</w:t>
      </w:r>
    </w:p>
    <w:p w14:paraId="3774A493" w14:textId="77777777" w:rsidR="009F183C" w:rsidRDefault="00000000">
      <w:pPr>
        <w:pStyle w:val="Corpodeltesto3"/>
        <w:numPr>
          <w:ilvl w:val="12"/>
          <w:numId w:val="0"/>
        </w:numPr>
        <w:rPr>
          <w:rFonts w:cs="Arial"/>
        </w:rPr>
      </w:pPr>
      <w:hyperlink r:id="rId97" w:history="1">
        <w:r w:rsidR="00757AA1">
          <w:rPr>
            <w:rStyle w:val="Collegamentoipertestuale"/>
            <w:rFonts w:cs="Arial"/>
          </w:rPr>
          <w:t>http://www.rgs.mef.gov.it/_Documenti/VERSIONE-I/e-GOVERNME1/ARCONET/SchemidiBilancio/decorrenza2017/All_10_RENDICONTO_DEFINITIVO.xls</w:t>
        </w:r>
      </w:hyperlink>
      <w:r w:rsidR="00757AA1">
        <w:rPr>
          <w:rFonts w:cs="Arial"/>
        </w:rPr>
        <w:t xml:space="preserve">   </w:t>
      </w:r>
    </w:p>
    <w:p w14:paraId="28BF3277" w14:textId="274B4999" w:rsidR="009F183C" w:rsidRPr="00F50CAB" w:rsidRDefault="00757AA1">
      <w:pPr>
        <w:pStyle w:val="Corpodeltesto3"/>
        <w:numPr>
          <w:ilvl w:val="12"/>
          <w:numId w:val="0"/>
        </w:numPr>
        <w:rPr>
          <w:rFonts w:cs="Arial"/>
          <w:i/>
        </w:rPr>
      </w:pPr>
      <w:r>
        <w:rPr>
          <w:rFonts w:cs="Arial"/>
          <w:i/>
        </w:rPr>
        <w:t xml:space="preserve">Allegato n.10 rendiconto della </w:t>
      </w:r>
      <w:r w:rsidR="00C0640C">
        <w:rPr>
          <w:rFonts w:cs="Arial"/>
          <w:i/>
        </w:rPr>
        <w:t>gestione -</w:t>
      </w:r>
      <w:r>
        <w:rPr>
          <w:rFonts w:cs="Arial"/>
          <w:i/>
        </w:rPr>
        <w:t xml:space="preserve"> foglio s</w:t>
      </w:r>
      <w:r w:rsidR="00C0640C">
        <w:rPr>
          <w:rFonts w:cs="Arial"/>
          <w:i/>
        </w:rPr>
        <w:t>.</w:t>
      </w:r>
      <w:r>
        <w:rPr>
          <w:rFonts w:cs="Arial"/>
          <w:i/>
        </w:rPr>
        <w:t>p</w:t>
      </w:r>
      <w:r w:rsidR="00C0640C">
        <w:rPr>
          <w:rFonts w:cs="Arial"/>
          <w:i/>
        </w:rPr>
        <w:t>.</w:t>
      </w:r>
      <w:r>
        <w:rPr>
          <w:rFonts w:cs="Arial"/>
          <w:i/>
        </w:rPr>
        <w:t xml:space="preserve"> attivo e foglio s</w:t>
      </w:r>
      <w:r w:rsidR="00C0640C">
        <w:rPr>
          <w:rFonts w:cs="Arial"/>
          <w:i/>
        </w:rPr>
        <w:t>.</w:t>
      </w:r>
      <w:r>
        <w:rPr>
          <w:rFonts w:cs="Arial"/>
          <w:i/>
        </w:rPr>
        <w:t>p</w:t>
      </w:r>
      <w:r w:rsidR="00C0640C">
        <w:rPr>
          <w:rFonts w:cs="Arial"/>
          <w:i/>
        </w:rPr>
        <w:t>.</w:t>
      </w:r>
      <w:r>
        <w:rPr>
          <w:rFonts w:cs="Arial"/>
          <w:i/>
        </w:rPr>
        <w:t xml:space="preserve"> passivo</w:t>
      </w:r>
      <w:r>
        <w:rPr>
          <w:rFonts w:cs="Arial"/>
        </w:rPr>
        <w:t>)</w:t>
      </w:r>
    </w:p>
    <w:p w14:paraId="49FFB57A" w14:textId="77777777" w:rsidR="009F183C" w:rsidRDefault="009F183C">
      <w:pPr>
        <w:pStyle w:val="Corpodeltesto3"/>
        <w:numPr>
          <w:ilvl w:val="12"/>
          <w:numId w:val="0"/>
        </w:numPr>
        <w:tabs>
          <w:tab w:val="num" w:pos="360"/>
        </w:tabs>
        <w:rPr>
          <w:rFonts w:cs="Arial"/>
        </w:rPr>
      </w:pPr>
    </w:p>
    <w:p w14:paraId="71E1F6A3" w14:textId="77777777" w:rsidR="009F183C" w:rsidRDefault="009F183C">
      <w:pPr>
        <w:pStyle w:val="Corpodeltesto3"/>
        <w:numPr>
          <w:ilvl w:val="12"/>
          <w:numId w:val="0"/>
        </w:numPr>
        <w:tabs>
          <w:tab w:val="num" w:pos="360"/>
        </w:tabs>
        <w:rPr>
          <w:rFonts w:cs="Arial"/>
        </w:rPr>
      </w:pPr>
    </w:p>
    <w:p w14:paraId="04BFCBF2" w14:textId="77777777" w:rsidR="009F183C" w:rsidRDefault="009F183C">
      <w:pPr>
        <w:pStyle w:val="Corpodeltesto3"/>
        <w:numPr>
          <w:ilvl w:val="12"/>
          <w:numId w:val="0"/>
        </w:numPr>
        <w:tabs>
          <w:tab w:val="num" w:pos="360"/>
        </w:tabs>
        <w:rPr>
          <w:rFonts w:cs="Arial"/>
        </w:rPr>
      </w:pPr>
    </w:p>
    <w:p w14:paraId="4CFFB8C9" w14:textId="77777777" w:rsidR="009F183C" w:rsidRDefault="009F183C">
      <w:pPr>
        <w:pStyle w:val="Corpodeltesto3"/>
        <w:numPr>
          <w:ilvl w:val="12"/>
          <w:numId w:val="0"/>
        </w:numPr>
        <w:tabs>
          <w:tab w:val="num" w:pos="360"/>
        </w:tabs>
        <w:rPr>
          <w:rFonts w:cs="Arial"/>
        </w:rPr>
      </w:pPr>
    </w:p>
    <w:p w14:paraId="0960E7DD" w14:textId="77777777" w:rsidR="009F183C" w:rsidRDefault="009F183C">
      <w:pPr>
        <w:pStyle w:val="Corpodeltesto3"/>
        <w:numPr>
          <w:ilvl w:val="12"/>
          <w:numId w:val="0"/>
        </w:numPr>
        <w:tabs>
          <w:tab w:val="num" w:pos="360"/>
        </w:tabs>
        <w:rPr>
          <w:rFonts w:cs="Arial"/>
        </w:rPr>
      </w:pPr>
    </w:p>
    <w:p w14:paraId="65ABD1E4" w14:textId="77777777" w:rsidR="009F183C" w:rsidRDefault="009F183C">
      <w:pPr>
        <w:pStyle w:val="Corpodeltesto3"/>
        <w:numPr>
          <w:ilvl w:val="12"/>
          <w:numId w:val="0"/>
        </w:numPr>
        <w:tabs>
          <w:tab w:val="num" w:pos="360"/>
        </w:tabs>
        <w:rPr>
          <w:rFonts w:cs="Arial"/>
        </w:rPr>
      </w:pPr>
    </w:p>
    <w:p w14:paraId="0BF3E8DC" w14:textId="77777777" w:rsidR="009F183C" w:rsidRDefault="00757AA1">
      <w:pPr>
        <w:numPr>
          <w:ilvl w:val="12"/>
          <w:numId w:val="0"/>
        </w:numPr>
        <w:rPr>
          <w:rFonts w:cs="Arial"/>
          <w:sz w:val="20"/>
        </w:rPr>
      </w:pPr>
      <w:r>
        <w:rPr>
          <w:rFonts w:cs="Arial"/>
          <w:sz w:val="20"/>
        </w:rPr>
        <w:t>La verifica degli elementi patrimoniali al 31/12/2017 ha evidenziato:</w:t>
      </w:r>
    </w:p>
    <w:p w14:paraId="2738EB28" w14:textId="77777777" w:rsidR="009F183C" w:rsidRDefault="00757AA1">
      <w:pPr>
        <w:tabs>
          <w:tab w:val="left" w:pos="0"/>
        </w:tabs>
        <w:suppressAutoHyphens/>
        <w:spacing w:before="240"/>
        <w:jc w:val="left"/>
        <w:rPr>
          <w:rFonts w:cs="Arial"/>
          <w:b/>
          <w:iCs/>
          <w:sz w:val="20"/>
          <w:u w:val="single"/>
        </w:rPr>
      </w:pPr>
      <w:r>
        <w:rPr>
          <w:rFonts w:cs="Arial"/>
          <w:b/>
          <w:iCs/>
          <w:sz w:val="20"/>
          <w:u w:val="single"/>
        </w:rPr>
        <w:t>ATTIVO</w:t>
      </w:r>
    </w:p>
    <w:p w14:paraId="4DA22FF4" w14:textId="77777777" w:rsidR="009F183C" w:rsidRDefault="00757AA1">
      <w:pPr>
        <w:tabs>
          <w:tab w:val="left" w:pos="0"/>
        </w:tabs>
        <w:suppressAutoHyphens/>
        <w:spacing w:before="240"/>
        <w:jc w:val="left"/>
        <w:rPr>
          <w:rFonts w:cs="Arial"/>
          <w:i/>
          <w:iCs/>
          <w:sz w:val="20"/>
          <w:u w:val="single"/>
        </w:rPr>
      </w:pPr>
      <w:r>
        <w:rPr>
          <w:rFonts w:cs="Arial"/>
          <w:i/>
          <w:iCs/>
          <w:sz w:val="20"/>
          <w:u w:val="single"/>
        </w:rPr>
        <w:lastRenderedPageBreak/>
        <w:t xml:space="preserve">Immobilizzazioni </w:t>
      </w:r>
    </w:p>
    <w:p w14:paraId="621675FC" w14:textId="77777777" w:rsidR="009F183C" w:rsidRDefault="00757AA1">
      <w:pPr>
        <w:numPr>
          <w:ilvl w:val="12"/>
          <w:numId w:val="0"/>
        </w:numPr>
        <w:tabs>
          <w:tab w:val="num" w:pos="360"/>
        </w:tabs>
        <w:rPr>
          <w:rFonts w:cs="Arial"/>
          <w:sz w:val="20"/>
        </w:rPr>
      </w:pPr>
      <w:r>
        <w:rPr>
          <w:rFonts w:cs="Arial"/>
          <w:sz w:val="20"/>
        </w:rPr>
        <w:t>Le immobilizzazioni iscritte nello stato patrimoniale sono state valutate in base ai criteri indicati nel punto 6.1 del principio contabile applicato 4/3</w:t>
      </w:r>
      <w:r>
        <w:rPr>
          <w:sz w:val="20"/>
        </w:rPr>
        <w:t xml:space="preserve"> </w:t>
      </w:r>
      <w:r>
        <w:rPr>
          <w:rFonts w:cs="Arial"/>
          <w:sz w:val="20"/>
        </w:rPr>
        <w:t>i valori iscritti trovano corrispondenza con quanto riportato nell’inventario e nelle scritture contabili.</w:t>
      </w:r>
    </w:p>
    <w:p w14:paraId="12B9364B" w14:textId="77777777" w:rsidR="009F183C" w:rsidRDefault="00757AA1">
      <w:pPr>
        <w:numPr>
          <w:ilvl w:val="12"/>
          <w:numId w:val="0"/>
        </w:numPr>
        <w:rPr>
          <w:rFonts w:cs="Arial"/>
          <w:sz w:val="20"/>
        </w:rPr>
      </w:pPr>
      <w:r>
        <w:rPr>
          <w:rFonts w:cs="Arial"/>
          <w:sz w:val="20"/>
        </w:rPr>
        <w:t xml:space="preserve">L’ente </w:t>
      </w:r>
      <w:r>
        <w:rPr>
          <w:rFonts w:cs="Arial"/>
          <w:b/>
          <w:sz w:val="20"/>
        </w:rPr>
        <w:t>si è dotato / non si è dotato</w:t>
      </w:r>
      <w:r>
        <w:rPr>
          <w:rFonts w:cs="Arial"/>
          <w:sz w:val="20"/>
        </w:rPr>
        <w:t xml:space="preserve"> di idonee procedure contabili per la compilazione e la tenuta dell’inventario: </w:t>
      </w:r>
      <w:r>
        <w:rPr>
          <w:rFonts w:cs="Arial"/>
          <w:b/>
          <w:sz w:val="20"/>
        </w:rPr>
        <w:t>esistono / non esistono</w:t>
      </w:r>
      <w:r>
        <w:rPr>
          <w:rFonts w:cs="Arial"/>
          <w:sz w:val="20"/>
        </w:rPr>
        <w:t xml:space="preserve"> rilevazioni sistematiche ed aggiornate sullo stato della effettiva consistenza del patrimonio dell’ente.</w:t>
      </w:r>
    </w:p>
    <w:p w14:paraId="66648461" w14:textId="77777777" w:rsidR="009F183C" w:rsidRDefault="00757AA1">
      <w:pPr>
        <w:numPr>
          <w:ilvl w:val="12"/>
          <w:numId w:val="0"/>
        </w:numPr>
        <w:rPr>
          <w:rFonts w:cs="Arial"/>
          <w:sz w:val="20"/>
        </w:rPr>
      </w:pPr>
      <w:r>
        <w:rPr>
          <w:rFonts w:cs="Arial"/>
          <w:sz w:val="20"/>
        </w:rPr>
        <w:t>A fine esercizio è stata effettuata la conciliazione fra inventario contabile e inventario fisico. I beni dichiarati fuori uso ammontano ad euro……………………………</w:t>
      </w:r>
    </w:p>
    <w:p w14:paraId="393772BA" w14:textId="77777777" w:rsidR="009F183C" w:rsidRDefault="00757AA1">
      <w:pPr>
        <w:numPr>
          <w:ilvl w:val="12"/>
          <w:numId w:val="0"/>
        </w:numPr>
        <w:rPr>
          <w:rFonts w:cs="Arial"/>
          <w:sz w:val="20"/>
        </w:rPr>
      </w:pPr>
      <w:r>
        <w:rPr>
          <w:rFonts w:cs="Arial"/>
          <w:sz w:val="20"/>
        </w:rPr>
        <w:t>I costi pluriennali capitalizzati iscritti nella voce B 9 dell’attivo patrimoniale concernono (esempio):</w:t>
      </w:r>
    </w:p>
    <w:p w14:paraId="1F391C38" w14:textId="77777777" w:rsidR="009F183C" w:rsidRDefault="00757AA1">
      <w:pPr>
        <w:numPr>
          <w:ilvl w:val="0"/>
          <w:numId w:val="6"/>
        </w:numPr>
        <w:tabs>
          <w:tab w:val="left" w:pos="3686"/>
          <w:tab w:val="right" w:pos="5529"/>
          <w:tab w:val="left" w:pos="5812"/>
          <w:tab w:val="right" w:pos="9072"/>
        </w:tabs>
        <w:ind w:left="357" w:hanging="357"/>
        <w:rPr>
          <w:rFonts w:cs="Arial"/>
          <w:iCs/>
          <w:sz w:val="20"/>
        </w:rPr>
      </w:pPr>
      <w:r>
        <w:rPr>
          <w:rFonts w:cs="Arial"/>
          <w:iCs/>
          <w:sz w:val="20"/>
        </w:rPr>
        <w:t>spese straordinarie su beni di terzi</w:t>
      </w:r>
      <w:r>
        <w:rPr>
          <w:rFonts w:cs="Arial"/>
          <w:iCs/>
          <w:sz w:val="20"/>
        </w:rPr>
        <w:tab/>
        <w:t xml:space="preserve">Euro </w:t>
      </w:r>
      <w:r>
        <w:rPr>
          <w:rFonts w:cs="Arial"/>
          <w:iCs/>
          <w:sz w:val="20"/>
        </w:rPr>
        <w:tab/>
        <w:t>___________</w:t>
      </w:r>
      <w:r>
        <w:rPr>
          <w:rFonts w:cs="Arial"/>
          <w:iCs/>
          <w:sz w:val="20"/>
        </w:rPr>
        <w:tab/>
        <w:t>anni di riparto del costo</w:t>
      </w:r>
      <w:r>
        <w:rPr>
          <w:rFonts w:cs="Arial"/>
          <w:iCs/>
          <w:sz w:val="20"/>
        </w:rPr>
        <w:tab/>
        <w:t>______</w:t>
      </w:r>
    </w:p>
    <w:p w14:paraId="6CFC513B" w14:textId="5FF968B1" w:rsidR="009F183C" w:rsidRDefault="00757AA1">
      <w:pPr>
        <w:numPr>
          <w:ilvl w:val="0"/>
          <w:numId w:val="6"/>
        </w:numPr>
        <w:tabs>
          <w:tab w:val="left" w:pos="3686"/>
          <w:tab w:val="right" w:pos="5529"/>
          <w:tab w:val="left" w:pos="5812"/>
          <w:tab w:val="right" w:pos="9072"/>
        </w:tabs>
        <w:ind w:left="357" w:hanging="357"/>
        <w:rPr>
          <w:rFonts w:cs="Arial"/>
          <w:iCs/>
          <w:sz w:val="20"/>
        </w:rPr>
      </w:pPr>
      <w:r>
        <w:rPr>
          <w:rFonts w:cs="Arial"/>
          <w:iCs/>
          <w:sz w:val="20"/>
        </w:rPr>
        <w:t>oneri accessori su finanziamenti       Euro____________     anni di riparto del costo        ------</w:t>
      </w:r>
    </w:p>
    <w:p w14:paraId="26C529D0" w14:textId="77777777" w:rsidR="009F183C" w:rsidRDefault="00757AA1">
      <w:pPr>
        <w:pStyle w:val="Corpodeltesto3"/>
        <w:rPr>
          <w:rFonts w:cs="Arial"/>
        </w:rPr>
      </w:pPr>
      <w:r>
        <w:rPr>
          <w:rFonts w:cs="Arial"/>
        </w:rPr>
        <w:t>Sulle migliorie di beni di terzi l’organo di revisione ha espresso il parere n…… del ……verificando la convenienza dell’ente come richiesto al punto 4.18 del principio contabile 4/3.</w:t>
      </w:r>
    </w:p>
    <w:p w14:paraId="188B92DF" w14:textId="77777777" w:rsidR="009F183C" w:rsidRDefault="00757AA1">
      <w:pPr>
        <w:rPr>
          <w:rFonts w:cs="Arial"/>
          <w:sz w:val="20"/>
        </w:rPr>
      </w:pPr>
      <w:r>
        <w:rPr>
          <w:rFonts w:cs="Arial"/>
          <w:sz w:val="20"/>
        </w:rPr>
        <w:t>Sono stati rilevati i seguenti fatti gestionali dell’esercizio riferiti al patrimonio immobiliare che non hanno dato luogo a transazioni monetarie (esempio):</w:t>
      </w:r>
    </w:p>
    <w:p w14:paraId="3D8E2C16" w14:textId="77777777" w:rsidR="009F183C" w:rsidRDefault="00757AA1">
      <w:pPr>
        <w:numPr>
          <w:ilvl w:val="0"/>
          <w:numId w:val="5"/>
        </w:numPr>
        <w:spacing w:after="0"/>
        <w:ind w:left="357" w:hanging="357"/>
        <w:rPr>
          <w:rFonts w:cs="Arial"/>
          <w:iCs/>
          <w:sz w:val="20"/>
        </w:rPr>
      </w:pPr>
      <w:r>
        <w:rPr>
          <w:rFonts w:cs="Arial"/>
          <w:iCs/>
          <w:sz w:val="20"/>
        </w:rPr>
        <w:t>permuta di beni</w:t>
      </w:r>
      <w:r>
        <w:rPr>
          <w:rFonts w:cs="Arial"/>
          <w:iCs/>
          <w:sz w:val="20"/>
        </w:rPr>
        <w:tab/>
      </w:r>
      <w:r>
        <w:rPr>
          <w:rFonts w:cs="Arial"/>
          <w:iCs/>
          <w:sz w:val="20"/>
        </w:rPr>
        <w:tab/>
      </w:r>
      <w:r>
        <w:rPr>
          <w:rFonts w:cs="Arial"/>
          <w:iCs/>
          <w:sz w:val="20"/>
        </w:rPr>
        <w:tab/>
      </w:r>
      <w:r>
        <w:rPr>
          <w:rFonts w:cs="Arial"/>
          <w:iCs/>
          <w:sz w:val="20"/>
        </w:rPr>
        <w:tab/>
        <w:t>Euro</w:t>
      </w:r>
      <w:r>
        <w:rPr>
          <w:rFonts w:cs="Arial"/>
          <w:iCs/>
          <w:sz w:val="20"/>
        </w:rPr>
        <w:tab/>
        <w:t>___________</w:t>
      </w:r>
    </w:p>
    <w:p w14:paraId="123E0EE1" w14:textId="77777777" w:rsidR="009F183C" w:rsidRDefault="00757AA1">
      <w:pPr>
        <w:numPr>
          <w:ilvl w:val="0"/>
          <w:numId w:val="5"/>
        </w:numPr>
        <w:spacing w:after="0"/>
        <w:ind w:left="357" w:hanging="357"/>
        <w:rPr>
          <w:rFonts w:cs="Arial"/>
          <w:iCs/>
          <w:sz w:val="20"/>
        </w:rPr>
      </w:pPr>
      <w:r>
        <w:rPr>
          <w:rFonts w:cs="Arial"/>
          <w:iCs/>
          <w:sz w:val="20"/>
        </w:rPr>
        <w:t>conferimento di beni</w:t>
      </w:r>
      <w:r>
        <w:rPr>
          <w:rFonts w:cs="Arial"/>
          <w:iCs/>
          <w:sz w:val="20"/>
        </w:rPr>
        <w:tab/>
      </w:r>
      <w:r>
        <w:rPr>
          <w:rFonts w:cs="Arial"/>
          <w:iCs/>
          <w:sz w:val="20"/>
        </w:rPr>
        <w:tab/>
      </w:r>
      <w:r>
        <w:rPr>
          <w:rFonts w:cs="Arial"/>
          <w:iCs/>
          <w:sz w:val="20"/>
        </w:rPr>
        <w:tab/>
        <w:t>Euro</w:t>
      </w:r>
      <w:r>
        <w:rPr>
          <w:rFonts w:cs="Arial"/>
          <w:iCs/>
          <w:sz w:val="20"/>
        </w:rPr>
        <w:tab/>
        <w:t>___________</w:t>
      </w:r>
    </w:p>
    <w:p w14:paraId="71CD7AC4" w14:textId="77777777" w:rsidR="009F183C" w:rsidRDefault="00757AA1">
      <w:pPr>
        <w:numPr>
          <w:ilvl w:val="0"/>
          <w:numId w:val="5"/>
        </w:numPr>
        <w:spacing w:after="0"/>
        <w:ind w:left="357" w:hanging="357"/>
        <w:rPr>
          <w:rFonts w:cs="Arial"/>
          <w:iCs/>
          <w:sz w:val="20"/>
        </w:rPr>
      </w:pPr>
      <w:r>
        <w:rPr>
          <w:rFonts w:cs="Arial"/>
          <w:iCs/>
          <w:sz w:val="20"/>
        </w:rPr>
        <w:t>acquisti gratuiti</w:t>
      </w:r>
      <w:r>
        <w:rPr>
          <w:rFonts w:cs="Arial"/>
          <w:iCs/>
          <w:sz w:val="20"/>
        </w:rPr>
        <w:tab/>
      </w:r>
      <w:r>
        <w:rPr>
          <w:rFonts w:cs="Arial"/>
          <w:iCs/>
          <w:sz w:val="20"/>
        </w:rPr>
        <w:tab/>
      </w:r>
      <w:r>
        <w:rPr>
          <w:rFonts w:cs="Arial"/>
          <w:iCs/>
          <w:sz w:val="20"/>
        </w:rPr>
        <w:tab/>
      </w:r>
      <w:r>
        <w:rPr>
          <w:rFonts w:cs="Arial"/>
          <w:iCs/>
          <w:sz w:val="20"/>
        </w:rPr>
        <w:tab/>
        <w:t>Euro</w:t>
      </w:r>
      <w:r>
        <w:rPr>
          <w:rFonts w:cs="Arial"/>
          <w:iCs/>
          <w:sz w:val="20"/>
        </w:rPr>
        <w:tab/>
        <w:t>___________</w:t>
      </w:r>
    </w:p>
    <w:p w14:paraId="72EBB7C6" w14:textId="77777777" w:rsidR="009F183C" w:rsidRDefault="00757AA1">
      <w:pPr>
        <w:numPr>
          <w:ilvl w:val="0"/>
          <w:numId w:val="5"/>
        </w:numPr>
        <w:spacing w:after="0"/>
        <w:ind w:left="357" w:hanging="357"/>
        <w:rPr>
          <w:rFonts w:cs="Arial"/>
          <w:iCs/>
          <w:sz w:val="20"/>
        </w:rPr>
      </w:pPr>
      <w:r>
        <w:rPr>
          <w:rFonts w:cs="Arial"/>
          <w:iCs/>
          <w:sz w:val="20"/>
        </w:rPr>
        <w:t>donazioni ottenute</w:t>
      </w:r>
      <w:r>
        <w:rPr>
          <w:rFonts w:cs="Arial"/>
          <w:iCs/>
          <w:sz w:val="20"/>
        </w:rPr>
        <w:tab/>
      </w:r>
      <w:r>
        <w:rPr>
          <w:rFonts w:cs="Arial"/>
          <w:iCs/>
          <w:sz w:val="20"/>
        </w:rPr>
        <w:tab/>
      </w:r>
      <w:r>
        <w:rPr>
          <w:rFonts w:cs="Arial"/>
          <w:iCs/>
          <w:sz w:val="20"/>
        </w:rPr>
        <w:tab/>
      </w:r>
      <w:r>
        <w:rPr>
          <w:rFonts w:cs="Arial"/>
          <w:iCs/>
          <w:sz w:val="20"/>
        </w:rPr>
        <w:tab/>
        <w:t>Euro</w:t>
      </w:r>
      <w:r>
        <w:rPr>
          <w:rFonts w:cs="Arial"/>
          <w:iCs/>
          <w:sz w:val="20"/>
        </w:rPr>
        <w:tab/>
        <w:t>___________</w:t>
      </w:r>
    </w:p>
    <w:p w14:paraId="57F60976" w14:textId="77777777" w:rsidR="009F183C" w:rsidRDefault="00757AA1">
      <w:pPr>
        <w:numPr>
          <w:ilvl w:val="0"/>
          <w:numId w:val="5"/>
        </w:numPr>
        <w:spacing w:after="0"/>
        <w:ind w:left="357" w:hanging="357"/>
        <w:rPr>
          <w:rFonts w:cs="Arial"/>
          <w:iCs/>
          <w:sz w:val="20"/>
        </w:rPr>
      </w:pPr>
      <w:r>
        <w:rPr>
          <w:rFonts w:cs="Arial"/>
          <w:iCs/>
          <w:sz w:val="20"/>
        </w:rPr>
        <w:t>opere a scomputo di contributi concessori</w:t>
      </w:r>
      <w:r>
        <w:rPr>
          <w:rFonts w:cs="Arial"/>
          <w:iCs/>
          <w:sz w:val="20"/>
        </w:rPr>
        <w:tab/>
        <w:t>Euro</w:t>
      </w:r>
      <w:r>
        <w:rPr>
          <w:rFonts w:cs="Arial"/>
          <w:iCs/>
          <w:sz w:val="20"/>
        </w:rPr>
        <w:tab/>
        <w:t>___________</w:t>
      </w:r>
    </w:p>
    <w:p w14:paraId="14D5C850" w14:textId="77777777" w:rsidR="009F183C" w:rsidRDefault="00757AA1">
      <w:pPr>
        <w:numPr>
          <w:ilvl w:val="0"/>
          <w:numId w:val="5"/>
        </w:numPr>
        <w:spacing w:after="0"/>
        <w:ind w:left="357" w:hanging="357"/>
        <w:rPr>
          <w:rFonts w:cs="Arial"/>
          <w:iCs/>
          <w:sz w:val="20"/>
        </w:rPr>
      </w:pPr>
      <w:r>
        <w:rPr>
          <w:rFonts w:cs="Arial"/>
          <w:iCs/>
          <w:sz w:val="20"/>
        </w:rPr>
        <w:t>dismissione di cespiti</w:t>
      </w:r>
      <w:r>
        <w:rPr>
          <w:rFonts w:cs="Arial"/>
          <w:iCs/>
          <w:sz w:val="20"/>
        </w:rPr>
        <w:tab/>
      </w:r>
      <w:r>
        <w:rPr>
          <w:rFonts w:cs="Arial"/>
          <w:iCs/>
          <w:sz w:val="20"/>
        </w:rPr>
        <w:tab/>
      </w:r>
      <w:r>
        <w:rPr>
          <w:rFonts w:cs="Arial"/>
          <w:iCs/>
          <w:sz w:val="20"/>
        </w:rPr>
        <w:tab/>
        <w:t>Euro</w:t>
      </w:r>
      <w:r>
        <w:rPr>
          <w:rFonts w:cs="Arial"/>
          <w:iCs/>
          <w:sz w:val="20"/>
        </w:rPr>
        <w:tab/>
        <w:t>___________</w:t>
      </w:r>
    </w:p>
    <w:p w14:paraId="687273BC" w14:textId="77777777" w:rsidR="009F183C" w:rsidRDefault="009F183C">
      <w:pPr>
        <w:numPr>
          <w:ilvl w:val="12"/>
          <w:numId w:val="0"/>
        </w:numPr>
        <w:rPr>
          <w:rFonts w:cs="Arial"/>
          <w:sz w:val="20"/>
        </w:rPr>
      </w:pPr>
    </w:p>
    <w:p w14:paraId="09CEE8DD" w14:textId="77777777" w:rsidR="009F183C" w:rsidRDefault="00757AA1">
      <w:pPr>
        <w:numPr>
          <w:ilvl w:val="12"/>
          <w:numId w:val="0"/>
        </w:numPr>
        <w:rPr>
          <w:rFonts w:cs="Arial"/>
          <w:sz w:val="20"/>
        </w:rPr>
      </w:pPr>
      <w:r>
        <w:rPr>
          <w:rFonts w:cs="Arial"/>
          <w:sz w:val="20"/>
        </w:rPr>
        <w:t>Le immobilizzazioni finanziarie riferite alle partecipazioni sono state valutate col criterio indicato al punto 6.1.3 del principio contabile applicato 4/3.</w:t>
      </w:r>
    </w:p>
    <w:p w14:paraId="61C81989" w14:textId="55FA609F" w:rsidR="009F183C" w:rsidRDefault="00757AA1">
      <w:pPr>
        <w:numPr>
          <w:ilvl w:val="12"/>
          <w:numId w:val="0"/>
        </w:numPr>
        <w:rPr>
          <w:rFonts w:cs="Arial"/>
          <w:sz w:val="20"/>
        </w:rPr>
      </w:pPr>
      <w:r>
        <w:rPr>
          <w:rFonts w:cs="Arial"/>
          <w:sz w:val="20"/>
        </w:rPr>
        <w:t xml:space="preserve">Le partecipazioni in società controllate e partecipate sono valutate in base al “metodo del patrimonio netto” di cui all’art.2426 n. 4 </w:t>
      </w:r>
      <w:r w:rsidR="00C0640C">
        <w:rPr>
          <w:rFonts w:cs="Arial"/>
          <w:sz w:val="20"/>
        </w:rPr>
        <w:t>C.C.</w:t>
      </w:r>
      <w:r>
        <w:rPr>
          <w:rFonts w:cs="Arial"/>
          <w:sz w:val="20"/>
        </w:rPr>
        <w:t xml:space="preserve"> A tal fine, l’utile o la perdita d’esercizio della partecipata, debitamente rettificato, per la quota di pertinenza, è portato al conto economico, ed ha come contropartita, nello stato patrimoniale, l’incremento o la riduzione della partecipazione azionaria. Nell’esercizio successivo, a seguito dell’approvazione del rendiconto della gestione, gli eventuali utili derivanti dall’applicazione del metodo del patrimonio netto devono determinare l’iscrizione di una specifica riserva del patrimonio netto vincolata all’utilizzo del metodo del patrimonio.</w:t>
      </w:r>
    </w:p>
    <w:p w14:paraId="54887FE6" w14:textId="77777777" w:rsidR="009F183C" w:rsidRDefault="00757AA1">
      <w:pPr>
        <w:tabs>
          <w:tab w:val="left" w:pos="0"/>
        </w:tabs>
        <w:suppressAutoHyphens/>
        <w:spacing w:before="120"/>
        <w:jc w:val="left"/>
        <w:rPr>
          <w:rFonts w:cs="Arial"/>
          <w:i/>
          <w:iCs/>
          <w:sz w:val="20"/>
          <w:u w:val="single"/>
        </w:rPr>
      </w:pPr>
      <w:r>
        <w:rPr>
          <w:rFonts w:cs="Arial"/>
          <w:i/>
          <w:iCs/>
          <w:sz w:val="20"/>
          <w:u w:val="single"/>
        </w:rPr>
        <w:t xml:space="preserve">Crediti </w:t>
      </w:r>
    </w:p>
    <w:p w14:paraId="139F804F" w14:textId="6020EAF4" w:rsidR="009F183C" w:rsidRDefault="00C0640C">
      <w:pPr>
        <w:pStyle w:val="Corpodeltesto3"/>
        <w:tabs>
          <w:tab w:val="left" w:pos="0"/>
        </w:tabs>
        <w:suppressAutoHyphens/>
        <w:rPr>
          <w:rFonts w:cs="Arial"/>
        </w:rPr>
      </w:pPr>
      <w:r>
        <w:rPr>
          <w:rFonts w:cs="Arial"/>
        </w:rPr>
        <w:t>È</w:t>
      </w:r>
      <w:r w:rsidR="00757AA1">
        <w:rPr>
          <w:rFonts w:cs="Arial"/>
        </w:rPr>
        <w:t xml:space="preserve"> stata verificata la conciliazione tra residui attivi diversi da quelli di finanziamento e l’ammontare dei crediti di funzionamento, come indicato al punto 6.2b1 del principio contabile applicato 4/3, nonché tra il fondo crediti di dubbia esigibilità e il fondo svalutazione crediti.</w:t>
      </w:r>
    </w:p>
    <w:p w14:paraId="690A23CC" w14:textId="77777777" w:rsidR="009F183C" w:rsidRDefault="00757AA1">
      <w:pPr>
        <w:pStyle w:val="Corpodeltesto3"/>
        <w:tabs>
          <w:tab w:val="left" w:pos="0"/>
        </w:tabs>
        <w:suppressAutoHyphens/>
        <w:rPr>
          <w:rFonts w:cs="Arial"/>
        </w:rPr>
      </w:pPr>
      <w:r>
        <w:rPr>
          <w:rFonts w:cs="Arial"/>
        </w:rPr>
        <w:t>Il fondo svalutazione crediti pari a euro ……………………….è stato portato in detrazione delle voci di credito a cui si riferisce.</w:t>
      </w:r>
    </w:p>
    <w:p w14:paraId="450C45CA" w14:textId="11417BDA" w:rsidR="009F183C" w:rsidRDefault="00757AA1">
      <w:pPr>
        <w:pStyle w:val="Paragrafoelenco1"/>
        <w:spacing w:line="240" w:lineRule="auto"/>
        <w:ind w:left="0"/>
        <w:jc w:val="both"/>
        <w:rPr>
          <w:rFonts w:ascii="Arial" w:hAnsi="Arial" w:cs="Arial"/>
          <w:sz w:val="20"/>
          <w:szCs w:val="20"/>
        </w:rPr>
      </w:pPr>
      <w:r>
        <w:rPr>
          <w:rFonts w:ascii="Arial" w:hAnsi="Arial" w:cs="Arial"/>
          <w:sz w:val="20"/>
          <w:szCs w:val="20"/>
        </w:rPr>
        <w:t xml:space="preserve">In contabilità economico-patrimoniale, sono conservati anche i crediti stralciati dalla contabilità finanziaria </w:t>
      </w:r>
      <w:r w:rsidR="00C0640C">
        <w:rPr>
          <w:rFonts w:ascii="Arial" w:hAnsi="Arial" w:cs="Arial"/>
          <w:sz w:val="20"/>
          <w:szCs w:val="20"/>
        </w:rPr>
        <w:t>e</w:t>
      </w:r>
      <w:r>
        <w:rPr>
          <w:rFonts w:ascii="Arial" w:hAnsi="Arial" w:cs="Arial"/>
          <w:sz w:val="20"/>
          <w:szCs w:val="20"/>
        </w:rPr>
        <w:t xml:space="preserve">, in corrispondenza di questi ultimi, deve essere iscritto in contabilità economico-patrimoniale un fondo pari al loro ammontare, come indicato al punto 6.2b1 del principio contabile applicato 4/3. </w:t>
      </w:r>
    </w:p>
    <w:p w14:paraId="02DE39D1" w14:textId="77777777" w:rsidR="009F183C" w:rsidRDefault="00757AA1">
      <w:pPr>
        <w:widowControl/>
        <w:overflowPunct/>
        <w:autoSpaceDE/>
        <w:autoSpaceDN/>
        <w:adjustRightInd/>
        <w:spacing w:after="0"/>
        <w:jc w:val="left"/>
        <w:textAlignment w:val="auto"/>
        <w:rPr>
          <w:rFonts w:cs="Arial"/>
          <w:iCs/>
          <w:sz w:val="20"/>
        </w:rPr>
      </w:pPr>
      <w:r>
        <w:rPr>
          <w:rFonts w:cs="Arial"/>
          <w:iCs/>
          <w:sz w:val="20"/>
        </w:rPr>
        <w:t>Il debito annuale IVA è imputato nell'esercizio in cui è effettuata la dichiarazione.</w:t>
      </w:r>
    </w:p>
    <w:p w14:paraId="225CBBD4" w14:textId="77777777" w:rsidR="009F183C" w:rsidRDefault="00757AA1">
      <w:pPr>
        <w:widowControl/>
        <w:overflowPunct/>
        <w:autoSpaceDE/>
        <w:autoSpaceDN/>
        <w:adjustRightInd/>
        <w:spacing w:after="0"/>
        <w:jc w:val="left"/>
        <w:textAlignment w:val="auto"/>
        <w:rPr>
          <w:rFonts w:cs="Arial"/>
          <w:iCs/>
          <w:sz w:val="20"/>
        </w:rPr>
      </w:pPr>
      <w:r>
        <w:rPr>
          <w:rFonts w:cs="Arial"/>
          <w:iCs/>
          <w:sz w:val="20"/>
        </w:rPr>
        <w:t>Il credito IVA è imputo nell'esercizio in cui è stata effettuata la compensazione o è stata presentata la richiesta di rimborso.</w:t>
      </w:r>
    </w:p>
    <w:p w14:paraId="5A9E70A2" w14:textId="77777777" w:rsidR="009F183C" w:rsidRDefault="00757AA1">
      <w:pPr>
        <w:widowControl/>
        <w:overflowPunct/>
        <w:autoSpaceDE/>
        <w:autoSpaceDN/>
        <w:adjustRightInd/>
        <w:spacing w:after="0"/>
        <w:jc w:val="left"/>
        <w:textAlignment w:val="auto"/>
        <w:rPr>
          <w:rFonts w:cs="Arial"/>
          <w:iCs/>
          <w:sz w:val="20"/>
        </w:rPr>
      </w:pPr>
      <w:r>
        <w:rPr>
          <w:rFonts w:cs="Arial"/>
          <w:iCs/>
          <w:sz w:val="20"/>
        </w:rPr>
        <w:t>Il credito IVA derivante da investimenti finanziati da debito non è stato compensato né destinato a copertura di spese correnti.</w:t>
      </w:r>
    </w:p>
    <w:p w14:paraId="0B53E5AD" w14:textId="77777777" w:rsidR="009F183C" w:rsidRDefault="009F183C">
      <w:pPr>
        <w:widowControl/>
        <w:overflowPunct/>
        <w:autoSpaceDE/>
        <w:autoSpaceDN/>
        <w:adjustRightInd/>
        <w:spacing w:after="0"/>
        <w:jc w:val="left"/>
        <w:textAlignment w:val="auto"/>
        <w:rPr>
          <w:rFonts w:cs="Arial"/>
          <w:iCs/>
          <w:sz w:val="20"/>
        </w:rPr>
      </w:pPr>
    </w:p>
    <w:p w14:paraId="2C9EC3C3" w14:textId="77777777" w:rsidR="009F183C" w:rsidRDefault="00757AA1">
      <w:pPr>
        <w:widowControl/>
        <w:overflowPunct/>
        <w:autoSpaceDE/>
        <w:autoSpaceDN/>
        <w:adjustRightInd/>
        <w:spacing w:after="0"/>
        <w:textAlignment w:val="auto"/>
        <w:rPr>
          <w:rFonts w:cs="Arial"/>
          <w:i/>
          <w:color w:val="00B0F0"/>
          <w:sz w:val="20"/>
        </w:rPr>
      </w:pPr>
      <w:r>
        <w:rPr>
          <w:rFonts w:cs="Arial"/>
          <w:i/>
          <w:color w:val="00B0F0"/>
          <w:sz w:val="20"/>
        </w:rPr>
        <w:t xml:space="preserve">(Occorre vincolare ad investimenti una quota dell'avanzo di amministrazione pari al credito IVA derivante da investimenti finanziati dal debito. Vedi punto 5.2 del </w:t>
      </w:r>
      <w:hyperlink r:id="rId98" w:history="1">
        <w:r>
          <w:rPr>
            <w:i/>
            <w:color w:val="00B0F0"/>
          </w:rPr>
          <w:t>principio contabile applicato alla contabilità finanziaria 4/2</w:t>
        </w:r>
      </w:hyperlink>
      <w:r>
        <w:rPr>
          <w:rFonts w:cs="Arial"/>
          <w:i/>
          <w:color w:val="00B0F0"/>
          <w:sz w:val="20"/>
        </w:rPr>
        <w:t>).</w:t>
      </w:r>
    </w:p>
    <w:p w14:paraId="61C8E63B" w14:textId="77777777" w:rsidR="009F183C" w:rsidRDefault="009F183C">
      <w:pPr>
        <w:widowControl/>
        <w:overflowPunct/>
        <w:autoSpaceDE/>
        <w:autoSpaceDN/>
        <w:adjustRightInd/>
        <w:spacing w:after="0"/>
        <w:jc w:val="left"/>
        <w:textAlignment w:val="auto"/>
        <w:rPr>
          <w:rFonts w:cs="Arial"/>
          <w:i/>
          <w:iCs/>
          <w:szCs w:val="22"/>
          <w:u w:val="single"/>
        </w:rPr>
      </w:pPr>
    </w:p>
    <w:p w14:paraId="73354FD4" w14:textId="77777777" w:rsidR="009F183C" w:rsidRDefault="00757AA1">
      <w:pPr>
        <w:tabs>
          <w:tab w:val="left" w:pos="0"/>
        </w:tabs>
        <w:suppressAutoHyphens/>
        <w:jc w:val="left"/>
        <w:rPr>
          <w:rFonts w:cs="Arial"/>
          <w:i/>
          <w:iCs/>
          <w:sz w:val="20"/>
          <w:u w:val="single"/>
        </w:rPr>
      </w:pPr>
      <w:r>
        <w:rPr>
          <w:rFonts w:cs="Arial"/>
          <w:i/>
          <w:iCs/>
          <w:sz w:val="20"/>
          <w:u w:val="single"/>
        </w:rPr>
        <w:lastRenderedPageBreak/>
        <w:t>Disponibilità liquide</w:t>
      </w:r>
    </w:p>
    <w:p w14:paraId="5F447585" w14:textId="3AEE766E" w:rsidR="009F183C" w:rsidRDefault="00C0640C">
      <w:pPr>
        <w:pStyle w:val="Corpodeltesto3"/>
        <w:tabs>
          <w:tab w:val="left" w:pos="0"/>
        </w:tabs>
        <w:suppressAutoHyphens/>
        <w:rPr>
          <w:rFonts w:cs="Arial"/>
        </w:rPr>
      </w:pPr>
      <w:r>
        <w:rPr>
          <w:rFonts w:cs="Arial"/>
        </w:rPr>
        <w:t>È</w:t>
      </w:r>
      <w:r w:rsidR="00757AA1">
        <w:rPr>
          <w:rFonts w:cs="Arial"/>
        </w:rPr>
        <w:t xml:space="preserve"> stata verificata la corrispondenza del saldo patrimoniale al 31/12/2017 delle disponibilità liquide con le risultanze del conto del tesoriere, degli altri depositi bancari e postali.</w:t>
      </w:r>
    </w:p>
    <w:p w14:paraId="605D52BF" w14:textId="77777777" w:rsidR="009F183C" w:rsidRDefault="009F183C">
      <w:pPr>
        <w:pStyle w:val="Corpodeltesto3"/>
        <w:tabs>
          <w:tab w:val="left" w:pos="0"/>
        </w:tabs>
        <w:suppressAutoHyphens/>
        <w:rPr>
          <w:rFonts w:cs="Arial"/>
          <w:b/>
          <w:u w:val="single"/>
        </w:rPr>
      </w:pPr>
    </w:p>
    <w:p w14:paraId="773C44A5" w14:textId="77777777" w:rsidR="009F183C" w:rsidRDefault="00757AA1">
      <w:pPr>
        <w:pStyle w:val="Corpodeltesto3"/>
        <w:tabs>
          <w:tab w:val="left" w:pos="0"/>
        </w:tabs>
        <w:suppressAutoHyphens/>
        <w:rPr>
          <w:rFonts w:cs="Arial"/>
          <w:b/>
          <w:u w:val="single"/>
        </w:rPr>
      </w:pPr>
      <w:r>
        <w:rPr>
          <w:rFonts w:cs="Arial"/>
          <w:b/>
          <w:u w:val="single"/>
        </w:rPr>
        <w:t>PASSIVO</w:t>
      </w:r>
    </w:p>
    <w:p w14:paraId="5E227749" w14:textId="77777777" w:rsidR="009F183C" w:rsidRDefault="00757AA1">
      <w:pPr>
        <w:tabs>
          <w:tab w:val="left" w:pos="0"/>
        </w:tabs>
        <w:suppressAutoHyphens/>
        <w:jc w:val="left"/>
        <w:rPr>
          <w:rFonts w:cs="Arial"/>
          <w:i/>
          <w:iCs/>
          <w:sz w:val="20"/>
          <w:u w:val="single"/>
        </w:rPr>
      </w:pPr>
      <w:r>
        <w:rPr>
          <w:rFonts w:cs="Arial"/>
          <w:i/>
          <w:iCs/>
          <w:sz w:val="20"/>
          <w:u w:val="single"/>
        </w:rPr>
        <w:t>Patrimonio netto</w:t>
      </w:r>
    </w:p>
    <w:p w14:paraId="6B470368" w14:textId="77777777" w:rsidR="009F183C" w:rsidRDefault="00757AA1">
      <w:pPr>
        <w:rPr>
          <w:sz w:val="20"/>
        </w:rPr>
      </w:pPr>
      <w:r>
        <w:rPr>
          <w:sz w:val="20"/>
        </w:rPr>
        <w:t>La variazione del netto patrimoniale trova questa conciliazione con il risultato economico dell’esercizio.</w:t>
      </w:r>
    </w:p>
    <w:bookmarkStart w:id="103" w:name="_MON_1555939975"/>
    <w:bookmarkEnd w:id="103"/>
    <w:p w14:paraId="1E5AAF75" w14:textId="77777777" w:rsidR="009F183C" w:rsidRDefault="00757AA1">
      <w:pPr>
        <w:rPr>
          <w:sz w:val="20"/>
        </w:rPr>
      </w:pPr>
      <w:r>
        <w:rPr>
          <w:sz w:val="20"/>
        </w:rPr>
        <w:object w:dxaOrig="8008" w:dyaOrig="3209" w14:anchorId="0AAC4DF7">
          <v:shape id="_x0000_i1066" type="#_x0000_t75" style="width:402.75pt;height:158.25pt" o:ole="">
            <v:imagedata r:id="rId99" o:title=""/>
          </v:shape>
          <o:OLEObject Type="Embed" ProgID="Excel.Sheet.12" ShapeID="_x0000_i1066" DrawAspect="Content" ObjectID="_1780988577" r:id="rId100"/>
        </w:object>
      </w:r>
    </w:p>
    <w:p w14:paraId="1809ECF4" w14:textId="77777777" w:rsidR="009F183C" w:rsidRDefault="00757AA1">
      <w:pPr>
        <w:rPr>
          <w:b/>
          <w:bCs/>
          <w:i/>
          <w:sz w:val="20"/>
        </w:rPr>
      </w:pPr>
      <w:r>
        <w:rPr>
          <w:b/>
          <w:bCs/>
          <w:i/>
          <w:sz w:val="20"/>
        </w:rPr>
        <w:t>(oppure in caso di discordanza)</w:t>
      </w:r>
    </w:p>
    <w:p w14:paraId="4FD41120" w14:textId="77777777" w:rsidR="009F183C" w:rsidRDefault="00757AA1">
      <w:pPr>
        <w:rPr>
          <w:sz w:val="20"/>
        </w:rPr>
      </w:pPr>
      <w:r>
        <w:rPr>
          <w:sz w:val="20"/>
        </w:rPr>
        <w:t>………………………</w:t>
      </w:r>
    </w:p>
    <w:p w14:paraId="15A1D337" w14:textId="77777777" w:rsidR="009F183C" w:rsidRDefault="00757AA1">
      <w:pPr>
        <w:rPr>
          <w:sz w:val="20"/>
        </w:rPr>
      </w:pPr>
      <w:r>
        <w:rPr>
          <w:sz w:val="20"/>
        </w:rPr>
        <w:t xml:space="preserve">Il patrimonio netto è così suddiviso: </w:t>
      </w:r>
    </w:p>
    <w:p w14:paraId="7C30AF9B" w14:textId="77777777" w:rsidR="009F183C" w:rsidRDefault="009F183C">
      <w:pPr>
        <w:tabs>
          <w:tab w:val="left" w:pos="0"/>
        </w:tabs>
        <w:suppressAutoHyphens/>
        <w:rPr>
          <w:sz w:val="20"/>
        </w:rPr>
      </w:pPr>
    </w:p>
    <w:bookmarkStart w:id="104" w:name="_MON_1563011432"/>
    <w:bookmarkEnd w:id="104"/>
    <w:p w14:paraId="72CDCA36" w14:textId="2AD7459E" w:rsidR="009F183C" w:rsidRDefault="00191298">
      <w:pPr>
        <w:tabs>
          <w:tab w:val="left" w:pos="0"/>
        </w:tabs>
        <w:suppressAutoHyphens/>
        <w:rPr>
          <w:sz w:val="20"/>
        </w:rPr>
      </w:pPr>
      <w:r>
        <w:rPr>
          <w:sz w:val="20"/>
        </w:rPr>
        <w:object w:dxaOrig="10098" w:dyaOrig="2919" w14:anchorId="0F37B6CE">
          <v:shape id="_x0000_i1067" type="#_x0000_t75" style="width:417.75pt;height:150.75pt" o:ole="">
            <v:imagedata r:id="rId101" o:title=""/>
          </v:shape>
          <o:OLEObject Type="Embed" ProgID="Excel.Sheet.12" ShapeID="_x0000_i1067" DrawAspect="Content" ObjectID="_1780988578" r:id="rId102"/>
        </w:object>
      </w:r>
    </w:p>
    <w:p w14:paraId="301FC21C" w14:textId="075D66CF" w:rsidR="00191298" w:rsidRPr="00191298" w:rsidRDefault="00191298" w:rsidP="00191298">
      <w:pPr>
        <w:widowControl/>
        <w:overflowPunct/>
        <w:spacing w:after="0"/>
        <w:textAlignment w:val="auto"/>
        <w:rPr>
          <w:sz w:val="20"/>
        </w:rPr>
      </w:pPr>
      <w:r w:rsidRPr="00191298">
        <w:rPr>
          <w:sz w:val="20"/>
        </w:rPr>
        <w:t>L’ente ha /non ha provveduto ad adeguare l’articolazione del patrimonio netto come da principio contabile All. 4/3 Dlgs 118/2011 e smi,</w:t>
      </w:r>
      <w:r>
        <w:rPr>
          <w:sz w:val="20"/>
        </w:rPr>
        <w:t xml:space="preserve"> </w:t>
      </w:r>
      <w:r w:rsidRPr="00191298">
        <w:rPr>
          <w:sz w:val="20"/>
        </w:rPr>
        <w:t>esempio 13 ed esempio 14, determinando l’importo delle riserve indisponibili alla data del 01.01.2017 e alla data del 31.12.2017, mediante le</w:t>
      </w:r>
      <w:r>
        <w:rPr>
          <w:sz w:val="20"/>
        </w:rPr>
        <w:t xml:space="preserve"> </w:t>
      </w:r>
      <w:r w:rsidRPr="00191298">
        <w:rPr>
          <w:sz w:val="20"/>
        </w:rPr>
        <w:t>opportune rettifiche.</w:t>
      </w:r>
    </w:p>
    <w:p w14:paraId="730DAF6B" w14:textId="77777777" w:rsidR="00CB2CBC" w:rsidRDefault="00191298" w:rsidP="00191298">
      <w:pPr>
        <w:widowControl/>
        <w:overflowPunct/>
        <w:spacing w:after="0"/>
        <w:textAlignment w:val="auto"/>
        <w:rPr>
          <w:sz w:val="20"/>
        </w:rPr>
      </w:pPr>
      <w:r w:rsidRPr="00191298">
        <w:rPr>
          <w:sz w:val="20"/>
        </w:rPr>
        <w:t xml:space="preserve">Ne risulta un patrimonio netto formato da fondo di dotazione positivo / negativo. </w:t>
      </w:r>
    </w:p>
    <w:p w14:paraId="11426CE0" w14:textId="33418164" w:rsidR="008B1ABC" w:rsidRDefault="00191298" w:rsidP="00191298">
      <w:pPr>
        <w:widowControl/>
        <w:overflowPunct/>
        <w:spacing w:after="0"/>
        <w:textAlignment w:val="auto"/>
        <w:rPr>
          <w:sz w:val="20"/>
        </w:rPr>
      </w:pPr>
      <w:r w:rsidRPr="00191298">
        <w:rPr>
          <w:sz w:val="20"/>
        </w:rPr>
        <w:t>In caso di Fondo di dotazione negativo, l’ente si impegna</w:t>
      </w:r>
      <w:r>
        <w:rPr>
          <w:sz w:val="20"/>
        </w:rPr>
        <w:t xml:space="preserve"> </w:t>
      </w:r>
      <w:r w:rsidRPr="00191298">
        <w:rPr>
          <w:sz w:val="20"/>
        </w:rPr>
        <w:t>ad utilizzare le riserve disponibili e a destinare i futuri risultati economici positivi ad incremento del fondo di dotazione</w:t>
      </w:r>
    </w:p>
    <w:p w14:paraId="2DB5B526" w14:textId="77777777" w:rsidR="008B1ABC" w:rsidRDefault="008B1ABC" w:rsidP="00191298">
      <w:pPr>
        <w:tabs>
          <w:tab w:val="left" w:pos="0"/>
        </w:tabs>
        <w:suppressAutoHyphens/>
        <w:rPr>
          <w:sz w:val="20"/>
        </w:rPr>
      </w:pPr>
    </w:p>
    <w:p w14:paraId="2718BCED" w14:textId="77777777" w:rsidR="00F50CAB" w:rsidRDefault="00F50CAB">
      <w:pPr>
        <w:tabs>
          <w:tab w:val="left" w:pos="0"/>
        </w:tabs>
        <w:suppressAutoHyphens/>
        <w:rPr>
          <w:sz w:val="20"/>
        </w:rPr>
      </w:pPr>
    </w:p>
    <w:p w14:paraId="5BD37207" w14:textId="5EF765B2" w:rsidR="009F183C" w:rsidRDefault="00757AA1">
      <w:pPr>
        <w:tabs>
          <w:tab w:val="left" w:pos="0"/>
        </w:tabs>
        <w:suppressAutoHyphens/>
        <w:rPr>
          <w:sz w:val="20"/>
        </w:rPr>
      </w:pPr>
      <w:r>
        <w:rPr>
          <w:sz w:val="20"/>
        </w:rPr>
        <w:t>L’organo esecutivo propone al Consiglio di destinare il risultato economico positivo dell’esercizio a:</w:t>
      </w:r>
    </w:p>
    <w:p w14:paraId="59CA4C7C" w14:textId="77777777" w:rsidR="009F183C" w:rsidRDefault="00757AA1">
      <w:pPr>
        <w:tabs>
          <w:tab w:val="left" w:pos="0"/>
        </w:tabs>
        <w:suppressAutoHyphens/>
        <w:rPr>
          <w:rFonts w:cs="Arial"/>
          <w:i/>
          <w:iCs/>
          <w:szCs w:val="22"/>
          <w:u w:val="single"/>
        </w:rPr>
      </w:pPr>
      <w:r>
        <w:rPr>
          <w:rFonts w:cs="Arial"/>
          <w:i/>
          <w:iCs/>
          <w:szCs w:val="22"/>
          <w:u w:val="single"/>
        </w:rPr>
        <w:object w:dxaOrig="6675" w:dyaOrig="1469" w14:anchorId="676CA78B">
          <v:shape id="_x0000_i1068" type="#_x0000_t75" style="width:338.25pt;height:1in" o:ole="">
            <v:imagedata r:id="rId103" o:title=""/>
          </v:shape>
          <o:OLEObject Type="Embed" ProgID="Excel.Sheet.12" ShapeID="_x0000_i1068" DrawAspect="Content" ObjectID="_1780988579" r:id="rId104"/>
        </w:object>
      </w:r>
    </w:p>
    <w:p w14:paraId="40E51800" w14:textId="77777777" w:rsidR="009F183C" w:rsidRDefault="009F183C">
      <w:pPr>
        <w:tabs>
          <w:tab w:val="left" w:pos="0"/>
        </w:tabs>
        <w:suppressAutoHyphens/>
        <w:rPr>
          <w:rFonts w:cs="Arial"/>
          <w:iCs/>
          <w:color w:val="548DD4" w:themeColor="text2" w:themeTint="99"/>
          <w:szCs w:val="22"/>
        </w:rPr>
      </w:pPr>
    </w:p>
    <w:p w14:paraId="2FD68182" w14:textId="77777777" w:rsidR="009F183C" w:rsidRDefault="00757AA1">
      <w:pPr>
        <w:tabs>
          <w:tab w:val="left" w:pos="0"/>
        </w:tabs>
        <w:suppressAutoHyphens/>
        <w:rPr>
          <w:rFonts w:cs="Arial"/>
          <w:iCs/>
          <w:sz w:val="20"/>
        </w:rPr>
      </w:pPr>
      <w:r>
        <w:rPr>
          <w:rFonts w:cs="Arial"/>
          <w:iCs/>
          <w:color w:val="548DD4" w:themeColor="text2" w:themeTint="99"/>
          <w:szCs w:val="22"/>
        </w:rPr>
        <w:t>(</w:t>
      </w:r>
      <w:r w:rsidRPr="009B1C13">
        <w:rPr>
          <w:rFonts w:cs="Arial"/>
          <w:i/>
          <w:iCs/>
          <w:color w:val="548DD4" w:themeColor="text2" w:themeTint="99"/>
          <w:sz w:val="20"/>
        </w:rPr>
        <w:t>opzione</w:t>
      </w:r>
      <w:r>
        <w:rPr>
          <w:rFonts w:cs="Arial"/>
          <w:iCs/>
          <w:sz w:val="20"/>
        </w:rPr>
        <w:t xml:space="preserve">) </w:t>
      </w:r>
    </w:p>
    <w:p w14:paraId="533312F8" w14:textId="77777777" w:rsidR="009F183C" w:rsidRDefault="00757AA1">
      <w:pPr>
        <w:tabs>
          <w:tab w:val="left" w:pos="0"/>
        </w:tabs>
        <w:suppressAutoHyphens/>
        <w:rPr>
          <w:sz w:val="20"/>
        </w:rPr>
      </w:pPr>
      <w:r>
        <w:rPr>
          <w:sz w:val="20"/>
        </w:rPr>
        <w:t>L’organo esecutivo propone al consiglio di ripianare il risultato economico negativo dell’esercizio come segue:</w:t>
      </w:r>
    </w:p>
    <w:p w14:paraId="696B9D84" w14:textId="77777777" w:rsidR="009F183C" w:rsidRDefault="00757AA1">
      <w:pPr>
        <w:tabs>
          <w:tab w:val="left" w:pos="0"/>
        </w:tabs>
        <w:suppressAutoHyphens/>
        <w:rPr>
          <w:rFonts w:cs="Arial"/>
          <w:i/>
          <w:iCs/>
          <w:szCs w:val="22"/>
          <w:u w:val="single"/>
        </w:rPr>
      </w:pPr>
      <w:r>
        <w:rPr>
          <w:rFonts w:cs="Arial"/>
          <w:i/>
          <w:iCs/>
          <w:szCs w:val="22"/>
          <w:u w:val="single"/>
        </w:rPr>
        <w:object w:dxaOrig="4558" w:dyaOrig="1179" w14:anchorId="4E646DDD">
          <v:shape id="_x0000_i1069" type="#_x0000_t75" style="width:230.25pt;height:57.75pt" o:ole="">
            <v:imagedata r:id="rId105" o:title=""/>
          </v:shape>
          <o:OLEObject Type="Embed" ProgID="Excel.Sheet.12" ShapeID="_x0000_i1069" DrawAspect="Content" ObjectID="_1780988580" r:id="rId106"/>
        </w:object>
      </w:r>
    </w:p>
    <w:p w14:paraId="6086C098" w14:textId="77777777" w:rsidR="009F183C" w:rsidRDefault="009F183C">
      <w:pPr>
        <w:tabs>
          <w:tab w:val="left" w:pos="0"/>
        </w:tabs>
        <w:suppressAutoHyphens/>
        <w:rPr>
          <w:rFonts w:cs="Arial"/>
          <w:i/>
          <w:iCs/>
          <w:szCs w:val="22"/>
          <w:u w:val="single"/>
        </w:rPr>
      </w:pPr>
    </w:p>
    <w:p w14:paraId="4A27E371" w14:textId="77777777" w:rsidR="009F183C" w:rsidRDefault="00757AA1">
      <w:pPr>
        <w:tabs>
          <w:tab w:val="left" w:pos="0"/>
        </w:tabs>
        <w:suppressAutoHyphens/>
        <w:rPr>
          <w:rFonts w:cs="Arial"/>
          <w:i/>
          <w:iCs/>
          <w:szCs w:val="22"/>
          <w:u w:val="single"/>
        </w:rPr>
      </w:pPr>
      <w:r>
        <w:rPr>
          <w:rFonts w:cs="Arial"/>
          <w:i/>
          <w:iCs/>
          <w:szCs w:val="22"/>
          <w:u w:val="single"/>
        </w:rPr>
        <w:t>Fondi per rischi e oneri</w:t>
      </w:r>
    </w:p>
    <w:p w14:paraId="774D5491" w14:textId="77777777" w:rsidR="009F183C" w:rsidRDefault="00757AA1">
      <w:pPr>
        <w:tabs>
          <w:tab w:val="left" w:pos="0"/>
        </w:tabs>
        <w:suppressAutoHyphens/>
        <w:rPr>
          <w:rFonts w:cs="Arial"/>
          <w:iCs/>
          <w:sz w:val="20"/>
        </w:rPr>
      </w:pPr>
      <w:r>
        <w:rPr>
          <w:rFonts w:cs="Arial"/>
          <w:iCs/>
          <w:sz w:val="20"/>
        </w:rPr>
        <w:t>I fondi per rischi e oneri sono calcolati nel rispetto del punto 6.4.a del principio contabile applicato 4/3 e sono così distinti:</w:t>
      </w:r>
    </w:p>
    <w:p w14:paraId="6CB23BCE" w14:textId="77777777" w:rsidR="009F183C" w:rsidRDefault="00757AA1">
      <w:pPr>
        <w:tabs>
          <w:tab w:val="left" w:pos="0"/>
        </w:tabs>
        <w:suppressAutoHyphens/>
        <w:rPr>
          <w:rFonts w:cs="Arial"/>
          <w:iCs/>
          <w:szCs w:val="22"/>
        </w:rPr>
      </w:pPr>
      <w:r>
        <w:rPr>
          <w:rFonts w:cs="Arial"/>
          <w:iCs/>
          <w:szCs w:val="22"/>
        </w:rPr>
        <w:object w:dxaOrig="5792" w:dyaOrig="1759" w14:anchorId="7DD7A67A">
          <v:shape id="_x0000_i1070" type="#_x0000_t75" style="width:4in;height:86.25pt" o:ole="">
            <v:imagedata r:id="rId107" o:title=""/>
          </v:shape>
          <o:OLEObject Type="Embed" ProgID="Excel.Sheet.12" ShapeID="_x0000_i1070" DrawAspect="Content" ObjectID="_1780988581" r:id="rId108"/>
        </w:object>
      </w:r>
    </w:p>
    <w:p w14:paraId="0CAD34DE" w14:textId="77777777" w:rsidR="009F183C" w:rsidRDefault="009F183C">
      <w:pPr>
        <w:tabs>
          <w:tab w:val="left" w:pos="0"/>
        </w:tabs>
        <w:suppressAutoHyphens/>
        <w:rPr>
          <w:rFonts w:cs="Arial"/>
          <w:i/>
          <w:iCs/>
          <w:szCs w:val="22"/>
          <w:u w:val="single"/>
        </w:rPr>
      </w:pPr>
    </w:p>
    <w:p w14:paraId="6BD1D2D5" w14:textId="77777777" w:rsidR="009F183C" w:rsidRDefault="00757AA1">
      <w:pPr>
        <w:tabs>
          <w:tab w:val="left" w:pos="0"/>
        </w:tabs>
        <w:suppressAutoHyphens/>
        <w:rPr>
          <w:rFonts w:cs="Arial"/>
          <w:i/>
          <w:iCs/>
          <w:sz w:val="20"/>
          <w:u w:val="single"/>
        </w:rPr>
      </w:pPr>
      <w:r>
        <w:rPr>
          <w:rFonts w:cs="Arial"/>
          <w:i/>
          <w:iCs/>
          <w:sz w:val="20"/>
          <w:u w:val="single"/>
        </w:rPr>
        <w:t xml:space="preserve">Debiti </w:t>
      </w:r>
    </w:p>
    <w:p w14:paraId="6B921955" w14:textId="77777777" w:rsidR="009F183C" w:rsidRDefault="00757AA1">
      <w:pPr>
        <w:pStyle w:val="Corpodeltesto3"/>
        <w:tabs>
          <w:tab w:val="left" w:pos="0"/>
        </w:tabs>
        <w:suppressAutoHyphens/>
        <w:rPr>
          <w:rFonts w:cs="Arial"/>
          <w:b/>
          <w:i/>
          <w:iCs/>
        </w:rPr>
      </w:pPr>
      <w:r>
        <w:rPr>
          <w:rFonts w:cs="Arial"/>
        </w:rPr>
        <w:t xml:space="preserve">Per i debiti da finanziamento è stata verificata la corrispondenza tra saldo patrimoniale al 31/12/2017 con i debiti residui in sorte capitale dei prestiti in essere </w:t>
      </w:r>
      <w:r>
        <w:rPr>
          <w:rFonts w:cs="Arial"/>
          <w:b/>
          <w:i/>
        </w:rPr>
        <w:t>(</w:t>
      </w:r>
      <w:r>
        <w:rPr>
          <w:rFonts w:cs="Arial"/>
          <w:b/>
          <w:i/>
          <w:iCs/>
        </w:rPr>
        <w:t>rilevabili dai prospetti riepilogativi e/o dai piani di ammortamento dei mutui);</w:t>
      </w:r>
    </w:p>
    <w:p w14:paraId="5EE2B7B4" w14:textId="591C43C6" w:rsidR="009F183C" w:rsidRDefault="00757AA1">
      <w:pPr>
        <w:tabs>
          <w:tab w:val="left" w:pos="0"/>
        </w:tabs>
        <w:suppressAutoHyphens/>
        <w:rPr>
          <w:rFonts w:cs="Arial"/>
          <w:iCs/>
          <w:sz w:val="20"/>
        </w:rPr>
      </w:pPr>
      <w:r>
        <w:rPr>
          <w:rFonts w:cs="Arial"/>
          <w:iCs/>
          <w:sz w:val="20"/>
        </w:rPr>
        <w:t xml:space="preserve">Per gli altri debiti è stata verificata la conciliazione con i residui passivi diversi da quelli di finanziamento. </w:t>
      </w:r>
    </w:p>
    <w:p w14:paraId="3AAE6EE6" w14:textId="77777777" w:rsidR="009F183C" w:rsidRDefault="009F183C">
      <w:pPr>
        <w:tabs>
          <w:tab w:val="left" w:pos="0"/>
        </w:tabs>
        <w:suppressAutoHyphens/>
        <w:rPr>
          <w:rFonts w:cs="Arial"/>
          <w:i/>
          <w:iCs/>
          <w:sz w:val="20"/>
          <w:u w:val="single"/>
        </w:rPr>
      </w:pPr>
    </w:p>
    <w:p w14:paraId="50E146B8" w14:textId="77777777" w:rsidR="009F183C" w:rsidRDefault="00757AA1">
      <w:pPr>
        <w:tabs>
          <w:tab w:val="left" w:pos="0"/>
        </w:tabs>
        <w:suppressAutoHyphens/>
        <w:rPr>
          <w:rFonts w:cs="Arial"/>
          <w:i/>
          <w:iCs/>
          <w:sz w:val="20"/>
          <w:u w:val="single"/>
        </w:rPr>
      </w:pPr>
      <w:r>
        <w:rPr>
          <w:rFonts w:cs="Arial"/>
          <w:i/>
          <w:iCs/>
          <w:sz w:val="20"/>
          <w:u w:val="single"/>
        </w:rPr>
        <w:t xml:space="preserve">Ratei, risconti e contributi agli investimenti </w:t>
      </w:r>
    </w:p>
    <w:p w14:paraId="6D62E086" w14:textId="77777777" w:rsidR="009F183C" w:rsidRDefault="00757AA1">
      <w:pPr>
        <w:pStyle w:val="Corpodeltesto3"/>
        <w:tabs>
          <w:tab w:val="left" w:pos="0"/>
        </w:tabs>
        <w:suppressAutoHyphens/>
        <w:rPr>
          <w:rFonts w:cs="Arial"/>
        </w:rPr>
      </w:pPr>
      <w:r>
        <w:rPr>
          <w:rFonts w:cs="Arial"/>
        </w:rPr>
        <w:t>Le somme iscritte sono state calcolate nel rispetto del punto 6.4.d. del principio contabile applicato 4/3.</w:t>
      </w:r>
    </w:p>
    <w:p w14:paraId="054C732A" w14:textId="101ACE4E" w:rsidR="009F183C" w:rsidRDefault="00033EB2">
      <w:pPr>
        <w:pStyle w:val="Corpodeltesto3"/>
        <w:tabs>
          <w:tab w:val="left" w:pos="0"/>
        </w:tabs>
        <w:suppressAutoHyphens/>
        <w:rPr>
          <w:rFonts w:cs="Arial"/>
        </w:rPr>
      </w:pPr>
      <w:r>
        <w:rPr>
          <w:rFonts w:cs="Arial"/>
        </w:rPr>
        <w:t>Nella voce</w:t>
      </w:r>
      <w:r w:rsidR="00757AA1">
        <w:rPr>
          <w:rFonts w:cs="Arial"/>
        </w:rPr>
        <w:t xml:space="preserve"> sono rilevate concessioni pluriennali per euro ……………. riferite a ……………….e contributi agli investimenti per euro ……………… riferiti a contributi ottenuti da……………………………… </w:t>
      </w:r>
    </w:p>
    <w:p w14:paraId="60EAB6BF" w14:textId="698CB8B2" w:rsidR="009F183C" w:rsidRDefault="00757AA1">
      <w:pPr>
        <w:pStyle w:val="Corpodeltesto3"/>
        <w:tabs>
          <w:tab w:val="left" w:pos="0"/>
        </w:tabs>
        <w:suppressAutoHyphens/>
        <w:rPr>
          <w:rFonts w:cs="Arial"/>
        </w:rPr>
      </w:pPr>
      <w:r>
        <w:rPr>
          <w:rFonts w:cs="Arial"/>
        </w:rPr>
        <w:t>L’importo al 1/1/</w:t>
      </w:r>
      <w:r w:rsidR="00033EB2">
        <w:rPr>
          <w:rFonts w:cs="Arial"/>
        </w:rPr>
        <w:t>2017 dei</w:t>
      </w:r>
      <w:r>
        <w:rPr>
          <w:rFonts w:cs="Arial"/>
        </w:rPr>
        <w:t xml:space="preserve"> contributi per </w:t>
      </w:r>
      <w:r w:rsidR="00033EB2">
        <w:rPr>
          <w:rFonts w:cs="Arial"/>
        </w:rPr>
        <w:t>investimenti è</w:t>
      </w:r>
      <w:r>
        <w:rPr>
          <w:rFonts w:cs="Arial"/>
        </w:rPr>
        <w:t xml:space="preserve"> stato ridotto di euro…………….. quale quota annuale di contributo agli </w:t>
      </w:r>
      <w:r w:rsidR="00033EB2">
        <w:rPr>
          <w:rFonts w:cs="Arial"/>
        </w:rPr>
        <w:t>investimenti proporzionale</w:t>
      </w:r>
      <w:r>
        <w:rPr>
          <w:rFonts w:cs="Arial"/>
        </w:rPr>
        <w:t xml:space="preserve"> alla quota di ammortamento del bene finanziato dal contributo. </w:t>
      </w:r>
    </w:p>
    <w:p w14:paraId="2771A8D6" w14:textId="77777777" w:rsidR="009F183C" w:rsidRDefault="00757AA1">
      <w:pPr>
        <w:tabs>
          <w:tab w:val="left" w:pos="0"/>
        </w:tabs>
        <w:suppressAutoHyphens/>
        <w:jc w:val="left"/>
        <w:rPr>
          <w:rFonts w:cs="Arial"/>
          <w:i/>
          <w:iCs/>
          <w:sz w:val="20"/>
          <w:u w:val="single"/>
        </w:rPr>
      </w:pPr>
      <w:r>
        <w:rPr>
          <w:rFonts w:cs="Arial"/>
          <w:i/>
          <w:iCs/>
          <w:sz w:val="20"/>
          <w:u w:val="single"/>
        </w:rPr>
        <w:t xml:space="preserve">Conti d’ordine </w:t>
      </w:r>
    </w:p>
    <w:p w14:paraId="4E66DF5A" w14:textId="77777777" w:rsidR="009F183C" w:rsidRDefault="00757AA1">
      <w:pPr>
        <w:tabs>
          <w:tab w:val="left" w:pos="0"/>
        </w:tabs>
        <w:suppressAutoHyphens/>
        <w:rPr>
          <w:rFonts w:cs="Arial"/>
          <w:sz w:val="20"/>
        </w:rPr>
      </w:pPr>
      <w:r>
        <w:rPr>
          <w:rFonts w:cs="Arial"/>
          <w:sz w:val="20"/>
        </w:rPr>
        <w:t>Nei conti d’ordine sono correttamente rilevate le garanzie prestate risultanti da atti conservati presso l’ente ed elencate nell’inventario.</w:t>
      </w:r>
    </w:p>
    <w:p w14:paraId="5B934FB8" w14:textId="77777777" w:rsidR="009F183C" w:rsidRDefault="009F183C">
      <w:pPr>
        <w:tabs>
          <w:tab w:val="left" w:pos="0"/>
        </w:tabs>
        <w:suppressAutoHyphens/>
        <w:jc w:val="left"/>
        <w:rPr>
          <w:rFonts w:cs="Arial"/>
          <w:iCs/>
          <w:szCs w:val="22"/>
        </w:rPr>
      </w:pPr>
    </w:p>
    <w:p w14:paraId="49FBF27C" w14:textId="77777777" w:rsidR="00185F7F" w:rsidRDefault="00185F7F">
      <w:pPr>
        <w:tabs>
          <w:tab w:val="left" w:pos="0"/>
        </w:tabs>
        <w:suppressAutoHyphens/>
        <w:jc w:val="left"/>
        <w:rPr>
          <w:rFonts w:cs="Arial"/>
          <w:iCs/>
          <w:szCs w:val="22"/>
        </w:rPr>
      </w:pPr>
    </w:p>
    <w:p w14:paraId="09BF5252" w14:textId="77777777" w:rsidR="009F183C" w:rsidRDefault="00757AA1">
      <w:pPr>
        <w:pStyle w:val="Titolo1"/>
        <w:shd w:val="clear" w:color="auto" w:fill="D6E3BC" w:themeFill="accent3" w:themeFillTint="66"/>
      </w:pPr>
      <w:bookmarkStart w:id="105" w:name="_Toc379377487"/>
      <w:bookmarkStart w:id="106" w:name="_Toc507691958"/>
      <w:r>
        <w:lastRenderedPageBreak/>
        <w:t>RELAZIONE DELLA GIUNTA AL RENDICONTO</w:t>
      </w:r>
      <w:bookmarkEnd w:id="105"/>
      <w:bookmarkEnd w:id="106"/>
    </w:p>
    <w:p w14:paraId="0BC5C026" w14:textId="77777777" w:rsidR="009F183C" w:rsidRDefault="00757AA1">
      <w:pPr>
        <w:numPr>
          <w:ilvl w:val="12"/>
          <w:numId w:val="0"/>
        </w:numPr>
        <w:rPr>
          <w:rFonts w:cs="Arial"/>
          <w:sz w:val="20"/>
        </w:rPr>
      </w:pPr>
      <w:r>
        <w:rPr>
          <w:rFonts w:cs="Arial"/>
          <w:sz w:val="20"/>
        </w:rPr>
        <w:t xml:space="preserve">L’organo di revisione attesta che la relazione predisposta dalla giunta </w:t>
      </w:r>
      <w:r>
        <w:rPr>
          <w:rFonts w:cs="Arial"/>
          <w:i/>
          <w:iCs/>
          <w:sz w:val="20"/>
        </w:rPr>
        <w:t>è/non è</w:t>
      </w:r>
      <w:r>
        <w:rPr>
          <w:rFonts w:cs="Arial"/>
          <w:sz w:val="20"/>
        </w:rPr>
        <w:t xml:space="preserve"> stata redatta conformemente a quanto previsto dall’articolo 231 del TUEL, secondo le modalità previste dall’art.11, comma 6 del d.lgs.118/2011 ed esprime le valutazioni di efficacia dell’azione condotta sulla base dei risultati conseguiti.</w:t>
      </w:r>
    </w:p>
    <w:p w14:paraId="3C6939A9" w14:textId="77777777" w:rsidR="009F183C" w:rsidRDefault="00757AA1">
      <w:pPr>
        <w:rPr>
          <w:sz w:val="20"/>
        </w:rPr>
      </w:pPr>
      <w:r>
        <w:rPr>
          <w:sz w:val="20"/>
        </w:rPr>
        <w:t>Nella relazione sono/</w:t>
      </w:r>
      <w:r>
        <w:rPr>
          <w:i/>
          <w:iCs/>
          <w:sz w:val="20"/>
        </w:rPr>
        <w:t>non sono</w:t>
      </w:r>
      <w:r>
        <w:rPr>
          <w:sz w:val="20"/>
        </w:rPr>
        <w:t xml:space="preserve"> illustrate le gestioni dell’ente, i criteri di valutazione utilizzati, nonché i fatti di rilievo verificatisi dopo la chiusura dell’esercizio.</w:t>
      </w:r>
    </w:p>
    <w:p w14:paraId="2BD5E9A7" w14:textId="77777777" w:rsidR="009F183C" w:rsidRDefault="009F183C">
      <w:pPr>
        <w:rPr>
          <w:sz w:val="20"/>
        </w:rPr>
      </w:pPr>
    </w:p>
    <w:p w14:paraId="48717CAA" w14:textId="77777777" w:rsidR="009F183C" w:rsidRDefault="00757AA1">
      <w:pPr>
        <w:pStyle w:val="Titolo1"/>
        <w:shd w:val="clear" w:color="auto" w:fill="D6E3BC" w:themeFill="accent3" w:themeFillTint="66"/>
      </w:pPr>
      <w:bookmarkStart w:id="107" w:name="_Toc379377491"/>
      <w:bookmarkStart w:id="108" w:name="_Toc507691959"/>
      <w:r>
        <w:t>IRREGOLARITA’ NON SANATE, RILIEVI, CONSIDERAZIONI E PROPOSTE</w:t>
      </w:r>
      <w:bookmarkEnd w:id="107"/>
      <w:bookmarkEnd w:id="108"/>
    </w:p>
    <w:p w14:paraId="44C86D29" w14:textId="77777777" w:rsidR="009F183C" w:rsidRDefault="00757AA1">
      <w:pPr>
        <w:tabs>
          <w:tab w:val="left" w:pos="284"/>
        </w:tabs>
        <w:rPr>
          <w:sz w:val="20"/>
        </w:rPr>
      </w:pPr>
      <w:r>
        <w:rPr>
          <w:sz w:val="20"/>
        </w:rPr>
        <w:t>In questa parte della relazione i revisori riportano, in base a quanto esposto in analisi nei punti precedenti, e sulla base delle verifiche di regolarità amministrativa e contabile effettuate durante l’esercizio:</w:t>
      </w:r>
    </w:p>
    <w:p w14:paraId="58108AD8" w14:textId="77777777" w:rsidR="009F183C" w:rsidRDefault="00757AA1">
      <w:pPr>
        <w:pStyle w:val="Intestazione"/>
        <w:numPr>
          <w:ilvl w:val="0"/>
          <w:numId w:val="13"/>
        </w:numPr>
        <w:textAlignment w:val="auto"/>
        <w:rPr>
          <w:i/>
          <w:color w:val="365F91"/>
          <w:sz w:val="20"/>
        </w:rPr>
      </w:pPr>
      <w:r>
        <w:rPr>
          <w:rFonts w:cs="Arial"/>
          <w:iCs/>
          <w:sz w:val="20"/>
        </w:rPr>
        <w:t xml:space="preserve">gravi irregolarità contabili e finanziarie e inadempienze già segnalate al Consiglio e non sanate </w:t>
      </w:r>
      <w:r>
        <w:rPr>
          <w:i/>
          <w:color w:val="00B0F0"/>
          <w:sz w:val="20"/>
        </w:rPr>
        <w:t>(indicare gli estremi delle eventuali segnalazioni)</w:t>
      </w:r>
      <w:r>
        <w:rPr>
          <w:i/>
          <w:color w:val="365F91"/>
          <w:sz w:val="20"/>
        </w:rPr>
        <w:t>;</w:t>
      </w:r>
    </w:p>
    <w:p w14:paraId="0DAB6F37" w14:textId="77777777" w:rsidR="009F183C" w:rsidRDefault="00757AA1">
      <w:pPr>
        <w:pStyle w:val="Intestazione"/>
        <w:numPr>
          <w:ilvl w:val="0"/>
          <w:numId w:val="13"/>
        </w:numPr>
        <w:tabs>
          <w:tab w:val="clear" w:pos="4819"/>
          <w:tab w:val="clear" w:pos="9638"/>
        </w:tabs>
        <w:spacing w:after="0"/>
        <w:rPr>
          <w:rFonts w:cs="Arial"/>
          <w:iCs/>
          <w:sz w:val="20"/>
        </w:rPr>
      </w:pPr>
      <w:r>
        <w:rPr>
          <w:rFonts w:cs="Arial"/>
          <w:iCs/>
          <w:sz w:val="20"/>
        </w:rPr>
        <w:t>considerazioni, proposte e rilievi tendenti a conseguire efficienza ed economicità della gestione.</w:t>
      </w:r>
    </w:p>
    <w:p w14:paraId="04D6564B" w14:textId="77777777" w:rsidR="009F183C" w:rsidRDefault="00757AA1">
      <w:pPr>
        <w:rPr>
          <w:sz w:val="20"/>
        </w:rPr>
      </w:pPr>
      <w:r>
        <w:rPr>
          <w:sz w:val="20"/>
        </w:rPr>
        <w:t>L’organo di revisione deve fornire all’organo politico dell’ente il supporto fondamentale alla sua funzione di indirizzo e controllo per le sue scelte di politica economica e finanziaria.</w:t>
      </w:r>
    </w:p>
    <w:p w14:paraId="2DB92F66" w14:textId="77777777" w:rsidR="009F183C" w:rsidRDefault="00757AA1">
      <w:pPr>
        <w:pStyle w:val="Intestazione"/>
        <w:tabs>
          <w:tab w:val="left" w:pos="708"/>
        </w:tabs>
        <w:spacing w:before="240"/>
        <w:rPr>
          <w:rFonts w:cs="Arial"/>
          <w:iCs/>
          <w:sz w:val="20"/>
        </w:rPr>
      </w:pPr>
      <w:r>
        <w:rPr>
          <w:rFonts w:cs="Arial"/>
          <w:iCs/>
          <w:sz w:val="20"/>
        </w:rPr>
        <w:t>Gli aspetti che devono essere evidenziati sono i seguenti:</w:t>
      </w:r>
    </w:p>
    <w:p w14:paraId="345C1FB7" w14:textId="77777777" w:rsidR="009F183C" w:rsidRDefault="00757AA1">
      <w:pPr>
        <w:pStyle w:val="Intestazione"/>
        <w:numPr>
          <w:ilvl w:val="0"/>
          <w:numId w:val="11"/>
        </w:numPr>
        <w:tabs>
          <w:tab w:val="left" w:pos="708"/>
        </w:tabs>
        <w:spacing w:after="0"/>
        <w:textAlignment w:val="auto"/>
        <w:rPr>
          <w:i/>
          <w:color w:val="365F91"/>
          <w:sz w:val="20"/>
        </w:rPr>
      </w:pPr>
      <w:r>
        <w:rPr>
          <w:rFonts w:cs="Arial"/>
          <w:iCs/>
          <w:sz w:val="20"/>
        </w:rPr>
        <w:t xml:space="preserve">attendibilità delle risultanze della gestione finanziaria </w:t>
      </w:r>
      <w:r>
        <w:rPr>
          <w:i/>
          <w:color w:val="00B0F0"/>
          <w:sz w:val="20"/>
        </w:rPr>
        <w:t>(rispetto delle regole e principi per l’accertamento e l’impegno, esigibilità dei crediti, salvaguardia equilibri finanziari anche prospettici, debiti fuori bilancio, ecc.)</w:t>
      </w:r>
      <w:r>
        <w:rPr>
          <w:i/>
          <w:color w:val="365F91"/>
          <w:sz w:val="20"/>
        </w:rPr>
        <w:t xml:space="preserve">; </w:t>
      </w:r>
    </w:p>
    <w:p w14:paraId="4D398A25" w14:textId="77777777" w:rsidR="009F183C" w:rsidRDefault="00757AA1">
      <w:pPr>
        <w:pStyle w:val="Intestazione"/>
        <w:numPr>
          <w:ilvl w:val="0"/>
          <w:numId w:val="11"/>
        </w:numPr>
        <w:tabs>
          <w:tab w:val="left" w:pos="708"/>
        </w:tabs>
        <w:spacing w:after="0"/>
        <w:textAlignment w:val="auto"/>
        <w:rPr>
          <w:i/>
          <w:color w:val="365F91"/>
          <w:sz w:val="20"/>
        </w:rPr>
      </w:pPr>
      <w:r>
        <w:rPr>
          <w:rFonts w:cs="Arial"/>
          <w:iCs/>
          <w:sz w:val="20"/>
        </w:rPr>
        <w:t>continuo ricorso ad anticipazioni di tesoreria</w:t>
      </w:r>
      <w:r w:rsidRPr="0096017F">
        <w:rPr>
          <w:i/>
          <w:color w:val="365F91"/>
          <w:sz w:val="20"/>
        </w:rPr>
        <w:t>;</w:t>
      </w:r>
    </w:p>
    <w:p w14:paraId="33757F0A" w14:textId="77777777" w:rsidR="009F183C" w:rsidRDefault="00757AA1">
      <w:pPr>
        <w:pStyle w:val="Intestazione"/>
        <w:numPr>
          <w:ilvl w:val="0"/>
          <w:numId w:val="11"/>
        </w:numPr>
        <w:tabs>
          <w:tab w:val="left" w:pos="708"/>
        </w:tabs>
        <w:spacing w:after="0"/>
        <w:textAlignment w:val="auto"/>
        <w:rPr>
          <w:i/>
          <w:color w:val="00B0F0"/>
          <w:sz w:val="20"/>
        </w:rPr>
      </w:pPr>
      <w:r>
        <w:rPr>
          <w:rFonts w:cs="Arial"/>
          <w:iCs/>
          <w:sz w:val="20"/>
        </w:rPr>
        <w:t xml:space="preserve">rispetto degli obiettivi di finanza pubblica </w:t>
      </w:r>
      <w:r>
        <w:rPr>
          <w:i/>
          <w:color w:val="00B0F0"/>
          <w:sz w:val="20"/>
        </w:rPr>
        <w:t>(saldo di bilancio, contenimento spese di personale, contenimento indebitamento);</w:t>
      </w:r>
    </w:p>
    <w:p w14:paraId="3D97750E" w14:textId="77777777" w:rsidR="009F183C" w:rsidRDefault="00757AA1">
      <w:pPr>
        <w:pStyle w:val="Intestazione"/>
        <w:numPr>
          <w:ilvl w:val="0"/>
          <w:numId w:val="11"/>
        </w:numPr>
        <w:tabs>
          <w:tab w:val="left" w:pos="708"/>
        </w:tabs>
        <w:spacing w:after="0"/>
        <w:textAlignment w:val="auto"/>
        <w:rPr>
          <w:rFonts w:cs="Arial"/>
          <w:b/>
          <w:i/>
          <w:iCs/>
          <w:color w:val="0070C0"/>
          <w:sz w:val="20"/>
        </w:rPr>
      </w:pPr>
      <w:r>
        <w:rPr>
          <w:rFonts w:cs="Arial"/>
          <w:iCs/>
          <w:sz w:val="20"/>
        </w:rPr>
        <w:t xml:space="preserve">congruità del fondo crediti di dubbia esigibilità e dei fondi rischi </w:t>
      </w:r>
    </w:p>
    <w:p w14:paraId="76726C6E" w14:textId="77777777" w:rsidR="009F183C" w:rsidRDefault="00757AA1">
      <w:pPr>
        <w:numPr>
          <w:ilvl w:val="0"/>
          <w:numId w:val="11"/>
        </w:numPr>
        <w:rPr>
          <w:b/>
          <w:i/>
          <w:color w:val="365F91"/>
          <w:sz w:val="20"/>
        </w:rPr>
      </w:pPr>
      <w:r>
        <w:rPr>
          <w:sz w:val="20"/>
        </w:rPr>
        <w:t>attendibilità dei risultati economici generali e di dettaglio</w:t>
      </w:r>
      <w:r>
        <w:rPr>
          <w:b/>
          <w:i/>
          <w:color w:val="00B0F0"/>
          <w:sz w:val="20"/>
        </w:rPr>
        <w:t xml:space="preserve"> </w:t>
      </w:r>
      <w:r>
        <w:rPr>
          <w:i/>
          <w:color w:val="00B0F0"/>
          <w:sz w:val="20"/>
        </w:rPr>
        <w:t>(rispetto della competenza economica, completa e corretta rilevazione dei componenti economici positivi e negativi, scritture contabili o carte di lavoro a supporto dei dati rilevati);</w:t>
      </w:r>
    </w:p>
    <w:p w14:paraId="1EB6A9B4" w14:textId="77777777" w:rsidR="009F183C" w:rsidRDefault="00757AA1">
      <w:pPr>
        <w:pStyle w:val="Intestazione"/>
        <w:numPr>
          <w:ilvl w:val="0"/>
          <w:numId w:val="11"/>
        </w:numPr>
        <w:tabs>
          <w:tab w:val="left" w:pos="708"/>
        </w:tabs>
        <w:spacing w:after="0"/>
        <w:ind w:left="357" w:hanging="357"/>
        <w:textAlignment w:val="auto"/>
        <w:rPr>
          <w:i/>
          <w:color w:val="365F91"/>
          <w:sz w:val="20"/>
        </w:rPr>
      </w:pPr>
      <w:r>
        <w:rPr>
          <w:rFonts w:cs="Arial"/>
          <w:iCs/>
          <w:sz w:val="20"/>
        </w:rPr>
        <w:t xml:space="preserve">attendibilità dei valori patrimoniali </w:t>
      </w:r>
      <w:r>
        <w:rPr>
          <w:i/>
          <w:color w:val="00B0F0"/>
          <w:sz w:val="20"/>
        </w:rPr>
        <w:t>(rispetto dei principi contabili per la valutazione e classificazione, conciliazione dei valori con gli inventari);</w:t>
      </w:r>
    </w:p>
    <w:p w14:paraId="60992E0A" w14:textId="77777777" w:rsidR="009F183C" w:rsidRDefault="00757AA1">
      <w:pPr>
        <w:pStyle w:val="Intestazione"/>
        <w:numPr>
          <w:ilvl w:val="0"/>
          <w:numId w:val="11"/>
        </w:numPr>
        <w:tabs>
          <w:tab w:val="left" w:pos="708"/>
        </w:tabs>
        <w:spacing w:after="0"/>
        <w:textAlignment w:val="auto"/>
        <w:rPr>
          <w:rFonts w:cs="Arial"/>
          <w:iCs/>
          <w:sz w:val="20"/>
        </w:rPr>
      </w:pPr>
      <w:r>
        <w:rPr>
          <w:rFonts w:cs="Arial"/>
          <w:iCs/>
          <w:sz w:val="20"/>
        </w:rPr>
        <w:t>analisi e valutazione dei risultati finanziari ed economici generali e di dettaglio della gestione diretta ed indiretta dell’ente;</w:t>
      </w:r>
    </w:p>
    <w:p w14:paraId="6F8812B1" w14:textId="77777777" w:rsidR="009F183C" w:rsidRDefault="00757AA1">
      <w:pPr>
        <w:pStyle w:val="Intestazione"/>
        <w:numPr>
          <w:ilvl w:val="0"/>
          <w:numId w:val="11"/>
        </w:numPr>
        <w:tabs>
          <w:tab w:val="left" w:pos="708"/>
        </w:tabs>
        <w:spacing w:after="0"/>
        <w:textAlignment w:val="auto"/>
        <w:rPr>
          <w:rFonts w:cs="Arial"/>
          <w:iCs/>
          <w:sz w:val="20"/>
        </w:rPr>
      </w:pPr>
      <w:r>
        <w:rPr>
          <w:rFonts w:cs="Arial"/>
          <w:iCs/>
          <w:sz w:val="20"/>
        </w:rPr>
        <w:t>rispetto del piano di rientro del maggior disavanzo da riaccertamento straordinario dei residui;</w:t>
      </w:r>
    </w:p>
    <w:p w14:paraId="52420111" w14:textId="706B7249" w:rsidR="009F183C" w:rsidRDefault="00757AA1">
      <w:pPr>
        <w:pStyle w:val="Intestazione"/>
        <w:numPr>
          <w:ilvl w:val="0"/>
          <w:numId w:val="11"/>
        </w:numPr>
        <w:tabs>
          <w:tab w:val="left" w:pos="708"/>
        </w:tabs>
        <w:spacing w:after="0"/>
        <w:textAlignment w:val="auto"/>
        <w:rPr>
          <w:rFonts w:cs="Arial"/>
          <w:iCs/>
          <w:sz w:val="20"/>
        </w:rPr>
      </w:pPr>
      <w:r>
        <w:rPr>
          <w:rFonts w:cs="Arial"/>
          <w:iCs/>
          <w:sz w:val="20"/>
        </w:rPr>
        <w:t>rispetto del piano di rientro del disavanzo ex art.188, comma 1 del Tuel</w:t>
      </w:r>
      <w:r w:rsidR="0096017F">
        <w:rPr>
          <w:rFonts w:cs="Arial"/>
          <w:iCs/>
          <w:sz w:val="20"/>
        </w:rPr>
        <w:t>;</w:t>
      </w:r>
    </w:p>
    <w:p w14:paraId="492FD140" w14:textId="022C029F" w:rsidR="009F183C" w:rsidRDefault="00757AA1">
      <w:pPr>
        <w:pStyle w:val="Intestazione"/>
        <w:numPr>
          <w:ilvl w:val="0"/>
          <w:numId w:val="11"/>
        </w:numPr>
        <w:tabs>
          <w:tab w:val="left" w:pos="708"/>
        </w:tabs>
        <w:spacing w:after="0"/>
        <w:textAlignment w:val="auto"/>
        <w:rPr>
          <w:rFonts w:cs="Arial"/>
          <w:iCs/>
          <w:sz w:val="20"/>
        </w:rPr>
      </w:pPr>
      <w:r>
        <w:rPr>
          <w:rFonts w:cs="Arial"/>
          <w:iCs/>
          <w:sz w:val="20"/>
        </w:rPr>
        <w:t>rispetto del piano di rientro dell’ulteriore disavanzo formatosi nel corso del periodo considerato nel piano di rientro ex art.188, comma 1, ultimo paragrafo del Tuel</w:t>
      </w:r>
      <w:r w:rsidR="0096017F">
        <w:rPr>
          <w:rFonts w:cs="Arial"/>
          <w:iCs/>
          <w:sz w:val="20"/>
        </w:rPr>
        <w:t>;</w:t>
      </w:r>
    </w:p>
    <w:p w14:paraId="4A7B698E" w14:textId="5A60D3DF" w:rsidR="009F183C" w:rsidRDefault="00757AA1">
      <w:pPr>
        <w:pStyle w:val="Intestazione"/>
        <w:numPr>
          <w:ilvl w:val="0"/>
          <w:numId w:val="11"/>
        </w:numPr>
        <w:tabs>
          <w:tab w:val="left" w:pos="708"/>
        </w:tabs>
        <w:spacing w:after="0"/>
        <w:textAlignment w:val="auto"/>
        <w:rPr>
          <w:rFonts w:cs="Arial"/>
          <w:iCs/>
          <w:sz w:val="20"/>
        </w:rPr>
      </w:pPr>
      <w:r>
        <w:rPr>
          <w:rFonts w:cs="Arial"/>
          <w:iCs/>
          <w:sz w:val="20"/>
        </w:rPr>
        <w:t>rispetto del piano di rientro da disavanzo ex art.243 del Tuel</w:t>
      </w:r>
      <w:r w:rsidR="0096017F">
        <w:rPr>
          <w:rFonts w:cs="Arial"/>
          <w:iCs/>
          <w:sz w:val="20"/>
        </w:rPr>
        <w:t>;</w:t>
      </w:r>
    </w:p>
    <w:p w14:paraId="7B8D363D" w14:textId="513C5EC3" w:rsidR="009F183C" w:rsidRDefault="00757AA1">
      <w:pPr>
        <w:pStyle w:val="Intestazione"/>
        <w:numPr>
          <w:ilvl w:val="0"/>
          <w:numId w:val="11"/>
        </w:numPr>
        <w:tabs>
          <w:tab w:val="left" w:pos="708"/>
        </w:tabs>
        <w:spacing w:after="0"/>
        <w:textAlignment w:val="auto"/>
        <w:rPr>
          <w:rFonts w:cs="Arial"/>
          <w:iCs/>
          <w:sz w:val="20"/>
        </w:rPr>
      </w:pPr>
      <w:r>
        <w:rPr>
          <w:rFonts w:cs="Arial"/>
          <w:iCs/>
          <w:sz w:val="20"/>
        </w:rPr>
        <w:t>proposta sulla destinazione dell’avanzo di amministrazione non vincolato tenendo conto delle priorità in ordine al finanziamento di debiti fuori bilancio ed al vincolo per crediti di dubbia esigibilità.</w:t>
      </w:r>
    </w:p>
    <w:p w14:paraId="140C4040" w14:textId="77777777" w:rsidR="0096017F" w:rsidRDefault="0096017F" w:rsidP="0096017F">
      <w:pPr>
        <w:pStyle w:val="Intestazione"/>
        <w:tabs>
          <w:tab w:val="left" w:pos="708"/>
        </w:tabs>
        <w:spacing w:after="0"/>
        <w:ind w:left="360"/>
        <w:textAlignment w:val="auto"/>
        <w:rPr>
          <w:rFonts w:cs="Arial"/>
          <w:iCs/>
          <w:sz w:val="20"/>
        </w:rPr>
      </w:pPr>
    </w:p>
    <w:p w14:paraId="7366B133" w14:textId="77777777" w:rsidR="009F183C" w:rsidRDefault="00757AA1">
      <w:pPr>
        <w:tabs>
          <w:tab w:val="left" w:pos="284"/>
        </w:tabs>
        <w:rPr>
          <w:sz w:val="20"/>
        </w:rPr>
      </w:pPr>
      <w:r>
        <w:rPr>
          <w:sz w:val="20"/>
        </w:rPr>
        <w:t>Gli elementi che possono essere considerati sono:</w:t>
      </w:r>
    </w:p>
    <w:p w14:paraId="45A8F939" w14:textId="77777777" w:rsidR="009F183C" w:rsidRDefault="00757AA1">
      <w:pPr>
        <w:pStyle w:val="Paragrafoelenco"/>
        <w:numPr>
          <w:ilvl w:val="0"/>
          <w:numId w:val="26"/>
        </w:numPr>
        <w:tabs>
          <w:tab w:val="left" w:pos="284"/>
        </w:tabs>
        <w:rPr>
          <w:rFonts w:cs="Arial"/>
          <w:bCs/>
          <w:iCs/>
          <w:sz w:val="20"/>
        </w:rPr>
      </w:pPr>
      <w:r>
        <w:rPr>
          <w:rFonts w:cs="Arial"/>
          <w:bCs/>
          <w:iCs/>
          <w:sz w:val="20"/>
        </w:rPr>
        <w:t>verifica del raggiungimento degli obiettivi degli organismi gestionali dell’ente e della realizzazione dei programmi</w:t>
      </w:r>
    </w:p>
    <w:p w14:paraId="7E6DD7BF" w14:textId="77777777" w:rsidR="009F183C" w:rsidRDefault="00757AA1">
      <w:pPr>
        <w:pStyle w:val="Paragrafoelenco"/>
        <w:numPr>
          <w:ilvl w:val="0"/>
          <w:numId w:val="26"/>
        </w:numPr>
        <w:tabs>
          <w:tab w:val="left" w:pos="284"/>
        </w:tabs>
        <w:rPr>
          <w:rFonts w:cs="Arial"/>
          <w:bCs/>
          <w:iCs/>
          <w:sz w:val="20"/>
        </w:rPr>
      </w:pPr>
      <w:r>
        <w:rPr>
          <w:rFonts w:cs="Arial"/>
          <w:bCs/>
          <w:iCs/>
          <w:sz w:val="20"/>
        </w:rPr>
        <w:t>economicità della gestione dei servizi pubblici a domanda ed a rilevanza economica;</w:t>
      </w:r>
    </w:p>
    <w:p w14:paraId="56FAA4A2" w14:textId="77777777" w:rsidR="009F183C" w:rsidRDefault="00757AA1">
      <w:pPr>
        <w:pStyle w:val="Paragrafoelenco"/>
        <w:numPr>
          <w:ilvl w:val="0"/>
          <w:numId w:val="26"/>
        </w:numPr>
        <w:tabs>
          <w:tab w:val="left" w:pos="284"/>
        </w:tabs>
        <w:rPr>
          <w:rFonts w:cs="Arial"/>
          <w:bCs/>
          <w:iCs/>
          <w:sz w:val="20"/>
        </w:rPr>
      </w:pPr>
      <w:r>
        <w:rPr>
          <w:rFonts w:cs="Arial"/>
          <w:bCs/>
          <w:iCs/>
          <w:sz w:val="20"/>
        </w:rPr>
        <w:t>economicità delle gestioni degli organismi a cui sono stati affidati servizi pubblici;</w:t>
      </w:r>
    </w:p>
    <w:p w14:paraId="688ACA91" w14:textId="77777777" w:rsidR="009F183C" w:rsidRDefault="00757AA1">
      <w:pPr>
        <w:pStyle w:val="Paragrafoelenco"/>
        <w:numPr>
          <w:ilvl w:val="0"/>
          <w:numId w:val="26"/>
        </w:numPr>
        <w:tabs>
          <w:tab w:val="left" w:pos="284"/>
        </w:tabs>
        <w:rPr>
          <w:rFonts w:cs="Arial"/>
          <w:bCs/>
          <w:iCs/>
          <w:sz w:val="20"/>
        </w:rPr>
      </w:pPr>
      <w:r>
        <w:rPr>
          <w:rFonts w:cs="Arial"/>
          <w:bCs/>
          <w:iCs/>
          <w:sz w:val="20"/>
        </w:rPr>
        <w:t>indebitamento dell’ente, incidenza degli oneri finanziari, possibilità di estinzione anticipata e di rinegoziazione;</w:t>
      </w:r>
    </w:p>
    <w:p w14:paraId="2F8A1636" w14:textId="77777777" w:rsidR="009F183C" w:rsidRDefault="00757AA1">
      <w:pPr>
        <w:pStyle w:val="Paragrafoelenco"/>
        <w:numPr>
          <w:ilvl w:val="0"/>
          <w:numId w:val="26"/>
        </w:numPr>
        <w:tabs>
          <w:tab w:val="left" w:pos="284"/>
        </w:tabs>
        <w:rPr>
          <w:rFonts w:cs="Arial"/>
          <w:iCs/>
          <w:sz w:val="20"/>
        </w:rPr>
      </w:pPr>
      <w:r>
        <w:rPr>
          <w:rFonts w:cs="Arial"/>
          <w:iCs/>
          <w:sz w:val="20"/>
        </w:rPr>
        <w:t>gestione delle risorse umane e relativo costo;</w:t>
      </w:r>
    </w:p>
    <w:p w14:paraId="5F82E0EB" w14:textId="77777777" w:rsidR="009F183C" w:rsidRDefault="00757AA1">
      <w:pPr>
        <w:pStyle w:val="Paragrafoelenco"/>
        <w:numPr>
          <w:ilvl w:val="0"/>
          <w:numId w:val="26"/>
        </w:numPr>
        <w:tabs>
          <w:tab w:val="left" w:pos="284"/>
        </w:tabs>
        <w:rPr>
          <w:rFonts w:cs="Arial"/>
          <w:iCs/>
          <w:sz w:val="20"/>
        </w:rPr>
      </w:pPr>
      <w:r>
        <w:rPr>
          <w:rFonts w:cs="Arial"/>
          <w:iCs/>
          <w:sz w:val="20"/>
        </w:rPr>
        <w:t>gestione delle risorse finanziarie ed economiche, rapporto fra utilità prodotta e risorse consumate,</w:t>
      </w:r>
    </w:p>
    <w:p w14:paraId="3AFB8644" w14:textId="77777777" w:rsidR="009F183C" w:rsidRDefault="00757AA1">
      <w:pPr>
        <w:pStyle w:val="Paragrafoelenco"/>
        <w:numPr>
          <w:ilvl w:val="0"/>
          <w:numId w:val="26"/>
        </w:numPr>
        <w:tabs>
          <w:tab w:val="left" w:pos="284"/>
        </w:tabs>
        <w:rPr>
          <w:rFonts w:cs="Arial"/>
          <w:iCs/>
          <w:sz w:val="20"/>
        </w:rPr>
      </w:pPr>
      <w:r>
        <w:rPr>
          <w:rFonts w:cs="Arial"/>
          <w:iCs/>
          <w:sz w:val="20"/>
        </w:rPr>
        <w:t xml:space="preserve">attendibilità delle previsioni, veridicità del rendiconto, utilità delle informazioni per gli utilizzatori </w:t>
      </w:r>
      <w:r>
        <w:rPr>
          <w:rFonts w:cs="Arial"/>
          <w:iCs/>
          <w:sz w:val="20"/>
        </w:rPr>
        <w:lastRenderedPageBreak/>
        <w:t xml:space="preserve">del sistema di bilancio; </w:t>
      </w:r>
    </w:p>
    <w:p w14:paraId="5E5AB1F2" w14:textId="77777777" w:rsidR="009F183C" w:rsidRDefault="00757AA1">
      <w:pPr>
        <w:numPr>
          <w:ilvl w:val="0"/>
          <w:numId w:val="14"/>
        </w:numPr>
        <w:spacing w:after="0"/>
        <w:textAlignment w:val="auto"/>
        <w:rPr>
          <w:b/>
          <w:i/>
          <w:color w:val="365F91"/>
          <w:sz w:val="20"/>
        </w:rPr>
      </w:pPr>
      <w:r>
        <w:rPr>
          <w:rFonts w:cs="Arial"/>
          <w:iCs/>
          <w:sz w:val="20"/>
        </w:rPr>
        <w:t xml:space="preserve">qualità delle procedure e delle informazioni </w:t>
      </w:r>
      <w:r>
        <w:rPr>
          <w:b/>
          <w:i/>
          <w:color w:val="365F91"/>
          <w:sz w:val="20"/>
        </w:rPr>
        <w:t>(trasparenza, tempestività, semplificazione ecc.);</w:t>
      </w:r>
    </w:p>
    <w:p w14:paraId="5869898C" w14:textId="77777777" w:rsidR="009F183C" w:rsidRDefault="00757AA1">
      <w:pPr>
        <w:numPr>
          <w:ilvl w:val="0"/>
          <w:numId w:val="14"/>
        </w:numPr>
        <w:spacing w:after="0"/>
        <w:textAlignment w:val="auto"/>
        <w:rPr>
          <w:rFonts w:cs="Arial"/>
          <w:iCs/>
          <w:sz w:val="20"/>
        </w:rPr>
      </w:pPr>
      <w:r>
        <w:rPr>
          <w:rFonts w:cs="Arial"/>
          <w:iCs/>
          <w:sz w:val="20"/>
        </w:rPr>
        <w:t>adeguatezza del sistema contabile e funzionamento del sistema di controllo interno;</w:t>
      </w:r>
    </w:p>
    <w:p w14:paraId="63CEAAA1" w14:textId="77777777" w:rsidR="009F183C" w:rsidRDefault="00757AA1">
      <w:pPr>
        <w:numPr>
          <w:ilvl w:val="0"/>
          <w:numId w:val="14"/>
        </w:numPr>
        <w:spacing w:after="0"/>
        <w:textAlignment w:val="auto"/>
        <w:rPr>
          <w:rFonts w:cs="Arial"/>
          <w:iCs/>
          <w:sz w:val="20"/>
        </w:rPr>
      </w:pPr>
      <w:r>
        <w:rPr>
          <w:rFonts w:cs="Arial"/>
          <w:iCs/>
          <w:sz w:val="20"/>
        </w:rPr>
        <w:t>rispetto del principio di riduzione della spesa di personale;</w:t>
      </w:r>
    </w:p>
    <w:p w14:paraId="0A74DC7A" w14:textId="77777777" w:rsidR="009F183C" w:rsidRDefault="00757AA1">
      <w:pPr>
        <w:numPr>
          <w:ilvl w:val="0"/>
          <w:numId w:val="14"/>
        </w:numPr>
        <w:spacing w:after="0"/>
        <w:textAlignment w:val="auto"/>
        <w:rPr>
          <w:rFonts w:cs="Arial"/>
          <w:iCs/>
          <w:sz w:val="20"/>
        </w:rPr>
      </w:pPr>
      <w:r>
        <w:rPr>
          <w:rFonts w:cs="Arial"/>
          <w:iCs/>
          <w:sz w:val="20"/>
        </w:rPr>
        <w:t>rispetto degli obiettivi di finanza pubblica;</w:t>
      </w:r>
    </w:p>
    <w:p w14:paraId="403ADCB5" w14:textId="77777777" w:rsidR="009F183C" w:rsidRDefault="00757AA1">
      <w:pPr>
        <w:widowControl/>
        <w:numPr>
          <w:ilvl w:val="0"/>
          <w:numId w:val="14"/>
        </w:numPr>
        <w:overflowPunct/>
        <w:autoSpaceDE/>
        <w:autoSpaceDN/>
        <w:adjustRightInd/>
        <w:spacing w:after="0"/>
        <w:jc w:val="left"/>
        <w:textAlignment w:val="auto"/>
        <w:rPr>
          <w:rFonts w:cs="Arial"/>
          <w:iCs/>
          <w:sz w:val="20"/>
        </w:rPr>
      </w:pPr>
      <w:r>
        <w:rPr>
          <w:rFonts w:cs="Arial"/>
          <w:iCs/>
          <w:sz w:val="20"/>
        </w:rPr>
        <w:t>mancata applicazione di sanzioni a seguito del non rispetto degli obiettivi del di finanza pubblica.</w:t>
      </w:r>
    </w:p>
    <w:p w14:paraId="2D31E1EC" w14:textId="77777777" w:rsidR="009F183C" w:rsidRDefault="009F183C">
      <w:pPr>
        <w:widowControl/>
        <w:overflowPunct/>
        <w:autoSpaceDE/>
        <w:autoSpaceDN/>
        <w:adjustRightInd/>
        <w:spacing w:after="0"/>
        <w:ind w:left="360"/>
        <w:jc w:val="left"/>
        <w:textAlignment w:val="auto"/>
        <w:rPr>
          <w:rFonts w:cs="Arial"/>
          <w:iCs/>
          <w:sz w:val="20"/>
        </w:rPr>
      </w:pPr>
    </w:p>
    <w:p w14:paraId="6DB4F03A" w14:textId="77777777" w:rsidR="009F183C" w:rsidRDefault="009F183C">
      <w:pPr>
        <w:spacing w:after="0"/>
        <w:textAlignment w:val="auto"/>
        <w:rPr>
          <w:rFonts w:cs="Arial"/>
          <w:iCs/>
          <w:sz w:val="20"/>
        </w:rPr>
      </w:pPr>
    </w:p>
    <w:p w14:paraId="5170C493" w14:textId="77777777" w:rsidR="009F183C" w:rsidRDefault="00757AA1">
      <w:pPr>
        <w:pBdr>
          <w:top w:val="single" w:sz="4" w:space="1" w:color="auto"/>
          <w:left w:val="single" w:sz="4" w:space="4" w:color="auto"/>
          <w:bottom w:val="single" w:sz="4" w:space="1" w:color="auto"/>
          <w:right w:val="single" w:sz="4" w:space="4" w:color="auto"/>
        </w:pBdr>
        <w:shd w:val="clear" w:color="auto" w:fill="D6E3BC" w:themeFill="accent3" w:themeFillTint="66"/>
        <w:spacing w:after="0"/>
        <w:jc w:val="center"/>
        <w:textAlignment w:val="auto"/>
        <w:rPr>
          <w:rFonts w:cs="Arial"/>
          <w:iCs/>
          <w:sz w:val="24"/>
          <w:szCs w:val="24"/>
        </w:rPr>
      </w:pPr>
      <w:r>
        <w:rPr>
          <w:rFonts w:cs="Arial"/>
          <w:b/>
          <w:i/>
          <w:iCs/>
          <w:sz w:val="28"/>
          <w:szCs w:val="28"/>
        </w:rPr>
        <w:t>RIPIANO DISAVANZO (eventuale</w:t>
      </w:r>
      <w:r>
        <w:rPr>
          <w:rFonts w:cs="Arial"/>
          <w:b/>
          <w:iCs/>
          <w:sz w:val="24"/>
          <w:szCs w:val="24"/>
        </w:rPr>
        <w:t>)</w:t>
      </w:r>
    </w:p>
    <w:p w14:paraId="6E321DA1" w14:textId="77777777" w:rsidR="009F183C" w:rsidRDefault="009F183C">
      <w:pPr>
        <w:spacing w:after="0"/>
        <w:textAlignment w:val="auto"/>
        <w:rPr>
          <w:rFonts w:cs="Arial"/>
          <w:iCs/>
          <w:sz w:val="20"/>
        </w:rPr>
      </w:pPr>
    </w:p>
    <w:p w14:paraId="13A7AEB7" w14:textId="77777777" w:rsidR="009F183C" w:rsidRDefault="009F183C">
      <w:pPr>
        <w:spacing w:after="0"/>
        <w:textAlignment w:val="auto"/>
        <w:rPr>
          <w:rFonts w:cs="Arial"/>
          <w:iCs/>
          <w:sz w:val="20"/>
        </w:rPr>
      </w:pPr>
    </w:p>
    <w:p w14:paraId="22E65476" w14:textId="77777777" w:rsidR="009F183C" w:rsidRDefault="00757AA1">
      <w:pPr>
        <w:spacing w:after="0"/>
        <w:textAlignment w:val="auto"/>
        <w:rPr>
          <w:rFonts w:cs="Arial"/>
          <w:iCs/>
          <w:sz w:val="20"/>
        </w:rPr>
      </w:pPr>
      <w:r>
        <w:rPr>
          <w:rFonts w:cs="Arial"/>
          <w:iCs/>
          <w:sz w:val="20"/>
        </w:rPr>
        <w:t xml:space="preserve">Il disavanzo di amministrazione di euro…………………………..deve essere applicato al bilancio per l’esercizio 2018 e può anche essere ripianato negli esercizi successivi considerati nel bilancio di previsione, in ogni caso non oltre la durata della consiliatura, contestualmente all'adozione di una delibera consiliare avente ad oggetto il piano di rientro dal disavanzo nel quale siano individuati i provvedimenti necessari a ripristinare il pareggio. </w:t>
      </w:r>
    </w:p>
    <w:p w14:paraId="7942EC42" w14:textId="77777777" w:rsidR="009F183C" w:rsidRDefault="00757AA1">
      <w:pPr>
        <w:spacing w:after="0"/>
        <w:textAlignment w:val="auto"/>
        <w:rPr>
          <w:rFonts w:cs="Arial"/>
          <w:b/>
          <w:iCs/>
          <w:sz w:val="20"/>
        </w:rPr>
      </w:pPr>
      <w:r>
        <w:rPr>
          <w:rFonts w:cs="Arial"/>
          <w:b/>
          <w:iCs/>
          <w:sz w:val="20"/>
        </w:rPr>
        <w:t>L'eventuale ulteriore disavanzo formatosi nel corso del periodo considerato nel piano di rientro deve essere coperto non oltre la scadenza del piano di rientro in corso.</w:t>
      </w:r>
    </w:p>
    <w:p w14:paraId="176EA56D" w14:textId="77777777" w:rsidR="009F183C" w:rsidRDefault="009F183C">
      <w:pPr>
        <w:spacing w:after="0"/>
        <w:textAlignment w:val="auto"/>
        <w:rPr>
          <w:rFonts w:cs="Arial"/>
          <w:iCs/>
          <w:sz w:val="20"/>
        </w:rPr>
      </w:pPr>
    </w:p>
    <w:p w14:paraId="0ACD0D69" w14:textId="77777777" w:rsidR="009F183C" w:rsidRDefault="009F183C">
      <w:pPr>
        <w:spacing w:after="0"/>
        <w:textAlignment w:val="auto"/>
        <w:rPr>
          <w:rFonts w:cs="Arial"/>
          <w:iCs/>
          <w:sz w:val="20"/>
        </w:rPr>
      </w:pPr>
    </w:p>
    <w:p w14:paraId="77881B34" w14:textId="77777777" w:rsidR="009F183C" w:rsidRPr="009B1C13" w:rsidRDefault="00757AA1">
      <w:pPr>
        <w:spacing w:after="0"/>
        <w:textAlignment w:val="auto"/>
        <w:rPr>
          <w:b/>
          <w:i/>
          <w:color w:val="00B0F0"/>
          <w:sz w:val="20"/>
        </w:rPr>
      </w:pPr>
      <w:r w:rsidRPr="009B1C13">
        <w:rPr>
          <w:b/>
          <w:i/>
          <w:color w:val="00B0F0"/>
          <w:sz w:val="20"/>
        </w:rPr>
        <w:t xml:space="preserve">Agli enti locali che presentino, nell'ultimo rendiconto deliberato, un disavanzo di amministrazione ovvero debiti fuori bilancio, ancorché da riconoscere, nelle more della variazione di bilancio che dispone la copertura del disavanzo e del riconoscimento e finanziamento del debito fuori bilancio, è fatto divieto di assumere impegni e pagare spese per servizi non espressamente previsti per legge. </w:t>
      </w:r>
    </w:p>
    <w:p w14:paraId="3B88A495" w14:textId="77777777" w:rsidR="009F183C" w:rsidRPr="009B1C13" w:rsidRDefault="00757AA1">
      <w:pPr>
        <w:spacing w:after="0"/>
        <w:textAlignment w:val="auto"/>
        <w:rPr>
          <w:b/>
          <w:i/>
          <w:color w:val="00B0F0"/>
          <w:sz w:val="20"/>
        </w:rPr>
      </w:pPr>
      <w:r w:rsidRPr="009B1C13">
        <w:rPr>
          <w:b/>
          <w:i/>
          <w:color w:val="00B0F0"/>
          <w:sz w:val="20"/>
        </w:rPr>
        <w:t>Sono fatte salve le spese da sostenere a fronte di impegni già assunti nei precedenti esercizi.</w:t>
      </w:r>
    </w:p>
    <w:p w14:paraId="041ECA5D" w14:textId="77777777" w:rsidR="009F183C" w:rsidRDefault="009F183C">
      <w:pPr>
        <w:spacing w:after="0"/>
        <w:textAlignment w:val="auto"/>
        <w:rPr>
          <w:rFonts w:cs="Arial"/>
          <w:i/>
          <w:color w:val="1F497D" w:themeColor="text2"/>
          <w:sz w:val="20"/>
        </w:rPr>
      </w:pPr>
    </w:p>
    <w:p w14:paraId="2C460A48" w14:textId="62E0D106" w:rsidR="009F183C" w:rsidRDefault="00757AA1">
      <w:pPr>
        <w:spacing w:after="0"/>
        <w:textAlignment w:val="auto"/>
        <w:rPr>
          <w:rFonts w:cs="Arial"/>
          <w:iCs/>
          <w:sz w:val="20"/>
          <w:u w:val="single"/>
        </w:rPr>
      </w:pPr>
      <w:r>
        <w:rPr>
          <w:rFonts w:cs="Arial"/>
          <w:iCs/>
          <w:sz w:val="20"/>
          <w:u w:val="single"/>
        </w:rPr>
        <w:t>Ripiano maggior disavanzo-decreto Min.</w:t>
      </w:r>
      <w:r w:rsidR="00033EB2">
        <w:rPr>
          <w:rFonts w:cs="Arial"/>
          <w:iCs/>
          <w:sz w:val="20"/>
          <w:u w:val="single"/>
        </w:rPr>
        <w:t xml:space="preserve"> </w:t>
      </w:r>
      <w:r>
        <w:rPr>
          <w:rFonts w:cs="Arial"/>
          <w:iCs/>
          <w:sz w:val="20"/>
          <w:u w:val="single"/>
        </w:rPr>
        <w:t>Ec. 2/4/2015</w:t>
      </w:r>
    </w:p>
    <w:p w14:paraId="1605445A" w14:textId="77777777" w:rsidR="009F183C" w:rsidRDefault="00757AA1">
      <w:pPr>
        <w:spacing w:after="0"/>
        <w:textAlignment w:val="auto"/>
        <w:rPr>
          <w:rFonts w:cs="Arial"/>
          <w:iCs/>
          <w:sz w:val="20"/>
        </w:rPr>
      </w:pPr>
      <w:r>
        <w:rPr>
          <w:rFonts w:cs="Arial"/>
          <w:iCs/>
          <w:sz w:val="20"/>
        </w:rPr>
        <w:t>Il risultato di amministrazione al 31/12/2017 è migliorato rispetto al disavanzo al 1/1/2017 per un importo pari o superiore al disavanzo applicato al bilancio 2017.</w:t>
      </w:r>
    </w:p>
    <w:p w14:paraId="631BDC27" w14:textId="77777777" w:rsidR="009F183C" w:rsidRDefault="009F183C">
      <w:pPr>
        <w:spacing w:after="0"/>
        <w:textAlignment w:val="auto"/>
        <w:rPr>
          <w:rFonts w:cs="Arial"/>
          <w:iCs/>
          <w:sz w:val="20"/>
        </w:rPr>
      </w:pPr>
    </w:p>
    <w:p w14:paraId="3ED9AB7F" w14:textId="77777777" w:rsidR="009F183C" w:rsidRDefault="009F183C">
      <w:pPr>
        <w:spacing w:after="0"/>
        <w:textAlignment w:val="auto"/>
        <w:rPr>
          <w:rFonts w:cs="Arial"/>
          <w:iCs/>
          <w:sz w:val="20"/>
        </w:rPr>
      </w:pPr>
    </w:p>
    <w:bookmarkStart w:id="109" w:name="_MON_1562161930"/>
    <w:bookmarkEnd w:id="109"/>
    <w:p w14:paraId="3F94ED1F" w14:textId="77777777" w:rsidR="009F183C" w:rsidRDefault="00757AA1">
      <w:pPr>
        <w:spacing w:after="0"/>
        <w:textAlignment w:val="auto"/>
        <w:rPr>
          <w:rFonts w:cs="Arial"/>
          <w:iCs/>
          <w:sz w:val="20"/>
        </w:rPr>
      </w:pPr>
      <w:r>
        <w:rPr>
          <w:rFonts w:cs="Arial"/>
          <w:b/>
          <w:sz w:val="18"/>
          <w:lang w:eastAsia="en-US"/>
        </w:rPr>
        <w:object w:dxaOrig="9177" w:dyaOrig="2358" w14:anchorId="551A8570">
          <v:shape id="_x0000_i1071" type="#_x0000_t75" style="width:461.25pt;height:114.75pt" o:ole="">
            <v:imagedata r:id="rId109" o:title=""/>
          </v:shape>
          <o:OLEObject Type="Embed" ProgID="Excel.Sheet.8" ShapeID="_x0000_i1071" DrawAspect="Content" ObjectID="_1780988582" r:id="rId110"/>
        </w:object>
      </w:r>
    </w:p>
    <w:p w14:paraId="4F598AC3" w14:textId="77777777" w:rsidR="009F183C" w:rsidRDefault="009F183C">
      <w:pPr>
        <w:spacing w:after="0"/>
        <w:textAlignment w:val="auto"/>
        <w:rPr>
          <w:rFonts w:cs="Arial"/>
          <w:iCs/>
          <w:sz w:val="20"/>
        </w:rPr>
      </w:pPr>
    </w:p>
    <w:p w14:paraId="392D4623" w14:textId="77777777" w:rsidR="009F183C" w:rsidRPr="009B1C13" w:rsidRDefault="00757AA1">
      <w:pPr>
        <w:spacing w:after="0"/>
        <w:textAlignment w:val="auto"/>
        <w:rPr>
          <w:i/>
          <w:color w:val="00B0F0"/>
          <w:sz w:val="20"/>
        </w:rPr>
      </w:pPr>
      <w:r w:rsidRPr="009B1C13">
        <w:rPr>
          <w:i/>
          <w:color w:val="00B0F0"/>
          <w:sz w:val="20"/>
        </w:rPr>
        <w:t>Se da tale confronto risulta che il disavanzo non è stato recuperato la quota non recuperata nel 2017 e l’eventuale maggior disavanzo è interamente applicato al primo esercizio del bilancio 2018/2020 in aggiunta alla quota annuale di rientro.</w:t>
      </w:r>
    </w:p>
    <w:p w14:paraId="18E88AC1" w14:textId="77777777" w:rsidR="009F183C" w:rsidRPr="009B1C13" w:rsidRDefault="00757AA1">
      <w:pPr>
        <w:spacing w:after="0"/>
        <w:textAlignment w:val="auto"/>
        <w:rPr>
          <w:i/>
          <w:color w:val="00B0F0"/>
          <w:sz w:val="20"/>
        </w:rPr>
      </w:pPr>
      <w:r w:rsidRPr="009B1C13">
        <w:rPr>
          <w:i/>
          <w:color w:val="00B0F0"/>
          <w:sz w:val="20"/>
        </w:rPr>
        <w:t>Il recupero dell’eventuale maggior disavanzo può essere ripianato non oltre la durata della consiliatura con un piano di rientro secondo le modalità dell’art.188 del TUEL.</w:t>
      </w:r>
    </w:p>
    <w:p w14:paraId="2C1FC004" w14:textId="77777777" w:rsidR="009F183C" w:rsidRDefault="009F183C">
      <w:pPr>
        <w:spacing w:after="0"/>
        <w:textAlignment w:val="auto"/>
        <w:rPr>
          <w:rFonts w:cs="Arial"/>
          <w:iCs/>
          <w:color w:val="0070C0"/>
          <w:sz w:val="20"/>
        </w:rPr>
      </w:pPr>
    </w:p>
    <w:p w14:paraId="5916323E" w14:textId="77777777" w:rsidR="009F183C" w:rsidRDefault="009F183C">
      <w:pPr>
        <w:spacing w:after="0"/>
        <w:textAlignment w:val="auto"/>
        <w:rPr>
          <w:rFonts w:cs="Arial"/>
          <w:iCs/>
          <w:color w:val="0070C0"/>
          <w:sz w:val="20"/>
        </w:rPr>
      </w:pPr>
    </w:p>
    <w:p w14:paraId="439257BB" w14:textId="77777777" w:rsidR="009F183C" w:rsidRDefault="009F183C">
      <w:pPr>
        <w:spacing w:after="0"/>
        <w:textAlignment w:val="auto"/>
        <w:rPr>
          <w:rFonts w:cs="Arial"/>
          <w:iCs/>
          <w:color w:val="0070C0"/>
          <w:sz w:val="20"/>
        </w:rPr>
      </w:pPr>
    </w:p>
    <w:p w14:paraId="378B54DB" w14:textId="77777777" w:rsidR="009B1C13" w:rsidRDefault="009B1C13">
      <w:pPr>
        <w:spacing w:after="0"/>
        <w:textAlignment w:val="auto"/>
        <w:rPr>
          <w:rFonts w:cs="Arial"/>
          <w:iCs/>
          <w:color w:val="0070C0"/>
          <w:sz w:val="20"/>
        </w:rPr>
      </w:pPr>
    </w:p>
    <w:p w14:paraId="7743358A" w14:textId="77777777" w:rsidR="009B1C13" w:rsidRDefault="009B1C13">
      <w:pPr>
        <w:spacing w:after="0"/>
        <w:textAlignment w:val="auto"/>
        <w:rPr>
          <w:rFonts w:cs="Arial"/>
          <w:iCs/>
          <w:color w:val="0070C0"/>
          <w:sz w:val="20"/>
        </w:rPr>
      </w:pPr>
    </w:p>
    <w:p w14:paraId="6869E31F" w14:textId="77777777" w:rsidR="009B1C13" w:rsidRDefault="009B1C13">
      <w:pPr>
        <w:spacing w:after="0"/>
        <w:textAlignment w:val="auto"/>
        <w:rPr>
          <w:rFonts w:cs="Arial"/>
          <w:iCs/>
          <w:color w:val="0070C0"/>
          <w:sz w:val="20"/>
        </w:rPr>
      </w:pPr>
    </w:p>
    <w:p w14:paraId="413AFCFF" w14:textId="77777777" w:rsidR="009B1C13" w:rsidRDefault="009B1C13">
      <w:pPr>
        <w:spacing w:after="0"/>
        <w:textAlignment w:val="auto"/>
        <w:rPr>
          <w:rFonts w:cs="Arial"/>
          <w:iCs/>
          <w:color w:val="0070C0"/>
          <w:sz w:val="20"/>
        </w:rPr>
      </w:pPr>
    </w:p>
    <w:bookmarkStart w:id="110" w:name="_MON_1581337910"/>
    <w:bookmarkEnd w:id="110"/>
    <w:p w14:paraId="603C674A" w14:textId="5F32FCF6" w:rsidR="009F183C" w:rsidRDefault="00833685">
      <w:pPr>
        <w:spacing w:after="0"/>
        <w:textAlignment w:val="auto"/>
        <w:rPr>
          <w:noProof/>
        </w:rPr>
      </w:pPr>
      <w:r>
        <w:rPr>
          <w:noProof/>
        </w:rPr>
        <w:object w:dxaOrig="9682" w:dyaOrig="13421" w14:anchorId="0153040A">
          <v:shape id="_x0000_i1072" type="#_x0000_t75" style="width:482.25pt;height:669.75pt" o:ole="">
            <v:imagedata r:id="rId111" o:title=""/>
          </v:shape>
          <o:OLEObject Type="Embed" ProgID="Excel.Sheet.12" ShapeID="_x0000_i1072" DrawAspect="Content" ObjectID="_1780988583" r:id="rId112"/>
        </w:object>
      </w:r>
    </w:p>
    <w:p w14:paraId="3F80B510" w14:textId="77777777" w:rsidR="00185F7F" w:rsidRDefault="00185F7F">
      <w:pPr>
        <w:spacing w:after="0"/>
        <w:textAlignment w:val="auto"/>
        <w:rPr>
          <w:rFonts w:cs="Arial"/>
          <w:iCs/>
          <w:color w:val="0070C0"/>
          <w:sz w:val="20"/>
        </w:rPr>
      </w:pPr>
    </w:p>
    <w:p w14:paraId="0853713B" w14:textId="77777777" w:rsidR="009F183C" w:rsidRDefault="009F183C">
      <w:pPr>
        <w:spacing w:after="0"/>
        <w:textAlignment w:val="auto"/>
        <w:rPr>
          <w:rFonts w:cs="Arial"/>
          <w:iCs/>
          <w:color w:val="0070C0"/>
          <w:sz w:val="20"/>
        </w:rPr>
      </w:pPr>
    </w:p>
    <w:p w14:paraId="78C28322" w14:textId="77777777" w:rsidR="009F183C" w:rsidRDefault="00757AA1">
      <w:pPr>
        <w:pStyle w:val="Titolo1"/>
        <w:shd w:val="clear" w:color="auto" w:fill="D6E3BC" w:themeFill="accent3" w:themeFillTint="66"/>
      </w:pPr>
      <w:bookmarkStart w:id="111" w:name="_Toc379377492"/>
      <w:bookmarkStart w:id="112" w:name="_Toc507691960"/>
      <w:r>
        <w:t>CONCLUSIONI</w:t>
      </w:r>
      <w:bookmarkEnd w:id="111"/>
      <w:bookmarkEnd w:id="112"/>
    </w:p>
    <w:p w14:paraId="59E2EEC5" w14:textId="77777777" w:rsidR="0096017F" w:rsidRDefault="0096017F">
      <w:pPr>
        <w:pStyle w:val="Corpodeltesto3"/>
        <w:rPr>
          <w:rFonts w:cs="Arial"/>
          <w:bCs/>
        </w:rPr>
      </w:pPr>
    </w:p>
    <w:p w14:paraId="592DB818" w14:textId="578D1171" w:rsidR="009F183C" w:rsidRDefault="00757AA1">
      <w:pPr>
        <w:pStyle w:val="Corpodeltesto3"/>
        <w:rPr>
          <w:i/>
          <w:color w:val="00B0F0"/>
        </w:rPr>
      </w:pPr>
      <w:r>
        <w:rPr>
          <w:rFonts w:cs="Arial"/>
          <w:bCs/>
        </w:rPr>
        <w:t xml:space="preserve">Tenuto conto di tutto quanto esposto, rilevato e proposto si attesta la corrispondenza del rendiconto alle risultanze della gestione e si esprime parere favorevole per l’approvazione del rendiconto dell’esercizio finanziario 2017 e si propone di accantonare una parte dell’avanzo di amministrazione disponibile per le finalità indicate nella presente relazione </w:t>
      </w:r>
      <w:r>
        <w:rPr>
          <w:i/>
          <w:color w:val="00B0F0"/>
        </w:rPr>
        <w:t xml:space="preserve">(residui attivi di dubbia esigibilità, debiti fuori bilancio, passività potenziali probabili, derivati, Fondo anticipo liquidità cassa dd.pp., altro…….). </w:t>
      </w:r>
    </w:p>
    <w:p w14:paraId="49FC5D97" w14:textId="77777777" w:rsidR="009F183C" w:rsidRDefault="009F183C">
      <w:pPr>
        <w:rPr>
          <w:rFonts w:cs="Arial"/>
          <w:i/>
          <w:iCs/>
          <w:sz w:val="20"/>
          <w:u w:val="single"/>
        </w:rPr>
      </w:pPr>
    </w:p>
    <w:p w14:paraId="719F40C5" w14:textId="77777777" w:rsidR="009F183C" w:rsidRDefault="00757AA1">
      <w:pPr>
        <w:rPr>
          <w:rFonts w:cs="Arial"/>
          <w:i/>
          <w:iCs/>
          <w:sz w:val="20"/>
        </w:rPr>
      </w:pPr>
      <w:r>
        <w:rPr>
          <w:rFonts w:cs="Arial"/>
          <w:i/>
          <w:iCs/>
          <w:sz w:val="20"/>
        </w:rPr>
        <w:t>Oppure:</w:t>
      </w:r>
    </w:p>
    <w:p w14:paraId="0584BA62" w14:textId="77777777" w:rsidR="009F183C" w:rsidRDefault="00757AA1">
      <w:pPr>
        <w:rPr>
          <w:rFonts w:cs="Arial"/>
          <w:bCs/>
          <w:iCs/>
          <w:sz w:val="20"/>
        </w:rPr>
      </w:pPr>
      <w:r>
        <w:rPr>
          <w:rFonts w:cs="Arial"/>
          <w:bCs/>
          <w:iCs/>
          <w:sz w:val="20"/>
        </w:rPr>
        <w:t>Sulla base dei rilievi evidenziati relativi a _________________, non si esprime parere favorevole per l’approvazione del rendiconto dell’esercizio finanziario 2017 e si invita l’organo consiliare ad adottare i provvedimenti di competenza.</w:t>
      </w:r>
    </w:p>
    <w:p w14:paraId="4FEEFBF8" w14:textId="77777777" w:rsidR="009F183C" w:rsidRDefault="009F183C">
      <w:pPr>
        <w:rPr>
          <w:rFonts w:cs="Arial"/>
          <w:sz w:val="20"/>
        </w:rPr>
      </w:pPr>
    </w:p>
    <w:p w14:paraId="1E45460B" w14:textId="77777777" w:rsidR="009F183C" w:rsidRDefault="00757AA1">
      <w:pPr>
        <w:rPr>
          <w:rFonts w:cs="Arial"/>
          <w:bCs/>
          <w:iCs/>
          <w:sz w:val="20"/>
        </w:rPr>
      </w:pPr>
      <w:r>
        <w:rPr>
          <w:rFonts w:cs="Arial"/>
          <w:bCs/>
          <w:iCs/>
          <w:sz w:val="20"/>
        </w:rPr>
        <w:t>Si esprime parere favorevole per l’approvazione del rendiconto 2017 limitatamente ai risultati della gestione finanziaria mentre riguardo al conto economico, in considerazione dei rilievi esposti al punto ___, non si è in grado di attestarne la completezza e l’attendibilità.</w:t>
      </w:r>
    </w:p>
    <w:p w14:paraId="629CCB84" w14:textId="77777777" w:rsidR="009F183C" w:rsidRDefault="009F183C">
      <w:pPr>
        <w:rPr>
          <w:rFonts w:cs="Arial"/>
          <w:bCs/>
          <w:iCs/>
          <w:sz w:val="20"/>
        </w:rPr>
      </w:pPr>
    </w:p>
    <w:p w14:paraId="343877A5" w14:textId="77777777" w:rsidR="009F183C" w:rsidRDefault="00757AA1">
      <w:pPr>
        <w:rPr>
          <w:rFonts w:cs="Arial"/>
          <w:bCs/>
          <w:iCs/>
          <w:sz w:val="20"/>
        </w:rPr>
      </w:pPr>
      <w:r>
        <w:rPr>
          <w:rFonts w:cs="Arial"/>
          <w:bCs/>
          <w:iCs/>
          <w:sz w:val="20"/>
        </w:rPr>
        <w:t>Si esprime parere favorevole per l’approvazione del rendiconto 2017 nell’intesa che per le riserve espresse al punto _____ si provveda entro il termine del __ __ __ a rettificare il rendiconto /a completare o integrare la seguente documentazione: ______________.</w:t>
      </w:r>
    </w:p>
    <w:p w14:paraId="7552D5F8" w14:textId="77777777" w:rsidR="009F183C" w:rsidRDefault="009F183C">
      <w:pPr>
        <w:rPr>
          <w:rFonts w:cs="Arial"/>
          <w:sz w:val="20"/>
        </w:rPr>
      </w:pPr>
    </w:p>
    <w:p w14:paraId="05E793EB" w14:textId="77777777" w:rsidR="009F183C" w:rsidRDefault="00757AA1">
      <w:pPr>
        <w:pStyle w:val="Titolo"/>
        <w:ind w:left="4254" w:firstLine="709"/>
        <w:rPr>
          <w:b w:val="0"/>
          <w:sz w:val="20"/>
        </w:rPr>
      </w:pPr>
      <w:r>
        <w:rPr>
          <w:b w:val="0"/>
          <w:sz w:val="20"/>
        </w:rPr>
        <w:t>L’Organo di revisione</w:t>
      </w:r>
    </w:p>
    <w:sectPr w:rsidR="009F183C" w:rsidSect="00185F7F">
      <w:headerReference w:type="even" r:id="rId113"/>
      <w:headerReference w:type="default" r:id="rId114"/>
      <w:footerReference w:type="even" r:id="rId115"/>
      <w:footerReference w:type="default" r:id="rId116"/>
      <w:headerReference w:type="first" r:id="rId117"/>
      <w:footerReference w:type="first" r:id="rId118"/>
      <w:pgSz w:w="11907" w:h="16840" w:code="9"/>
      <w:pgMar w:top="567" w:right="1842"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BEF09" w14:textId="77777777" w:rsidR="00C776E7" w:rsidRDefault="00C776E7">
      <w:r>
        <w:separator/>
      </w:r>
    </w:p>
  </w:endnote>
  <w:endnote w:type="continuationSeparator" w:id="0">
    <w:p w14:paraId="7BDD002E" w14:textId="77777777" w:rsidR="00C776E7" w:rsidRDefault="00C7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Light">
    <w:altName w:val="Calibri"/>
    <w:panose1 w:val="00000000000000000000"/>
    <w:charset w:val="00"/>
    <w:family w:val="auto"/>
    <w:notTrueType/>
    <w:pitch w:val="default"/>
    <w:sig w:usb0="00000003" w:usb1="00000000" w:usb2="00000000" w:usb3="00000000" w:csb0="00000001" w:csb1="00000000"/>
  </w:font>
  <w:font w:name="UniversExBlkEx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MT">
    <w:altName w:val="Times New Roman"/>
    <w:charset w:val="00"/>
    <w:family w:val="swiss"/>
    <w:pitch w:val="variable"/>
  </w:font>
  <w:font w:name="Book Antiqua">
    <w:altName w:val="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135CA" w14:textId="77777777" w:rsidR="00CD2711" w:rsidRDefault="00CD271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2892287"/>
      <w:docPartObj>
        <w:docPartGallery w:val="Page Numbers (Bottom of Page)"/>
        <w:docPartUnique/>
      </w:docPartObj>
    </w:sdtPr>
    <w:sdtContent>
      <w:p w14:paraId="2BB0C424" w14:textId="3DA51280" w:rsidR="00CD2711" w:rsidRDefault="00CD2711">
        <w:pPr>
          <w:pStyle w:val="Pidipagina"/>
          <w:jc w:val="right"/>
        </w:pPr>
        <w:r>
          <w:fldChar w:fldCharType="begin"/>
        </w:r>
        <w:r>
          <w:instrText>PAGE   \* MERGEFORMAT</w:instrText>
        </w:r>
        <w:r>
          <w:fldChar w:fldCharType="separate"/>
        </w:r>
        <w:r w:rsidR="00273A86">
          <w:rPr>
            <w:noProof/>
          </w:rPr>
          <w:t>22</w:t>
        </w:r>
        <w:r>
          <w:rPr>
            <w:noProof/>
          </w:rPr>
          <w:fldChar w:fldCharType="end"/>
        </w:r>
      </w:p>
    </w:sdtContent>
  </w:sdt>
  <w:p w14:paraId="37615D57" w14:textId="77777777" w:rsidR="00CD2711" w:rsidRDefault="00CD271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D6348" w14:textId="77777777" w:rsidR="00CD2711" w:rsidRDefault="00CD271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0E10B" w14:textId="77777777" w:rsidR="00C776E7" w:rsidRDefault="00C776E7">
      <w:r>
        <w:separator/>
      </w:r>
    </w:p>
  </w:footnote>
  <w:footnote w:type="continuationSeparator" w:id="0">
    <w:p w14:paraId="3B2AF7F3" w14:textId="77777777" w:rsidR="00C776E7" w:rsidRDefault="00C776E7">
      <w:r>
        <w:continuationSeparator/>
      </w:r>
    </w:p>
  </w:footnote>
  <w:footnote w:type="continuationNotice" w:id="1">
    <w:p w14:paraId="4298EE66" w14:textId="77777777" w:rsidR="00C776E7" w:rsidRDefault="00C776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AD1B9" w14:textId="77777777" w:rsidR="00CD2711" w:rsidRDefault="00CD271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90D7A" w14:textId="77777777" w:rsidR="00CD2711" w:rsidRDefault="00CD271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D25E1" w14:textId="77777777" w:rsidR="00CD2711" w:rsidRDefault="00CD271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54C79B0"/>
    <w:lvl w:ilvl="0">
      <w:numFmt w:val="decimal"/>
      <w:lvlText w:val="*"/>
      <w:lvlJc w:val="left"/>
    </w:lvl>
  </w:abstractNum>
  <w:abstractNum w:abstractNumId="1" w15:restartNumberingAfterBreak="0">
    <w:nsid w:val="022C0C81"/>
    <w:multiLevelType w:val="hybridMultilevel"/>
    <w:tmpl w:val="D5FCC1EC"/>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029B3358"/>
    <w:multiLevelType w:val="hybridMultilevel"/>
    <w:tmpl w:val="FB5EFA2A"/>
    <w:lvl w:ilvl="0" w:tplc="754C79B0">
      <w:start w:val="1"/>
      <w:numFmt w:val="bullet"/>
      <w:lvlText w:val=""/>
      <w:legacy w:legacy="1" w:legacySpace="0" w:legacyIndent="360"/>
      <w:lvlJc w:val="left"/>
      <w:pPr>
        <w:ind w:left="709"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666AC"/>
    <w:multiLevelType w:val="hybridMultilevel"/>
    <w:tmpl w:val="57DCF676"/>
    <w:lvl w:ilvl="0" w:tplc="43A81B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7B77F4"/>
    <w:multiLevelType w:val="hybridMultilevel"/>
    <w:tmpl w:val="45D0D05A"/>
    <w:lvl w:ilvl="0" w:tplc="46FA478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78C1BBC"/>
    <w:multiLevelType w:val="hybridMultilevel"/>
    <w:tmpl w:val="DC18082A"/>
    <w:lvl w:ilvl="0" w:tplc="F9BC5D8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6131CA"/>
    <w:multiLevelType w:val="hybridMultilevel"/>
    <w:tmpl w:val="B1DE394E"/>
    <w:lvl w:ilvl="0" w:tplc="F9BC5D8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1543BA"/>
    <w:multiLevelType w:val="hybridMultilevel"/>
    <w:tmpl w:val="F5B4A412"/>
    <w:lvl w:ilvl="0" w:tplc="46FA478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0FB0195"/>
    <w:multiLevelType w:val="hybridMultilevel"/>
    <w:tmpl w:val="EDE4DD7E"/>
    <w:lvl w:ilvl="0" w:tplc="F9BC5D8E">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DD73AE"/>
    <w:multiLevelType w:val="hybridMultilevel"/>
    <w:tmpl w:val="5E12665C"/>
    <w:lvl w:ilvl="0" w:tplc="F9BC5D8E">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281026B5"/>
    <w:multiLevelType w:val="hybridMultilevel"/>
    <w:tmpl w:val="464AE6FA"/>
    <w:lvl w:ilvl="0" w:tplc="B6904872">
      <w:start w:val="1"/>
      <w:numFmt w:val="bullet"/>
      <w:lvlText w:val="-"/>
      <w:lvlJc w:val="left"/>
      <w:pPr>
        <w:tabs>
          <w:tab w:val="num" w:pos="720"/>
        </w:tabs>
        <w:ind w:left="720" w:hanging="360"/>
      </w:pPr>
      <w:rPr>
        <w:rFonts w:ascii="Times New Roman" w:hAnsi="Times New Roman" w:hint="default"/>
      </w:rPr>
    </w:lvl>
    <w:lvl w:ilvl="1" w:tplc="BE681E1E" w:tentative="1">
      <w:start w:val="1"/>
      <w:numFmt w:val="bullet"/>
      <w:lvlText w:val="-"/>
      <w:lvlJc w:val="left"/>
      <w:pPr>
        <w:tabs>
          <w:tab w:val="num" w:pos="1440"/>
        </w:tabs>
        <w:ind w:left="1440" w:hanging="360"/>
      </w:pPr>
      <w:rPr>
        <w:rFonts w:ascii="Times New Roman" w:hAnsi="Times New Roman" w:hint="default"/>
      </w:rPr>
    </w:lvl>
    <w:lvl w:ilvl="2" w:tplc="A51C9C40" w:tentative="1">
      <w:start w:val="1"/>
      <w:numFmt w:val="bullet"/>
      <w:lvlText w:val="-"/>
      <w:lvlJc w:val="left"/>
      <w:pPr>
        <w:tabs>
          <w:tab w:val="num" w:pos="2160"/>
        </w:tabs>
        <w:ind w:left="2160" w:hanging="360"/>
      </w:pPr>
      <w:rPr>
        <w:rFonts w:ascii="Times New Roman" w:hAnsi="Times New Roman" w:hint="default"/>
      </w:rPr>
    </w:lvl>
    <w:lvl w:ilvl="3" w:tplc="C96005EA" w:tentative="1">
      <w:start w:val="1"/>
      <w:numFmt w:val="bullet"/>
      <w:lvlText w:val="-"/>
      <w:lvlJc w:val="left"/>
      <w:pPr>
        <w:tabs>
          <w:tab w:val="num" w:pos="2880"/>
        </w:tabs>
        <w:ind w:left="2880" w:hanging="360"/>
      </w:pPr>
      <w:rPr>
        <w:rFonts w:ascii="Times New Roman" w:hAnsi="Times New Roman" w:hint="default"/>
      </w:rPr>
    </w:lvl>
    <w:lvl w:ilvl="4" w:tplc="1A64B174" w:tentative="1">
      <w:start w:val="1"/>
      <w:numFmt w:val="bullet"/>
      <w:lvlText w:val="-"/>
      <w:lvlJc w:val="left"/>
      <w:pPr>
        <w:tabs>
          <w:tab w:val="num" w:pos="3600"/>
        </w:tabs>
        <w:ind w:left="3600" w:hanging="360"/>
      </w:pPr>
      <w:rPr>
        <w:rFonts w:ascii="Times New Roman" w:hAnsi="Times New Roman" w:hint="default"/>
      </w:rPr>
    </w:lvl>
    <w:lvl w:ilvl="5" w:tplc="41A0EB2A" w:tentative="1">
      <w:start w:val="1"/>
      <w:numFmt w:val="bullet"/>
      <w:lvlText w:val="-"/>
      <w:lvlJc w:val="left"/>
      <w:pPr>
        <w:tabs>
          <w:tab w:val="num" w:pos="4320"/>
        </w:tabs>
        <w:ind w:left="4320" w:hanging="360"/>
      </w:pPr>
      <w:rPr>
        <w:rFonts w:ascii="Times New Roman" w:hAnsi="Times New Roman" w:hint="default"/>
      </w:rPr>
    </w:lvl>
    <w:lvl w:ilvl="6" w:tplc="281C0BDE" w:tentative="1">
      <w:start w:val="1"/>
      <w:numFmt w:val="bullet"/>
      <w:lvlText w:val="-"/>
      <w:lvlJc w:val="left"/>
      <w:pPr>
        <w:tabs>
          <w:tab w:val="num" w:pos="5040"/>
        </w:tabs>
        <w:ind w:left="5040" w:hanging="360"/>
      </w:pPr>
      <w:rPr>
        <w:rFonts w:ascii="Times New Roman" w:hAnsi="Times New Roman" w:hint="default"/>
      </w:rPr>
    </w:lvl>
    <w:lvl w:ilvl="7" w:tplc="C2BA165C" w:tentative="1">
      <w:start w:val="1"/>
      <w:numFmt w:val="bullet"/>
      <w:lvlText w:val="-"/>
      <w:lvlJc w:val="left"/>
      <w:pPr>
        <w:tabs>
          <w:tab w:val="num" w:pos="5760"/>
        </w:tabs>
        <w:ind w:left="5760" w:hanging="360"/>
      </w:pPr>
      <w:rPr>
        <w:rFonts w:ascii="Times New Roman" w:hAnsi="Times New Roman" w:hint="default"/>
      </w:rPr>
    </w:lvl>
    <w:lvl w:ilvl="8" w:tplc="322079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9056661"/>
    <w:multiLevelType w:val="hybridMultilevel"/>
    <w:tmpl w:val="83B64C00"/>
    <w:lvl w:ilvl="0" w:tplc="3FAE5BD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072432"/>
    <w:multiLevelType w:val="hybridMultilevel"/>
    <w:tmpl w:val="9C6ECEB4"/>
    <w:lvl w:ilvl="0" w:tplc="04100017">
      <w:start w:val="1"/>
      <w:numFmt w:val="lowerLetter"/>
      <w:lvlText w:val="%1)"/>
      <w:lvlJc w:val="left"/>
      <w:pPr>
        <w:tabs>
          <w:tab w:val="num" w:pos="502"/>
        </w:tabs>
        <w:ind w:left="502"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15:restartNumberingAfterBreak="0">
    <w:nsid w:val="39162DC3"/>
    <w:multiLevelType w:val="hybridMultilevel"/>
    <w:tmpl w:val="1A9E6E00"/>
    <w:lvl w:ilvl="0" w:tplc="04100017">
      <w:start w:val="1"/>
      <w:numFmt w:val="lowerLetter"/>
      <w:lvlText w:val="%1)"/>
      <w:lvlJc w:val="left"/>
      <w:pPr>
        <w:ind w:left="360" w:hanging="360"/>
      </w:pPr>
    </w:lvl>
    <w:lvl w:ilvl="1" w:tplc="78F031B0">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A9A5D24"/>
    <w:multiLevelType w:val="hybridMultilevel"/>
    <w:tmpl w:val="874ABE7A"/>
    <w:lvl w:ilvl="0" w:tplc="F9BC5D8E">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3D3E469D"/>
    <w:multiLevelType w:val="hybridMultilevel"/>
    <w:tmpl w:val="5F7A22CA"/>
    <w:lvl w:ilvl="0" w:tplc="754C79B0">
      <w:start w:val="1"/>
      <w:numFmt w:val="bullet"/>
      <w:lvlText w:val=""/>
      <w:legacy w:legacy="1" w:legacySpace="0" w:legacyIndent="360"/>
      <w:lvlJc w:val="left"/>
      <w:pPr>
        <w:ind w:left="709"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F503A5"/>
    <w:multiLevelType w:val="hybridMultilevel"/>
    <w:tmpl w:val="A33CE7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3AC6C46"/>
    <w:multiLevelType w:val="hybridMultilevel"/>
    <w:tmpl w:val="FB2456A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466427C4"/>
    <w:multiLevelType w:val="hybridMultilevel"/>
    <w:tmpl w:val="3AEA868E"/>
    <w:lvl w:ilvl="0" w:tplc="172E9E2A">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8F0DC9"/>
    <w:multiLevelType w:val="hybridMultilevel"/>
    <w:tmpl w:val="F9584024"/>
    <w:lvl w:ilvl="0" w:tplc="754C79B0">
      <w:start w:val="1"/>
      <w:numFmt w:val="bullet"/>
      <w:lvlText w:val=""/>
      <w:legacy w:legacy="1" w:legacySpace="0" w:legacyIndent="360"/>
      <w:lvlJc w:val="left"/>
      <w:pPr>
        <w:ind w:left="357" w:hanging="360"/>
      </w:pPr>
      <w:rPr>
        <w:rFonts w:ascii="Symbol" w:hAnsi="Symbol" w:hint="default"/>
      </w:rPr>
    </w:lvl>
    <w:lvl w:ilvl="1" w:tplc="04100003" w:tentative="1">
      <w:start w:val="1"/>
      <w:numFmt w:val="bullet"/>
      <w:lvlText w:val="o"/>
      <w:lvlJc w:val="left"/>
      <w:pPr>
        <w:tabs>
          <w:tab w:val="num" w:pos="1088"/>
        </w:tabs>
        <w:ind w:left="1088" w:hanging="360"/>
      </w:pPr>
      <w:rPr>
        <w:rFonts w:ascii="Courier New" w:hAnsi="Courier New" w:hint="default"/>
      </w:rPr>
    </w:lvl>
    <w:lvl w:ilvl="2" w:tplc="04100005" w:tentative="1">
      <w:start w:val="1"/>
      <w:numFmt w:val="bullet"/>
      <w:lvlText w:val=""/>
      <w:lvlJc w:val="left"/>
      <w:pPr>
        <w:tabs>
          <w:tab w:val="num" w:pos="1808"/>
        </w:tabs>
        <w:ind w:left="1808" w:hanging="360"/>
      </w:pPr>
      <w:rPr>
        <w:rFonts w:ascii="Wingdings" w:hAnsi="Wingdings" w:hint="default"/>
      </w:rPr>
    </w:lvl>
    <w:lvl w:ilvl="3" w:tplc="04100001" w:tentative="1">
      <w:start w:val="1"/>
      <w:numFmt w:val="bullet"/>
      <w:lvlText w:val=""/>
      <w:lvlJc w:val="left"/>
      <w:pPr>
        <w:tabs>
          <w:tab w:val="num" w:pos="2528"/>
        </w:tabs>
        <w:ind w:left="2528" w:hanging="360"/>
      </w:pPr>
      <w:rPr>
        <w:rFonts w:ascii="Symbol" w:hAnsi="Symbol" w:hint="default"/>
      </w:rPr>
    </w:lvl>
    <w:lvl w:ilvl="4" w:tplc="04100003" w:tentative="1">
      <w:start w:val="1"/>
      <w:numFmt w:val="bullet"/>
      <w:lvlText w:val="o"/>
      <w:lvlJc w:val="left"/>
      <w:pPr>
        <w:tabs>
          <w:tab w:val="num" w:pos="3248"/>
        </w:tabs>
        <w:ind w:left="3248" w:hanging="360"/>
      </w:pPr>
      <w:rPr>
        <w:rFonts w:ascii="Courier New" w:hAnsi="Courier New" w:hint="default"/>
      </w:rPr>
    </w:lvl>
    <w:lvl w:ilvl="5" w:tplc="04100005" w:tentative="1">
      <w:start w:val="1"/>
      <w:numFmt w:val="bullet"/>
      <w:lvlText w:val=""/>
      <w:lvlJc w:val="left"/>
      <w:pPr>
        <w:tabs>
          <w:tab w:val="num" w:pos="3968"/>
        </w:tabs>
        <w:ind w:left="3968" w:hanging="360"/>
      </w:pPr>
      <w:rPr>
        <w:rFonts w:ascii="Wingdings" w:hAnsi="Wingdings" w:hint="default"/>
      </w:rPr>
    </w:lvl>
    <w:lvl w:ilvl="6" w:tplc="04100001" w:tentative="1">
      <w:start w:val="1"/>
      <w:numFmt w:val="bullet"/>
      <w:lvlText w:val=""/>
      <w:lvlJc w:val="left"/>
      <w:pPr>
        <w:tabs>
          <w:tab w:val="num" w:pos="4688"/>
        </w:tabs>
        <w:ind w:left="4688" w:hanging="360"/>
      </w:pPr>
      <w:rPr>
        <w:rFonts w:ascii="Symbol" w:hAnsi="Symbol" w:hint="default"/>
      </w:rPr>
    </w:lvl>
    <w:lvl w:ilvl="7" w:tplc="04100003" w:tentative="1">
      <w:start w:val="1"/>
      <w:numFmt w:val="bullet"/>
      <w:lvlText w:val="o"/>
      <w:lvlJc w:val="left"/>
      <w:pPr>
        <w:tabs>
          <w:tab w:val="num" w:pos="5408"/>
        </w:tabs>
        <w:ind w:left="5408" w:hanging="360"/>
      </w:pPr>
      <w:rPr>
        <w:rFonts w:ascii="Courier New" w:hAnsi="Courier New" w:hint="default"/>
      </w:rPr>
    </w:lvl>
    <w:lvl w:ilvl="8" w:tplc="04100005" w:tentative="1">
      <w:start w:val="1"/>
      <w:numFmt w:val="bullet"/>
      <w:lvlText w:val=""/>
      <w:lvlJc w:val="left"/>
      <w:pPr>
        <w:tabs>
          <w:tab w:val="num" w:pos="6128"/>
        </w:tabs>
        <w:ind w:left="6128" w:hanging="360"/>
      </w:pPr>
      <w:rPr>
        <w:rFonts w:ascii="Wingdings" w:hAnsi="Wingdings" w:hint="default"/>
      </w:rPr>
    </w:lvl>
  </w:abstractNum>
  <w:abstractNum w:abstractNumId="20" w15:restartNumberingAfterBreak="0">
    <w:nsid w:val="4AF853FD"/>
    <w:multiLevelType w:val="hybridMultilevel"/>
    <w:tmpl w:val="87A2DF46"/>
    <w:lvl w:ilvl="0" w:tplc="E8000748">
      <w:numFmt w:val="bullet"/>
      <w:pStyle w:val="Puntoelenco2"/>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981B68"/>
    <w:multiLevelType w:val="hybridMultilevel"/>
    <w:tmpl w:val="390CDD12"/>
    <w:lvl w:ilvl="0" w:tplc="46FA478A">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31B689B"/>
    <w:multiLevelType w:val="hybridMultilevel"/>
    <w:tmpl w:val="048816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C8116C3"/>
    <w:multiLevelType w:val="hybridMultilevel"/>
    <w:tmpl w:val="F82683E4"/>
    <w:lvl w:ilvl="0" w:tplc="F9BC5D8E">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5CBA190B"/>
    <w:multiLevelType w:val="hybridMultilevel"/>
    <w:tmpl w:val="A9B4F4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CDD4295"/>
    <w:multiLevelType w:val="multilevel"/>
    <w:tmpl w:val="633C7D82"/>
    <w:lvl w:ilvl="0">
      <w:start w:val="1"/>
      <w:numFmt w:val="lowerLetter"/>
      <w:lvlText w:val="%1)"/>
      <w:legacy w:legacy="1" w:legacySpace="0" w:legacyIndent="283"/>
      <w:lvlJc w:val="left"/>
      <w:pPr>
        <w:ind w:left="567" w:hanging="283"/>
      </w:pPr>
    </w:lvl>
    <w:lvl w:ilvl="1">
      <w:start w:val="1"/>
      <w:numFmt w:val="decimal"/>
      <w:lvlText w:val="%2)"/>
      <w:lvlJc w:val="left"/>
      <w:pPr>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ind w:left="2880" w:hanging="360"/>
      </w:pPr>
      <w:rPr>
        <w:rFonts w:hint="default"/>
        <w:b/>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613C1495"/>
    <w:multiLevelType w:val="hybridMultilevel"/>
    <w:tmpl w:val="BB4869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1C74FF6"/>
    <w:multiLevelType w:val="hybridMultilevel"/>
    <w:tmpl w:val="4DFAD87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647659A9"/>
    <w:multiLevelType w:val="hybridMultilevel"/>
    <w:tmpl w:val="CAA818D4"/>
    <w:lvl w:ilvl="0" w:tplc="04100019">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9" w15:restartNumberingAfterBreak="0">
    <w:nsid w:val="656B095F"/>
    <w:multiLevelType w:val="hybridMultilevel"/>
    <w:tmpl w:val="4FF4B5F8"/>
    <w:lvl w:ilvl="0" w:tplc="F9BC5D8E">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693900C5"/>
    <w:multiLevelType w:val="hybridMultilevel"/>
    <w:tmpl w:val="066CE1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2050040"/>
    <w:multiLevelType w:val="hybridMultilevel"/>
    <w:tmpl w:val="A420071C"/>
    <w:lvl w:ilvl="0" w:tplc="46FA478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74094F9C"/>
    <w:multiLevelType w:val="hybridMultilevel"/>
    <w:tmpl w:val="C40CAEB2"/>
    <w:lvl w:ilvl="0" w:tplc="528E83F8">
      <w:start w:val="1"/>
      <w:numFmt w:val="bullet"/>
      <w:lvlText w:val="­"/>
      <w:lvlJc w:val="left"/>
      <w:pPr>
        <w:tabs>
          <w:tab w:val="num" w:pos="360"/>
        </w:tabs>
        <w:ind w:left="360" w:hanging="360"/>
      </w:pPr>
      <w:rPr>
        <w:rFonts w:ascii="Courier New" w:hAnsi="Courier New"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62C571D"/>
    <w:multiLevelType w:val="hybridMultilevel"/>
    <w:tmpl w:val="DA9AC8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92C6A08"/>
    <w:multiLevelType w:val="hybridMultilevel"/>
    <w:tmpl w:val="C3DA1EA0"/>
    <w:lvl w:ilvl="0" w:tplc="852C67FC">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16cid:durableId="1017270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35613863">
    <w:abstractNumId w:val="25"/>
  </w:num>
  <w:num w:numId="3" w16cid:durableId="373625180">
    <w:abstractNumId w:val="0"/>
    <w:lvlOverride w:ilvl="0">
      <w:lvl w:ilvl="0">
        <w:start w:val="1"/>
        <w:numFmt w:val="bullet"/>
        <w:lvlText w:val=""/>
        <w:legacy w:legacy="1" w:legacySpace="0" w:legacyIndent="360"/>
        <w:lvlJc w:val="left"/>
        <w:pPr>
          <w:ind w:left="786" w:hanging="360"/>
        </w:pPr>
        <w:rPr>
          <w:rFonts w:ascii="Symbol" w:hAnsi="Symbol" w:hint="default"/>
        </w:rPr>
      </w:lvl>
    </w:lvlOverride>
  </w:num>
  <w:num w:numId="4" w16cid:durableId="559900774">
    <w:abstractNumId w:val="0"/>
    <w:lvlOverride w:ilvl="0">
      <w:lvl w:ilvl="0">
        <w:start w:val="1"/>
        <w:numFmt w:val="bullet"/>
        <w:lvlText w:val=""/>
        <w:legacy w:legacy="1" w:legacySpace="0" w:legacyIndent="360"/>
        <w:lvlJc w:val="left"/>
        <w:pPr>
          <w:ind w:left="709" w:hanging="360"/>
        </w:pPr>
        <w:rPr>
          <w:rFonts w:ascii="Symbol" w:hAnsi="Symbol" w:hint="default"/>
        </w:rPr>
      </w:lvl>
    </w:lvlOverride>
  </w:num>
  <w:num w:numId="5" w16cid:durableId="1821120676">
    <w:abstractNumId w:val="23"/>
  </w:num>
  <w:num w:numId="6" w16cid:durableId="1799446267">
    <w:abstractNumId w:val="9"/>
  </w:num>
  <w:num w:numId="7" w16cid:durableId="857233071">
    <w:abstractNumId w:val="19"/>
  </w:num>
  <w:num w:numId="8" w16cid:durableId="1267081267">
    <w:abstractNumId w:val="15"/>
  </w:num>
  <w:num w:numId="9" w16cid:durableId="1585065713">
    <w:abstractNumId w:val="2"/>
  </w:num>
  <w:num w:numId="10" w16cid:durableId="236404220">
    <w:abstractNumId w:val="29"/>
  </w:num>
  <w:num w:numId="11" w16cid:durableId="422266468">
    <w:abstractNumId w:val="14"/>
  </w:num>
  <w:num w:numId="12" w16cid:durableId="1605455038">
    <w:abstractNumId w:val="20"/>
  </w:num>
  <w:num w:numId="13" w16cid:durableId="1217232375">
    <w:abstractNumId w:val="1"/>
  </w:num>
  <w:num w:numId="14" w16cid:durableId="2062631503">
    <w:abstractNumId w:val="32"/>
  </w:num>
  <w:num w:numId="15" w16cid:durableId="1490055516">
    <w:abstractNumId w:val="28"/>
  </w:num>
  <w:num w:numId="16" w16cid:durableId="1098022472">
    <w:abstractNumId w:val="12"/>
  </w:num>
  <w:num w:numId="17" w16cid:durableId="638808942">
    <w:abstractNumId w:val="7"/>
  </w:num>
  <w:num w:numId="18" w16cid:durableId="1980259733">
    <w:abstractNumId w:val="17"/>
  </w:num>
  <w:num w:numId="19" w16cid:durableId="2042196145">
    <w:abstractNumId w:val="13"/>
  </w:num>
  <w:num w:numId="20" w16cid:durableId="404111127">
    <w:abstractNumId w:val="21"/>
  </w:num>
  <w:num w:numId="21" w16cid:durableId="1432505598">
    <w:abstractNumId w:val="4"/>
  </w:num>
  <w:num w:numId="22" w16cid:durableId="260837480">
    <w:abstractNumId w:val="31"/>
  </w:num>
  <w:num w:numId="23" w16cid:durableId="128521353">
    <w:abstractNumId w:val="22"/>
  </w:num>
  <w:num w:numId="24" w16cid:durableId="1887523343">
    <w:abstractNumId w:val="11"/>
  </w:num>
  <w:num w:numId="25" w16cid:durableId="1177692671">
    <w:abstractNumId w:val="3"/>
  </w:num>
  <w:num w:numId="26" w16cid:durableId="738787425">
    <w:abstractNumId w:val="8"/>
  </w:num>
  <w:num w:numId="27" w16cid:durableId="956252544">
    <w:abstractNumId w:val="27"/>
  </w:num>
  <w:num w:numId="28" w16cid:durableId="1832746392">
    <w:abstractNumId w:val="26"/>
  </w:num>
  <w:num w:numId="29" w16cid:durableId="784470818">
    <w:abstractNumId w:val="16"/>
  </w:num>
  <w:num w:numId="30" w16cid:durableId="1676499143">
    <w:abstractNumId w:val="6"/>
  </w:num>
  <w:num w:numId="31" w16cid:durableId="1835490332">
    <w:abstractNumId w:val="5"/>
  </w:num>
  <w:num w:numId="32" w16cid:durableId="937368373">
    <w:abstractNumId w:val="18"/>
  </w:num>
  <w:num w:numId="33" w16cid:durableId="1884515412">
    <w:abstractNumId w:val="30"/>
  </w:num>
  <w:num w:numId="34" w16cid:durableId="1597443607">
    <w:abstractNumId w:val="24"/>
  </w:num>
  <w:num w:numId="35" w16cid:durableId="1503423806">
    <w:abstractNumId w:val="10"/>
  </w:num>
  <w:num w:numId="36" w16cid:durableId="2076775511">
    <w:abstractNumId w:val="33"/>
  </w:num>
  <w:num w:numId="37" w16cid:durableId="695347781">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83C"/>
    <w:rsid w:val="00033EB2"/>
    <w:rsid w:val="00094F14"/>
    <w:rsid w:val="000D3B5E"/>
    <w:rsid w:val="00185F7F"/>
    <w:rsid w:val="00191298"/>
    <w:rsid w:val="001B1698"/>
    <w:rsid w:val="001C2FFA"/>
    <w:rsid w:val="00273538"/>
    <w:rsid w:val="00273A86"/>
    <w:rsid w:val="0028614C"/>
    <w:rsid w:val="002A6953"/>
    <w:rsid w:val="00366BA7"/>
    <w:rsid w:val="00421DCF"/>
    <w:rsid w:val="004570DA"/>
    <w:rsid w:val="00461D91"/>
    <w:rsid w:val="00487C41"/>
    <w:rsid w:val="00574F77"/>
    <w:rsid w:val="005F0A2C"/>
    <w:rsid w:val="006D285A"/>
    <w:rsid w:val="006E3A3A"/>
    <w:rsid w:val="00722CDB"/>
    <w:rsid w:val="00757201"/>
    <w:rsid w:val="00757AA1"/>
    <w:rsid w:val="00766AA6"/>
    <w:rsid w:val="00801A59"/>
    <w:rsid w:val="00833685"/>
    <w:rsid w:val="00883443"/>
    <w:rsid w:val="008B1ABC"/>
    <w:rsid w:val="00932C48"/>
    <w:rsid w:val="0096017F"/>
    <w:rsid w:val="009B1C13"/>
    <w:rsid w:val="009F183C"/>
    <w:rsid w:val="00A3272E"/>
    <w:rsid w:val="00A8742D"/>
    <w:rsid w:val="00B215DB"/>
    <w:rsid w:val="00BC1722"/>
    <w:rsid w:val="00C0640C"/>
    <w:rsid w:val="00C247DA"/>
    <w:rsid w:val="00C776E7"/>
    <w:rsid w:val="00C932FB"/>
    <w:rsid w:val="00CB2CBC"/>
    <w:rsid w:val="00CC268C"/>
    <w:rsid w:val="00CD2711"/>
    <w:rsid w:val="00D006F0"/>
    <w:rsid w:val="00D36748"/>
    <w:rsid w:val="00D71352"/>
    <w:rsid w:val="00E455CA"/>
    <w:rsid w:val="00ED65D7"/>
    <w:rsid w:val="00EF15C6"/>
    <w:rsid w:val="00F2082D"/>
    <w:rsid w:val="00F32DF0"/>
    <w:rsid w:val="00F50CAB"/>
    <w:rsid w:val="00FC3521"/>
    <w:rsid w:val="00FF17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7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overflowPunct w:val="0"/>
      <w:autoSpaceDE w:val="0"/>
      <w:autoSpaceDN w:val="0"/>
      <w:adjustRightInd w:val="0"/>
      <w:spacing w:after="120"/>
      <w:jc w:val="both"/>
      <w:textAlignment w:val="baseline"/>
    </w:pPr>
    <w:rPr>
      <w:rFonts w:ascii="Arial" w:hAnsi="Arial"/>
      <w:sz w:val="22"/>
    </w:rPr>
  </w:style>
  <w:style w:type="paragraph" w:styleId="Titolo1">
    <w:name w:val="heading 1"/>
    <w:basedOn w:val="Normale"/>
    <w:next w:val="Normale"/>
    <w:qFormat/>
    <w:pPr>
      <w:pBdr>
        <w:top w:val="single" w:sz="4" w:space="1" w:color="auto" w:shadow="1"/>
        <w:left w:val="single" w:sz="4" w:space="4" w:color="auto" w:shadow="1"/>
        <w:bottom w:val="single" w:sz="4" w:space="1" w:color="auto" w:shadow="1"/>
        <w:right w:val="single" w:sz="4" w:space="4" w:color="auto" w:shadow="1"/>
      </w:pBdr>
      <w:tabs>
        <w:tab w:val="left" w:pos="1275"/>
        <w:tab w:val="left" w:pos="1560"/>
        <w:tab w:val="left" w:leader="dot" w:pos="8789"/>
        <w:tab w:val="right" w:pos="9639"/>
      </w:tabs>
      <w:jc w:val="center"/>
      <w:outlineLvl w:val="0"/>
    </w:pPr>
    <w:rPr>
      <w:rFonts w:cs="Arial"/>
      <w:b/>
      <w:i/>
      <w:sz w:val="28"/>
    </w:rPr>
  </w:style>
  <w:style w:type="paragraph" w:styleId="Titolo2">
    <w:name w:val="heading 2"/>
    <w:basedOn w:val="Normale"/>
    <w:next w:val="Normale"/>
    <w:qFormat/>
    <w:pPr>
      <w:spacing w:after="240"/>
      <w:outlineLvl w:val="1"/>
    </w:pPr>
    <w:rPr>
      <w:b/>
      <w:sz w:val="24"/>
      <w:szCs w:val="24"/>
      <w:u w:val="single"/>
    </w:rPr>
  </w:style>
  <w:style w:type="paragraph" w:styleId="Titolo3">
    <w:name w:val="heading 3"/>
    <w:basedOn w:val="Titolo2"/>
    <w:next w:val="Normale"/>
    <w:qFormat/>
    <w:pPr>
      <w:outlineLvl w:val="2"/>
    </w:pPr>
    <w:rPr>
      <w:i/>
    </w:rPr>
  </w:style>
  <w:style w:type="paragraph" w:styleId="Titolo4">
    <w:name w:val="heading 4"/>
    <w:basedOn w:val="Normale"/>
    <w:next w:val="Normale"/>
    <w:qFormat/>
    <w:pPr>
      <w:spacing w:after="240"/>
      <w:jc w:val="left"/>
      <w:outlineLvl w:val="3"/>
    </w:pPr>
    <w:rPr>
      <w:rFonts w:ascii="Times New Roman" w:hAnsi="Times New Roman"/>
      <w:i/>
      <w:sz w:val="28"/>
    </w:rPr>
  </w:style>
  <w:style w:type="paragraph" w:styleId="Titolo5">
    <w:name w:val="heading 5"/>
    <w:basedOn w:val="Normale"/>
    <w:next w:val="Normale"/>
    <w:qFormat/>
    <w:pPr>
      <w:keepNext/>
      <w:spacing w:after="0"/>
      <w:jc w:val="center"/>
      <w:outlineLvl w:val="4"/>
    </w:pPr>
    <w:rPr>
      <w:b/>
      <w:i/>
      <w:sz w:val="18"/>
    </w:rPr>
  </w:style>
  <w:style w:type="paragraph" w:styleId="Titolo6">
    <w:name w:val="heading 6"/>
    <w:basedOn w:val="Normale"/>
    <w:next w:val="Normale"/>
    <w:qFormat/>
    <w:pPr>
      <w:keepNext/>
      <w:pBdr>
        <w:top w:val="single" w:sz="6" w:space="0" w:color="auto"/>
        <w:left w:val="single" w:sz="6" w:space="0" w:color="auto"/>
        <w:bottom w:val="single" w:sz="6" w:space="0" w:color="auto"/>
        <w:right w:val="single" w:sz="6" w:space="0" w:color="auto"/>
      </w:pBdr>
      <w:spacing w:before="120" w:after="0"/>
      <w:jc w:val="center"/>
      <w:outlineLvl w:val="5"/>
    </w:pPr>
    <w:rPr>
      <w:b/>
      <w:caps/>
      <w:sz w:val="20"/>
    </w:rPr>
  </w:style>
  <w:style w:type="paragraph" w:styleId="Titolo7">
    <w:name w:val="heading 7"/>
    <w:basedOn w:val="Normale"/>
    <w:next w:val="Normale"/>
    <w:qFormat/>
    <w:pPr>
      <w:keepNext/>
      <w:spacing w:before="40" w:after="40"/>
      <w:jc w:val="center"/>
      <w:outlineLvl w:val="6"/>
    </w:pPr>
    <w:rPr>
      <w:b/>
      <w:sz w:val="18"/>
    </w:rPr>
  </w:style>
  <w:style w:type="paragraph" w:styleId="Titolo8">
    <w:name w:val="heading 8"/>
    <w:basedOn w:val="Normale"/>
    <w:next w:val="Normale"/>
    <w:qFormat/>
    <w:pPr>
      <w:keepNext/>
      <w:spacing w:before="40" w:after="40"/>
      <w:jc w:val="center"/>
      <w:outlineLvl w:val="7"/>
    </w:pPr>
    <w:rPr>
      <w:i/>
      <w:sz w:val="18"/>
    </w:rPr>
  </w:style>
  <w:style w:type="paragraph" w:styleId="Titolo9">
    <w:name w:val="heading 9"/>
    <w:basedOn w:val="Normale"/>
    <w:next w:val="Normale"/>
    <w:qFormat/>
    <w:pPr>
      <w:keepNext/>
      <w:jc w:val="center"/>
      <w:outlineLvl w:val="8"/>
    </w:pPr>
    <w:rPr>
      <w:i/>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estonotaapidipagina">
    <w:name w:val="footnote text"/>
    <w:basedOn w:val="Normale"/>
    <w:semiHidden/>
    <w:pPr>
      <w:ind w:left="425" w:hanging="425"/>
    </w:pPr>
    <w:rPr>
      <w:sz w:val="20"/>
    </w:rPr>
  </w:style>
  <w:style w:type="paragraph" w:styleId="Pidipagina">
    <w:name w:val="footer"/>
    <w:basedOn w:val="Normale"/>
    <w:link w:val="PidipaginaCarattere"/>
    <w:uiPriority w:val="99"/>
    <w:pPr>
      <w:pBdr>
        <w:top w:val="single" w:sz="6" w:space="1" w:color="auto"/>
      </w:pBdr>
      <w:spacing w:after="0"/>
      <w:jc w:val="center"/>
    </w:pPr>
    <w:rPr>
      <w:sz w:val="18"/>
    </w:rPr>
  </w:style>
  <w:style w:type="character" w:styleId="Numeropagina">
    <w:name w:val="page number"/>
    <w:rPr>
      <w:rFonts w:ascii="Arial" w:hAnsi="Arial"/>
      <w:sz w:val="18"/>
    </w:rPr>
  </w:style>
  <w:style w:type="character" w:styleId="Rimandonotaapidipagina">
    <w:name w:val="footnote reference"/>
    <w:semiHidden/>
    <w:rPr>
      <w:vertAlign w:val="superscript"/>
    </w:rPr>
  </w:style>
  <w:style w:type="paragraph" w:customStyle="1" w:styleId="Premessa">
    <w:name w:val="Premessa"/>
    <w:basedOn w:val="Normale"/>
    <w:rPr>
      <w:i/>
    </w:rPr>
  </w:style>
  <w:style w:type="paragraph" w:customStyle="1" w:styleId="Corpodeltesto21">
    <w:name w:val="Corpo del testo 21"/>
    <w:basedOn w:val="Normale"/>
    <w:pPr>
      <w:ind w:left="426"/>
    </w:pPr>
  </w:style>
  <w:style w:type="paragraph" w:styleId="Titolo">
    <w:name w:val="Title"/>
    <w:basedOn w:val="Normale"/>
    <w:link w:val="TitoloCarattere"/>
    <w:qFormat/>
    <w:pPr>
      <w:spacing w:after="240"/>
      <w:jc w:val="center"/>
    </w:pPr>
    <w:rPr>
      <w:b/>
      <w:smallCaps/>
      <w:sz w:val="44"/>
    </w:rPr>
  </w:style>
  <w:style w:type="paragraph" w:styleId="Corpotesto">
    <w:name w:val="Body Text"/>
    <w:basedOn w:val="Normale"/>
    <w:pPr>
      <w:jc w:val="center"/>
    </w:pPr>
    <w:rPr>
      <w:b/>
      <w:sz w:val="36"/>
    </w:rPr>
  </w:style>
  <w:style w:type="paragraph" w:customStyle="1" w:styleId="Corpodeltesto22">
    <w:name w:val="Corpo del testo 22"/>
    <w:basedOn w:val="Normale"/>
    <w:rPr>
      <w:b/>
    </w:rPr>
  </w:style>
  <w:style w:type="paragraph" w:customStyle="1" w:styleId="Corpodeltesto31">
    <w:name w:val="Corpo del testo 31"/>
    <w:basedOn w:val="Normale"/>
    <w:pPr>
      <w:jc w:val="center"/>
    </w:pPr>
    <w:rPr>
      <w:color w:val="00FF00"/>
    </w:rPr>
  </w:style>
  <w:style w:type="paragraph" w:styleId="Corpodeltesto2">
    <w:name w:val="Body Text 2"/>
    <w:basedOn w:val="Normale"/>
    <w:pPr>
      <w:pBdr>
        <w:top w:val="single" w:sz="6" w:space="1" w:color="auto"/>
      </w:pBdr>
    </w:pPr>
  </w:style>
  <w:style w:type="character" w:styleId="Rimandocommento">
    <w:name w:val="annotation reference"/>
    <w:semiHidden/>
    <w:rPr>
      <w:sz w:val="16"/>
      <w:szCs w:val="16"/>
    </w:rPr>
  </w:style>
  <w:style w:type="paragraph" w:styleId="Testocommento">
    <w:name w:val="annotation text"/>
    <w:basedOn w:val="Normale"/>
    <w:semiHidden/>
    <w:rPr>
      <w:sz w:val="20"/>
    </w:rPr>
  </w:style>
  <w:style w:type="paragraph" w:styleId="Didascalia">
    <w:name w:val="caption"/>
    <w:basedOn w:val="Normale"/>
    <w:next w:val="Normale"/>
    <w:qFormat/>
    <w:pPr>
      <w:spacing w:after="240"/>
    </w:pPr>
    <w:rPr>
      <w:rFonts w:cs="Arial"/>
      <w:b/>
      <w:u w:val="single"/>
    </w:rPr>
  </w:style>
  <w:style w:type="paragraph" w:styleId="Corpodeltesto3">
    <w:name w:val="Body Text 3"/>
    <w:basedOn w:val="Normale"/>
    <w:rPr>
      <w:sz w:val="20"/>
    </w:rPr>
  </w:style>
  <w:style w:type="paragraph" w:styleId="Testofumetto">
    <w:name w:val="Balloon Text"/>
    <w:basedOn w:val="Normale"/>
    <w:semiHidden/>
    <w:rPr>
      <w:rFonts w:ascii="Tahoma" w:hAnsi="Tahoma" w:cs="Tahoma"/>
      <w:sz w:val="16"/>
      <w:szCs w:val="16"/>
    </w:rPr>
  </w:style>
  <w:style w:type="paragraph" w:styleId="Soggettocommento">
    <w:name w:val="annotation subject"/>
    <w:basedOn w:val="Testocommento"/>
    <w:next w:val="Testocommento"/>
    <w:semiHidden/>
    <w:rPr>
      <w:b/>
      <w:bCs/>
    </w:rPr>
  </w:style>
  <w:style w:type="paragraph" w:customStyle="1" w:styleId="tabella">
    <w:name w:val="tabella"/>
    <w:basedOn w:val="Titolo3"/>
    <w:pPr>
      <w:keepNext/>
      <w:widowControl/>
      <w:overflowPunct/>
      <w:autoSpaceDE/>
      <w:autoSpaceDN/>
      <w:adjustRightInd/>
      <w:spacing w:after="0"/>
      <w:textAlignment w:val="auto"/>
    </w:pPr>
    <w:rPr>
      <w:b w:val="0"/>
      <w:i w:val="0"/>
      <w:sz w:val="18"/>
    </w:rPr>
  </w:style>
  <w:style w:type="table" w:styleId="Grigliatabella">
    <w:name w:val="Table Grid"/>
    <w:basedOn w:val="Tabellanormale"/>
    <w:pPr>
      <w:widowControl w:val="0"/>
      <w:overflowPunct w:val="0"/>
      <w:autoSpaceDE w:val="0"/>
      <w:autoSpaceDN w:val="0"/>
      <w:adjustRightInd w:val="0"/>
      <w:spacing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semiHidden/>
    <w:pPr>
      <w:shd w:val="clear" w:color="auto" w:fill="000080"/>
    </w:pPr>
    <w:rPr>
      <w:rFonts w:ascii="Tahoma" w:hAnsi="Tahoma" w:cs="Tahoma"/>
      <w:sz w:val="20"/>
    </w:rPr>
  </w:style>
  <w:style w:type="paragraph" w:styleId="Puntoelenco2">
    <w:name w:val="List Bullet 2"/>
    <w:basedOn w:val="Normale"/>
    <w:autoRedefine/>
    <w:pPr>
      <w:widowControl/>
      <w:numPr>
        <w:numId w:val="12"/>
      </w:numPr>
      <w:overflowPunct/>
      <w:autoSpaceDE/>
      <w:autoSpaceDN/>
      <w:adjustRightInd/>
      <w:spacing w:after="0"/>
      <w:jc w:val="left"/>
      <w:textAlignment w:val="auto"/>
    </w:pPr>
    <w:rPr>
      <w:rFonts w:ascii="Times New Roman" w:hAnsi="Times New Roman"/>
      <w:sz w:val="24"/>
      <w:szCs w:val="24"/>
    </w:rPr>
  </w:style>
  <w:style w:type="paragraph" w:customStyle="1" w:styleId="CPVC">
    <w:name w:val="CPV_C"/>
    <w:pPr>
      <w:widowControl w:val="0"/>
      <w:tabs>
        <w:tab w:val="left" w:pos="0"/>
        <w:tab w:val="left" w:pos="1247"/>
        <w:tab w:val="left" w:pos="3969"/>
        <w:tab w:val="left" w:pos="4252"/>
        <w:tab w:val="left" w:pos="11339"/>
        <w:tab w:val="left" w:pos="28346"/>
      </w:tabs>
      <w:autoSpaceDE w:val="0"/>
      <w:autoSpaceDN w:val="0"/>
      <w:adjustRightInd w:val="0"/>
      <w:spacing w:before="260" w:after="85" w:line="25" w:lineRule="atLeast"/>
      <w:jc w:val="center"/>
    </w:pPr>
    <w:rPr>
      <w:rFonts w:ascii="ItcCenturyLight" w:hAnsi="ItcCenturyLight" w:cs="ItcCenturyLight"/>
    </w:rPr>
  </w:style>
  <w:style w:type="paragraph" w:customStyle="1" w:styleId="CPVCcvo">
    <w:name w:val="CPV_Ccvo"/>
    <w:pPr>
      <w:widowControl w:val="0"/>
      <w:tabs>
        <w:tab w:val="left" w:pos="0"/>
        <w:tab w:val="left" w:pos="1247"/>
        <w:tab w:val="left" w:pos="3969"/>
        <w:tab w:val="left" w:pos="4252"/>
        <w:tab w:val="left" w:pos="11339"/>
        <w:tab w:val="left" w:pos="28346"/>
      </w:tabs>
      <w:autoSpaceDE w:val="0"/>
      <w:autoSpaceDN w:val="0"/>
      <w:adjustRightInd w:val="0"/>
      <w:spacing w:before="260" w:after="85" w:line="25" w:lineRule="atLeast"/>
      <w:jc w:val="center"/>
    </w:pPr>
    <w:rPr>
      <w:rFonts w:ascii="ItcCenturyLight" w:hAnsi="ItcCenturyLight" w:cs="ItcCenturyLight"/>
      <w:i/>
      <w:iCs/>
    </w:rPr>
  </w:style>
  <w:style w:type="paragraph" w:customStyle="1" w:styleId="LIV2">
    <w:name w:val="LIV2"/>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hAnsi="UniversExBlkExt" w:cs="UniversExBlkExt"/>
      <w:b/>
      <w:bCs/>
      <w:sz w:val="16"/>
      <w:szCs w:val="16"/>
    </w:rPr>
  </w:style>
  <w:style w:type="paragraph" w:customStyle="1" w:styleId="cpv">
    <w:name w:val="cpv"/>
    <w:uiPriority w:val="99"/>
    <w:pPr>
      <w:widowControl w:val="0"/>
      <w:tabs>
        <w:tab w:val="left" w:pos="0"/>
        <w:tab w:val="left" w:pos="1418"/>
        <w:tab w:val="left" w:pos="2835"/>
        <w:tab w:val="left" w:pos="4252"/>
      </w:tabs>
      <w:autoSpaceDE w:val="0"/>
      <w:autoSpaceDN w:val="0"/>
      <w:adjustRightInd w:val="0"/>
      <w:spacing w:before="175" w:line="25" w:lineRule="atLeast"/>
      <w:jc w:val="both"/>
    </w:pPr>
    <w:rPr>
      <w:rFonts w:ascii="ItcCenturyLight" w:hAnsi="ItcCenturyLight" w:cs="ItcCenturyLight"/>
    </w:rPr>
  </w:style>
  <w:style w:type="paragraph" w:customStyle="1" w:styleId="sottocpv1">
    <w:name w:val="sottocpv1"/>
    <w:pPr>
      <w:widowControl w:val="0"/>
      <w:tabs>
        <w:tab w:val="left" w:pos="341"/>
        <w:tab w:val="left" w:pos="1759"/>
        <w:tab w:val="left" w:pos="3176"/>
        <w:tab w:val="left" w:pos="4593"/>
      </w:tabs>
      <w:autoSpaceDE w:val="0"/>
      <w:autoSpaceDN w:val="0"/>
      <w:adjustRightInd w:val="0"/>
      <w:spacing w:before="175" w:line="25" w:lineRule="atLeast"/>
      <w:ind w:left="341" w:hanging="341"/>
      <w:jc w:val="both"/>
    </w:pPr>
    <w:rPr>
      <w:rFonts w:ascii="ItcCenturyLight" w:hAnsi="ItcCenturyLight" w:cs="ItcCenturyLight"/>
    </w:rPr>
  </w:style>
  <w:style w:type="paragraph" w:styleId="Rientrocorpodeltesto">
    <w:name w:val="Body Text Indent"/>
    <w:basedOn w:val="Normale"/>
    <w:pPr>
      <w:ind w:left="283"/>
    </w:pPr>
  </w:style>
  <w:style w:type="paragraph" w:customStyle="1" w:styleId="level1">
    <w:name w:val="level 1"/>
    <w:basedOn w:val="Normale"/>
    <w:pPr>
      <w:widowControl/>
      <w:tabs>
        <w:tab w:val="right" w:pos="360"/>
        <w:tab w:val="left" w:pos="576"/>
      </w:tabs>
      <w:overflowPunct/>
      <w:autoSpaceDE/>
      <w:autoSpaceDN/>
      <w:adjustRightInd/>
      <w:spacing w:line="220" w:lineRule="exact"/>
      <w:ind w:left="576" w:hanging="576"/>
      <w:textAlignment w:val="auto"/>
    </w:pPr>
    <w:rPr>
      <w:rFonts w:ascii="Times New Roman" w:hAnsi="Times New Roman"/>
      <w:sz w:val="20"/>
      <w:lang w:val="en-US" w:eastAsia="en-US"/>
    </w:rPr>
  </w:style>
  <w:style w:type="paragraph" w:customStyle="1" w:styleId="tx">
    <w:name w:val="tx"/>
    <w:basedOn w:val="Normale"/>
    <w:pPr>
      <w:widowControl/>
      <w:overflowPunct/>
      <w:autoSpaceDE/>
      <w:autoSpaceDN/>
      <w:adjustRightInd/>
      <w:spacing w:before="20" w:after="20"/>
      <w:jc w:val="left"/>
      <w:textAlignment w:val="auto"/>
    </w:pPr>
    <w:rPr>
      <w:rFonts w:ascii="Times New Roman" w:hAnsi="Times New Roman"/>
      <w:sz w:val="24"/>
      <w:szCs w:val="24"/>
    </w:rPr>
  </w:style>
  <w:style w:type="paragraph" w:customStyle="1" w:styleId="Paragrafoelenco1">
    <w:name w:val="Paragrafo elenco1"/>
    <w:basedOn w:val="Normale"/>
    <w:uiPriority w:val="99"/>
    <w:qFormat/>
    <w:pPr>
      <w:widowControl/>
      <w:overflowPunct/>
      <w:autoSpaceDE/>
      <w:autoSpaceDN/>
      <w:adjustRightInd/>
      <w:spacing w:after="200" w:line="276" w:lineRule="auto"/>
      <w:ind w:left="720"/>
      <w:contextualSpacing/>
      <w:jc w:val="left"/>
      <w:textAlignment w:val="auto"/>
    </w:pPr>
    <w:rPr>
      <w:rFonts w:ascii="Calibri" w:hAnsi="Calibri"/>
      <w:szCs w:val="22"/>
      <w:lang w:eastAsia="en-US"/>
    </w:rPr>
  </w:style>
  <w:style w:type="character" w:styleId="Enfasicorsivo">
    <w:name w:val="Emphasis"/>
    <w:uiPriority w:val="99"/>
    <w:qFormat/>
    <w:rPr>
      <w:i/>
      <w:iCs/>
    </w:rPr>
  </w:style>
  <w:style w:type="paragraph" w:customStyle="1" w:styleId="rgscorpodeltesto">
    <w:name w:val="rgs_corpodeltesto"/>
    <w:basedOn w:val="Normale"/>
    <w:pPr>
      <w:widowControl/>
      <w:overflowPunct/>
      <w:autoSpaceDE/>
      <w:autoSpaceDN/>
      <w:adjustRightInd/>
      <w:spacing w:line="360" w:lineRule="auto"/>
      <w:ind w:firstLine="799"/>
      <w:textAlignment w:val="auto"/>
    </w:pPr>
    <w:rPr>
      <w:rFonts w:ascii="Times New Roman" w:hAnsi="Times New Roman"/>
      <w:sz w:val="24"/>
    </w:rPr>
  </w:style>
  <w:style w:type="paragraph" w:customStyle="1" w:styleId="provvr0">
    <w:name w:val="provv_r0"/>
    <w:basedOn w:val="Normale"/>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ListParagraph1">
    <w:name w:val="List Paragraph1"/>
    <w:basedOn w:val="Normale"/>
    <w:pPr>
      <w:widowControl/>
      <w:overflowPunct/>
      <w:autoSpaceDE/>
      <w:autoSpaceDN/>
      <w:adjustRightInd/>
      <w:spacing w:after="0" w:line="360" w:lineRule="auto"/>
      <w:ind w:left="720"/>
      <w:contextualSpacing/>
      <w:textAlignment w:val="auto"/>
    </w:pPr>
    <w:rPr>
      <w:rFonts w:ascii="Verdana" w:hAnsi="Verdana"/>
      <w:sz w:val="20"/>
      <w:lang w:eastAsia="en-US"/>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paragraph" w:styleId="Sommario1">
    <w:name w:val="toc 1"/>
    <w:basedOn w:val="Normale"/>
    <w:next w:val="Normale"/>
    <w:autoRedefine/>
    <w:uiPriority w:val="39"/>
  </w:style>
  <w:style w:type="paragraph" w:styleId="Sommario2">
    <w:name w:val="toc 2"/>
    <w:basedOn w:val="Normale"/>
    <w:next w:val="Normale"/>
    <w:autoRedefine/>
    <w:uiPriority w:val="39"/>
    <w:pPr>
      <w:tabs>
        <w:tab w:val="right" w:leader="dot" w:pos="9061"/>
      </w:tabs>
    </w:pPr>
    <w:rPr>
      <w:noProof/>
    </w:rPr>
  </w:style>
  <w:style w:type="paragraph" w:styleId="Nessunaspaziatura">
    <w:name w:val="No Spacing"/>
    <w:link w:val="NessunaspaziaturaCarattere"/>
    <w:uiPriority w:val="1"/>
    <w:qFormat/>
    <w:rPr>
      <w:rFonts w:ascii="Calibri" w:hAnsi="Calibri"/>
      <w:sz w:val="22"/>
      <w:szCs w:val="22"/>
      <w:lang w:eastAsia="en-US"/>
    </w:rPr>
  </w:style>
  <w:style w:type="character" w:customStyle="1" w:styleId="NessunaspaziaturaCarattere">
    <w:name w:val="Nessuna spaziatura Carattere"/>
    <w:link w:val="Nessunaspaziatura"/>
    <w:uiPriority w:val="1"/>
    <w:rPr>
      <w:rFonts w:ascii="Calibri" w:hAnsi="Calibri"/>
      <w:sz w:val="22"/>
      <w:szCs w:val="22"/>
      <w:lang w:val="it-IT" w:eastAsia="en-US" w:bidi="ar-SA"/>
    </w:rPr>
  </w:style>
  <w:style w:type="paragraph" w:styleId="Revisione">
    <w:name w:val="Revision"/>
    <w:hidden/>
    <w:uiPriority w:val="99"/>
    <w:semiHidden/>
    <w:rPr>
      <w:rFonts w:ascii="Arial" w:hAnsi="Arial"/>
      <w:sz w:val="22"/>
    </w:rPr>
  </w:style>
  <w:style w:type="character" w:customStyle="1" w:styleId="PidipaginaCarattere">
    <w:name w:val="Piè di pagina Carattere"/>
    <w:basedOn w:val="Carpredefinitoparagrafo"/>
    <w:link w:val="Pidipagina"/>
    <w:uiPriority w:val="99"/>
    <w:rPr>
      <w:rFonts w:ascii="Arial" w:hAnsi="Arial"/>
      <w:sz w:val="18"/>
    </w:rPr>
  </w:style>
  <w:style w:type="character" w:styleId="Enfasigrassetto">
    <w:name w:val="Strong"/>
    <w:basedOn w:val="Carpredefinitoparagrafo"/>
    <w:uiPriority w:val="99"/>
    <w:qFormat/>
    <w:rPr>
      <w:b/>
      <w:bCs/>
    </w:rPr>
  </w:style>
  <w:style w:type="paragraph" w:customStyle="1" w:styleId="Latino10pt">
    <w:name w:val="(Latino) 10 pt"/>
    <w:basedOn w:val="Normale"/>
    <w:pPr>
      <w:widowControl/>
      <w:suppressAutoHyphens/>
      <w:overflowPunct/>
      <w:autoSpaceDE/>
      <w:autoSpaceDN/>
      <w:adjustRightInd/>
      <w:spacing w:after="0" w:line="360" w:lineRule="auto"/>
      <w:ind w:right="851"/>
      <w:textAlignment w:val="auto"/>
    </w:pPr>
    <w:rPr>
      <w:rFonts w:ascii="Verdana" w:hAnsi="Verdana" w:cs="Verdana"/>
      <w:sz w:val="20"/>
      <w:lang w:eastAsia="ar-SA"/>
    </w:rPr>
  </w:style>
  <w:style w:type="character" w:customStyle="1" w:styleId="apple-converted-space">
    <w:name w:val="apple-converted-space"/>
    <w:basedOn w:val="Carpredefinitoparagrafo"/>
    <w:uiPriority w:val="99"/>
    <w:rPr>
      <w:rFonts w:cs="Times New Roman"/>
    </w:rPr>
  </w:style>
  <w:style w:type="paragraph" w:customStyle="1" w:styleId="BodyText21">
    <w:name w:val="Body Text 21"/>
    <w:basedOn w:val="Normale"/>
    <w:uiPriority w:val="99"/>
    <w:pPr>
      <w:textAlignment w:val="auto"/>
    </w:pPr>
    <w:rPr>
      <w:b/>
      <w:i/>
      <w:sz w:val="24"/>
    </w:rPr>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pPr>
      <w:widowControl/>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Sottotitolo">
    <w:name w:val="Subtitle"/>
    <w:basedOn w:val="Normale"/>
    <w:next w:val="Normale"/>
    <w:link w:val="SottotitoloCarattere"/>
    <w:uiPriority w:val="11"/>
    <w:qFormat/>
    <w:pPr>
      <w:widowControl/>
      <w:overflowPunct/>
      <w:autoSpaceDE/>
      <w:autoSpaceDN/>
      <w:adjustRightInd/>
      <w:spacing w:after="60"/>
      <w:jc w:val="center"/>
      <w:textAlignment w:val="auto"/>
      <w:outlineLvl w:val="1"/>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Pr>
      <w:rFonts w:asciiTheme="majorHAnsi" w:eastAsiaTheme="majorEastAsia" w:hAnsiTheme="majorHAnsi" w:cstheme="majorBidi"/>
      <w:sz w:val="24"/>
      <w:szCs w:val="24"/>
    </w:rPr>
  </w:style>
  <w:style w:type="character" w:customStyle="1" w:styleId="TitoloCarattere">
    <w:name w:val="Titolo Carattere"/>
    <w:basedOn w:val="Carpredefinitoparagrafo"/>
    <w:link w:val="Titolo"/>
    <w:locked/>
    <w:rPr>
      <w:rFonts w:ascii="Arial" w:hAnsi="Arial"/>
      <w:b/>
      <w:smallCaps/>
      <w:sz w:val="44"/>
    </w:rPr>
  </w:style>
  <w:style w:type="paragraph" w:customStyle="1" w:styleId="TB">
    <w:name w:val="TB"/>
    <w:basedOn w:val="Normale"/>
    <w:pPr>
      <w:overflowPunct/>
      <w:spacing w:after="0" w:line="200" w:lineRule="atLeast"/>
      <w:jc w:val="left"/>
      <w:textAlignment w:val="center"/>
    </w:pPr>
    <w:rPr>
      <w:rFonts w:cs="ArialMT"/>
      <w:color w:val="000000"/>
      <w:sz w:val="17"/>
      <w:szCs w:val="17"/>
      <w:lang w:eastAsia="en-US"/>
    </w:rPr>
  </w:style>
  <w:style w:type="character" w:styleId="Rimandonotadichiusura">
    <w:name w:val="endnote reference"/>
    <w:rPr>
      <w:vertAlign w:val="superscript"/>
    </w:rPr>
  </w:style>
  <w:style w:type="paragraph" w:customStyle="1" w:styleId="Default">
    <w:name w:val="Default"/>
    <w:pPr>
      <w:autoSpaceDE w:val="0"/>
      <w:autoSpaceDN w:val="0"/>
      <w:adjustRightInd w:val="0"/>
    </w:pPr>
    <w:rPr>
      <w:rFonts w:ascii="Book Antiqua" w:hAnsi="Book Antiqua" w:cs="Book Antiqua"/>
      <w:color w:val="000000"/>
      <w:sz w:val="24"/>
      <w:szCs w:val="24"/>
    </w:rPr>
  </w:style>
  <w:style w:type="character" w:customStyle="1" w:styleId="linkneltesto">
    <w:name w:val="link_nel_testo"/>
    <w:basedOn w:val="Carpredefinitoparagrafo"/>
  </w:style>
  <w:style w:type="paragraph" w:customStyle="1" w:styleId="font5">
    <w:name w:val="font5"/>
    <w:basedOn w:val="Normale"/>
    <w:pPr>
      <w:widowControl/>
      <w:overflowPunct/>
      <w:autoSpaceDE/>
      <w:autoSpaceDN/>
      <w:adjustRightInd/>
      <w:spacing w:before="100" w:after="100"/>
      <w:jc w:val="left"/>
      <w:textAlignment w:val="auto"/>
    </w:pPr>
    <w:rPr>
      <w:rFonts w:eastAsia="Arial Unicode MS"/>
      <w:sz w:val="24"/>
    </w:rPr>
  </w:style>
  <w:style w:type="paragraph" w:styleId="Titolosommario">
    <w:name w:val="TOC Heading"/>
    <w:basedOn w:val="Titolo1"/>
    <w:next w:val="Normale"/>
    <w:uiPriority w:val="39"/>
    <w:unhideWhenUsed/>
    <w:qFormat/>
    <w:pPr>
      <w:keepNext/>
      <w:keepLines/>
      <w:widowControl/>
      <w:pBdr>
        <w:top w:val="none" w:sz="0" w:space="0" w:color="auto"/>
        <w:left w:val="none" w:sz="0" w:space="0" w:color="auto"/>
        <w:bottom w:val="none" w:sz="0" w:space="0" w:color="auto"/>
        <w:right w:val="none" w:sz="0" w:space="0" w:color="auto"/>
      </w:pBdr>
      <w:tabs>
        <w:tab w:val="clear" w:pos="1275"/>
        <w:tab w:val="clear" w:pos="1560"/>
        <w:tab w:val="clear" w:pos="8789"/>
        <w:tab w:val="clear" w:pos="9639"/>
      </w:tabs>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i w:val="0"/>
      <w:color w:val="365F91" w:themeColor="accent1" w:themeShade="BF"/>
      <w:sz w:val="32"/>
      <w:szCs w:val="32"/>
    </w:rPr>
  </w:style>
  <w:style w:type="paragraph" w:styleId="Sommario3">
    <w:name w:val="toc 3"/>
    <w:basedOn w:val="Normale"/>
    <w:next w:val="Normale"/>
    <w:autoRedefine/>
    <w:uiPriority w:val="39"/>
    <w:unhideWhenUs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41402">
      <w:bodyDiv w:val="1"/>
      <w:marLeft w:val="0"/>
      <w:marRight w:val="0"/>
      <w:marTop w:val="0"/>
      <w:marBottom w:val="0"/>
      <w:divBdr>
        <w:top w:val="none" w:sz="0" w:space="0" w:color="auto"/>
        <w:left w:val="none" w:sz="0" w:space="0" w:color="auto"/>
        <w:bottom w:val="none" w:sz="0" w:space="0" w:color="auto"/>
        <w:right w:val="none" w:sz="0" w:space="0" w:color="auto"/>
      </w:divBdr>
      <w:divsChild>
        <w:div w:id="962886498">
          <w:marLeft w:val="0"/>
          <w:marRight w:val="0"/>
          <w:marTop w:val="0"/>
          <w:marBottom w:val="0"/>
          <w:divBdr>
            <w:top w:val="none" w:sz="0" w:space="0" w:color="auto"/>
            <w:left w:val="none" w:sz="0" w:space="0" w:color="auto"/>
            <w:bottom w:val="none" w:sz="0" w:space="0" w:color="auto"/>
            <w:right w:val="none" w:sz="0" w:space="0" w:color="auto"/>
          </w:divBdr>
        </w:div>
        <w:div w:id="409934302">
          <w:marLeft w:val="0"/>
          <w:marRight w:val="0"/>
          <w:marTop w:val="0"/>
          <w:marBottom w:val="0"/>
          <w:divBdr>
            <w:top w:val="none" w:sz="0" w:space="0" w:color="auto"/>
            <w:left w:val="none" w:sz="0" w:space="0" w:color="auto"/>
            <w:bottom w:val="none" w:sz="0" w:space="0" w:color="auto"/>
            <w:right w:val="none" w:sz="0" w:space="0" w:color="auto"/>
          </w:divBdr>
        </w:div>
        <w:div w:id="1879471931">
          <w:marLeft w:val="0"/>
          <w:marRight w:val="0"/>
          <w:marTop w:val="0"/>
          <w:marBottom w:val="0"/>
          <w:divBdr>
            <w:top w:val="none" w:sz="0" w:space="0" w:color="auto"/>
            <w:left w:val="none" w:sz="0" w:space="0" w:color="auto"/>
            <w:bottom w:val="none" w:sz="0" w:space="0" w:color="auto"/>
            <w:right w:val="none" w:sz="0" w:space="0" w:color="auto"/>
          </w:divBdr>
        </w:div>
        <w:div w:id="991448947">
          <w:marLeft w:val="0"/>
          <w:marRight w:val="0"/>
          <w:marTop w:val="0"/>
          <w:marBottom w:val="0"/>
          <w:divBdr>
            <w:top w:val="none" w:sz="0" w:space="0" w:color="auto"/>
            <w:left w:val="none" w:sz="0" w:space="0" w:color="auto"/>
            <w:bottom w:val="none" w:sz="0" w:space="0" w:color="auto"/>
            <w:right w:val="none" w:sz="0" w:space="0" w:color="auto"/>
          </w:divBdr>
        </w:div>
        <w:div w:id="2141990934">
          <w:marLeft w:val="0"/>
          <w:marRight w:val="0"/>
          <w:marTop w:val="0"/>
          <w:marBottom w:val="0"/>
          <w:divBdr>
            <w:top w:val="none" w:sz="0" w:space="0" w:color="auto"/>
            <w:left w:val="none" w:sz="0" w:space="0" w:color="auto"/>
            <w:bottom w:val="none" w:sz="0" w:space="0" w:color="auto"/>
            <w:right w:val="none" w:sz="0" w:space="0" w:color="auto"/>
          </w:divBdr>
        </w:div>
        <w:div w:id="1374235435">
          <w:marLeft w:val="0"/>
          <w:marRight w:val="0"/>
          <w:marTop w:val="0"/>
          <w:marBottom w:val="0"/>
          <w:divBdr>
            <w:top w:val="none" w:sz="0" w:space="0" w:color="auto"/>
            <w:left w:val="none" w:sz="0" w:space="0" w:color="auto"/>
            <w:bottom w:val="none" w:sz="0" w:space="0" w:color="auto"/>
            <w:right w:val="none" w:sz="0" w:space="0" w:color="auto"/>
          </w:divBdr>
        </w:div>
        <w:div w:id="912785495">
          <w:marLeft w:val="0"/>
          <w:marRight w:val="0"/>
          <w:marTop w:val="0"/>
          <w:marBottom w:val="0"/>
          <w:divBdr>
            <w:top w:val="none" w:sz="0" w:space="0" w:color="auto"/>
            <w:left w:val="none" w:sz="0" w:space="0" w:color="auto"/>
            <w:bottom w:val="none" w:sz="0" w:space="0" w:color="auto"/>
            <w:right w:val="none" w:sz="0" w:space="0" w:color="auto"/>
          </w:divBdr>
        </w:div>
        <w:div w:id="196964436">
          <w:marLeft w:val="0"/>
          <w:marRight w:val="0"/>
          <w:marTop w:val="0"/>
          <w:marBottom w:val="0"/>
          <w:divBdr>
            <w:top w:val="none" w:sz="0" w:space="0" w:color="auto"/>
            <w:left w:val="none" w:sz="0" w:space="0" w:color="auto"/>
            <w:bottom w:val="none" w:sz="0" w:space="0" w:color="auto"/>
            <w:right w:val="none" w:sz="0" w:space="0" w:color="auto"/>
          </w:divBdr>
        </w:div>
        <w:div w:id="1845510036">
          <w:marLeft w:val="0"/>
          <w:marRight w:val="0"/>
          <w:marTop w:val="0"/>
          <w:marBottom w:val="0"/>
          <w:divBdr>
            <w:top w:val="none" w:sz="0" w:space="0" w:color="auto"/>
            <w:left w:val="none" w:sz="0" w:space="0" w:color="auto"/>
            <w:bottom w:val="none" w:sz="0" w:space="0" w:color="auto"/>
            <w:right w:val="none" w:sz="0" w:space="0" w:color="auto"/>
          </w:divBdr>
        </w:div>
        <w:div w:id="617494533">
          <w:marLeft w:val="0"/>
          <w:marRight w:val="0"/>
          <w:marTop w:val="0"/>
          <w:marBottom w:val="0"/>
          <w:divBdr>
            <w:top w:val="none" w:sz="0" w:space="0" w:color="auto"/>
            <w:left w:val="none" w:sz="0" w:space="0" w:color="auto"/>
            <w:bottom w:val="none" w:sz="0" w:space="0" w:color="auto"/>
            <w:right w:val="none" w:sz="0" w:space="0" w:color="auto"/>
          </w:divBdr>
        </w:div>
        <w:div w:id="775444081">
          <w:marLeft w:val="0"/>
          <w:marRight w:val="0"/>
          <w:marTop w:val="0"/>
          <w:marBottom w:val="0"/>
          <w:divBdr>
            <w:top w:val="none" w:sz="0" w:space="0" w:color="auto"/>
            <w:left w:val="none" w:sz="0" w:space="0" w:color="auto"/>
            <w:bottom w:val="none" w:sz="0" w:space="0" w:color="auto"/>
            <w:right w:val="none" w:sz="0" w:space="0" w:color="auto"/>
          </w:divBdr>
        </w:div>
        <w:div w:id="1087657360">
          <w:marLeft w:val="0"/>
          <w:marRight w:val="0"/>
          <w:marTop w:val="0"/>
          <w:marBottom w:val="0"/>
          <w:divBdr>
            <w:top w:val="none" w:sz="0" w:space="0" w:color="auto"/>
            <w:left w:val="none" w:sz="0" w:space="0" w:color="auto"/>
            <w:bottom w:val="none" w:sz="0" w:space="0" w:color="auto"/>
            <w:right w:val="none" w:sz="0" w:space="0" w:color="auto"/>
          </w:divBdr>
        </w:div>
        <w:div w:id="602298150">
          <w:marLeft w:val="0"/>
          <w:marRight w:val="0"/>
          <w:marTop w:val="0"/>
          <w:marBottom w:val="0"/>
          <w:divBdr>
            <w:top w:val="none" w:sz="0" w:space="0" w:color="auto"/>
            <w:left w:val="none" w:sz="0" w:space="0" w:color="auto"/>
            <w:bottom w:val="none" w:sz="0" w:space="0" w:color="auto"/>
            <w:right w:val="none" w:sz="0" w:space="0" w:color="auto"/>
          </w:divBdr>
        </w:div>
        <w:div w:id="2096899219">
          <w:marLeft w:val="0"/>
          <w:marRight w:val="0"/>
          <w:marTop w:val="0"/>
          <w:marBottom w:val="0"/>
          <w:divBdr>
            <w:top w:val="none" w:sz="0" w:space="0" w:color="auto"/>
            <w:left w:val="none" w:sz="0" w:space="0" w:color="auto"/>
            <w:bottom w:val="none" w:sz="0" w:space="0" w:color="auto"/>
            <w:right w:val="none" w:sz="0" w:space="0" w:color="auto"/>
          </w:divBdr>
        </w:div>
        <w:div w:id="975182160">
          <w:marLeft w:val="0"/>
          <w:marRight w:val="0"/>
          <w:marTop w:val="0"/>
          <w:marBottom w:val="0"/>
          <w:divBdr>
            <w:top w:val="none" w:sz="0" w:space="0" w:color="auto"/>
            <w:left w:val="none" w:sz="0" w:space="0" w:color="auto"/>
            <w:bottom w:val="none" w:sz="0" w:space="0" w:color="auto"/>
            <w:right w:val="none" w:sz="0" w:space="0" w:color="auto"/>
          </w:divBdr>
        </w:div>
        <w:div w:id="247809646">
          <w:marLeft w:val="0"/>
          <w:marRight w:val="0"/>
          <w:marTop w:val="0"/>
          <w:marBottom w:val="0"/>
          <w:divBdr>
            <w:top w:val="none" w:sz="0" w:space="0" w:color="auto"/>
            <w:left w:val="none" w:sz="0" w:space="0" w:color="auto"/>
            <w:bottom w:val="none" w:sz="0" w:space="0" w:color="auto"/>
            <w:right w:val="none" w:sz="0" w:space="0" w:color="auto"/>
          </w:divBdr>
        </w:div>
        <w:div w:id="2027555969">
          <w:marLeft w:val="0"/>
          <w:marRight w:val="0"/>
          <w:marTop w:val="0"/>
          <w:marBottom w:val="0"/>
          <w:divBdr>
            <w:top w:val="none" w:sz="0" w:space="0" w:color="auto"/>
            <w:left w:val="none" w:sz="0" w:space="0" w:color="auto"/>
            <w:bottom w:val="none" w:sz="0" w:space="0" w:color="auto"/>
            <w:right w:val="none" w:sz="0" w:space="0" w:color="auto"/>
          </w:divBdr>
        </w:div>
        <w:div w:id="987320169">
          <w:marLeft w:val="0"/>
          <w:marRight w:val="0"/>
          <w:marTop w:val="0"/>
          <w:marBottom w:val="0"/>
          <w:divBdr>
            <w:top w:val="none" w:sz="0" w:space="0" w:color="auto"/>
            <w:left w:val="none" w:sz="0" w:space="0" w:color="auto"/>
            <w:bottom w:val="none" w:sz="0" w:space="0" w:color="auto"/>
            <w:right w:val="none" w:sz="0" w:space="0" w:color="auto"/>
          </w:divBdr>
        </w:div>
        <w:div w:id="2098360644">
          <w:marLeft w:val="0"/>
          <w:marRight w:val="0"/>
          <w:marTop w:val="0"/>
          <w:marBottom w:val="0"/>
          <w:divBdr>
            <w:top w:val="none" w:sz="0" w:space="0" w:color="auto"/>
            <w:left w:val="none" w:sz="0" w:space="0" w:color="auto"/>
            <w:bottom w:val="none" w:sz="0" w:space="0" w:color="auto"/>
            <w:right w:val="none" w:sz="0" w:space="0" w:color="auto"/>
          </w:divBdr>
        </w:div>
        <w:div w:id="1854029677">
          <w:marLeft w:val="0"/>
          <w:marRight w:val="0"/>
          <w:marTop w:val="0"/>
          <w:marBottom w:val="0"/>
          <w:divBdr>
            <w:top w:val="none" w:sz="0" w:space="0" w:color="auto"/>
            <w:left w:val="none" w:sz="0" w:space="0" w:color="auto"/>
            <w:bottom w:val="none" w:sz="0" w:space="0" w:color="auto"/>
            <w:right w:val="none" w:sz="0" w:space="0" w:color="auto"/>
          </w:divBdr>
        </w:div>
        <w:div w:id="1560364113">
          <w:marLeft w:val="0"/>
          <w:marRight w:val="0"/>
          <w:marTop w:val="0"/>
          <w:marBottom w:val="0"/>
          <w:divBdr>
            <w:top w:val="none" w:sz="0" w:space="0" w:color="auto"/>
            <w:left w:val="none" w:sz="0" w:space="0" w:color="auto"/>
            <w:bottom w:val="none" w:sz="0" w:space="0" w:color="auto"/>
            <w:right w:val="none" w:sz="0" w:space="0" w:color="auto"/>
          </w:divBdr>
        </w:div>
        <w:div w:id="2080784936">
          <w:marLeft w:val="0"/>
          <w:marRight w:val="0"/>
          <w:marTop w:val="0"/>
          <w:marBottom w:val="0"/>
          <w:divBdr>
            <w:top w:val="none" w:sz="0" w:space="0" w:color="auto"/>
            <w:left w:val="none" w:sz="0" w:space="0" w:color="auto"/>
            <w:bottom w:val="none" w:sz="0" w:space="0" w:color="auto"/>
            <w:right w:val="none" w:sz="0" w:space="0" w:color="auto"/>
          </w:divBdr>
        </w:div>
        <w:div w:id="102766554">
          <w:marLeft w:val="0"/>
          <w:marRight w:val="0"/>
          <w:marTop w:val="0"/>
          <w:marBottom w:val="0"/>
          <w:divBdr>
            <w:top w:val="none" w:sz="0" w:space="0" w:color="auto"/>
            <w:left w:val="none" w:sz="0" w:space="0" w:color="auto"/>
            <w:bottom w:val="none" w:sz="0" w:space="0" w:color="auto"/>
            <w:right w:val="none" w:sz="0" w:space="0" w:color="auto"/>
          </w:divBdr>
        </w:div>
        <w:div w:id="573123504">
          <w:marLeft w:val="0"/>
          <w:marRight w:val="0"/>
          <w:marTop w:val="0"/>
          <w:marBottom w:val="0"/>
          <w:divBdr>
            <w:top w:val="none" w:sz="0" w:space="0" w:color="auto"/>
            <w:left w:val="none" w:sz="0" w:space="0" w:color="auto"/>
            <w:bottom w:val="none" w:sz="0" w:space="0" w:color="auto"/>
            <w:right w:val="none" w:sz="0" w:space="0" w:color="auto"/>
          </w:divBdr>
        </w:div>
        <w:div w:id="552930572">
          <w:marLeft w:val="0"/>
          <w:marRight w:val="0"/>
          <w:marTop w:val="0"/>
          <w:marBottom w:val="0"/>
          <w:divBdr>
            <w:top w:val="none" w:sz="0" w:space="0" w:color="auto"/>
            <w:left w:val="none" w:sz="0" w:space="0" w:color="auto"/>
            <w:bottom w:val="none" w:sz="0" w:space="0" w:color="auto"/>
            <w:right w:val="none" w:sz="0" w:space="0" w:color="auto"/>
          </w:divBdr>
        </w:div>
        <w:div w:id="43607841">
          <w:marLeft w:val="0"/>
          <w:marRight w:val="0"/>
          <w:marTop w:val="0"/>
          <w:marBottom w:val="0"/>
          <w:divBdr>
            <w:top w:val="none" w:sz="0" w:space="0" w:color="auto"/>
            <w:left w:val="none" w:sz="0" w:space="0" w:color="auto"/>
            <w:bottom w:val="none" w:sz="0" w:space="0" w:color="auto"/>
            <w:right w:val="none" w:sz="0" w:space="0" w:color="auto"/>
          </w:divBdr>
        </w:div>
        <w:div w:id="199241748">
          <w:marLeft w:val="0"/>
          <w:marRight w:val="0"/>
          <w:marTop w:val="0"/>
          <w:marBottom w:val="0"/>
          <w:divBdr>
            <w:top w:val="none" w:sz="0" w:space="0" w:color="auto"/>
            <w:left w:val="none" w:sz="0" w:space="0" w:color="auto"/>
            <w:bottom w:val="none" w:sz="0" w:space="0" w:color="auto"/>
            <w:right w:val="none" w:sz="0" w:space="0" w:color="auto"/>
          </w:divBdr>
        </w:div>
        <w:div w:id="1927423625">
          <w:marLeft w:val="0"/>
          <w:marRight w:val="0"/>
          <w:marTop w:val="0"/>
          <w:marBottom w:val="0"/>
          <w:divBdr>
            <w:top w:val="none" w:sz="0" w:space="0" w:color="auto"/>
            <w:left w:val="none" w:sz="0" w:space="0" w:color="auto"/>
            <w:bottom w:val="none" w:sz="0" w:space="0" w:color="auto"/>
            <w:right w:val="none" w:sz="0" w:space="0" w:color="auto"/>
          </w:divBdr>
        </w:div>
        <w:div w:id="2022852529">
          <w:marLeft w:val="0"/>
          <w:marRight w:val="0"/>
          <w:marTop w:val="0"/>
          <w:marBottom w:val="0"/>
          <w:divBdr>
            <w:top w:val="none" w:sz="0" w:space="0" w:color="auto"/>
            <w:left w:val="none" w:sz="0" w:space="0" w:color="auto"/>
            <w:bottom w:val="none" w:sz="0" w:space="0" w:color="auto"/>
            <w:right w:val="none" w:sz="0" w:space="0" w:color="auto"/>
          </w:divBdr>
        </w:div>
        <w:div w:id="1764104094">
          <w:marLeft w:val="0"/>
          <w:marRight w:val="0"/>
          <w:marTop w:val="0"/>
          <w:marBottom w:val="0"/>
          <w:divBdr>
            <w:top w:val="none" w:sz="0" w:space="0" w:color="auto"/>
            <w:left w:val="none" w:sz="0" w:space="0" w:color="auto"/>
            <w:bottom w:val="none" w:sz="0" w:space="0" w:color="auto"/>
            <w:right w:val="none" w:sz="0" w:space="0" w:color="auto"/>
          </w:divBdr>
        </w:div>
        <w:div w:id="421031781">
          <w:marLeft w:val="0"/>
          <w:marRight w:val="0"/>
          <w:marTop w:val="0"/>
          <w:marBottom w:val="0"/>
          <w:divBdr>
            <w:top w:val="none" w:sz="0" w:space="0" w:color="auto"/>
            <w:left w:val="none" w:sz="0" w:space="0" w:color="auto"/>
            <w:bottom w:val="none" w:sz="0" w:space="0" w:color="auto"/>
            <w:right w:val="none" w:sz="0" w:space="0" w:color="auto"/>
          </w:divBdr>
        </w:div>
        <w:div w:id="756245216">
          <w:marLeft w:val="0"/>
          <w:marRight w:val="0"/>
          <w:marTop w:val="0"/>
          <w:marBottom w:val="0"/>
          <w:divBdr>
            <w:top w:val="none" w:sz="0" w:space="0" w:color="auto"/>
            <w:left w:val="none" w:sz="0" w:space="0" w:color="auto"/>
            <w:bottom w:val="none" w:sz="0" w:space="0" w:color="auto"/>
            <w:right w:val="none" w:sz="0" w:space="0" w:color="auto"/>
          </w:divBdr>
        </w:div>
        <w:div w:id="1170484255">
          <w:marLeft w:val="0"/>
          <w:marRight w:val="0"/>
          <w:marTop w:val="0"/>
          <w:marBottom w:val="0"/>
          <w:divBdr>
            <w:top w:val="none" w:sz="0" w:space="0" w:color="auto"/>
            <w:left w:val="none" w:sz="0" w:space="0" w:color="auto"/>
            <w:bottom w:val="none" w:sz="0" w:space="0" w:color="auto"/>
            <w:right w:val="none" w:sz="0" w:space="0" w:color="auto"/>
          </w:divBdr>
        </w:div>
        <w:div w:id="981160506">
          <w:marLeft w:val="0"/>
          <w:marRight w:val="0"/>
          <w:marTop w:val="0"/>
          <w:marBottom w:val="0"/>
          <w:divBdr>
            <w:top w:val="none" w:sz="0" w:space="0" w:color="auto"/>
            <w:left w:val="none" w:sz="0" w:space="0" w:color="auto"/>
            <w:bottom w:val="none" w:sz="0" w:space="0" w:color="auto"/>
            <w:right w:val="none" w:sz="0" w:space="0" w:color="auto"/>
          </w:divBdr>
        </w:div>
        <w:div w:id="710886015">
          <w:marLeft w:val="0"/>
          <w:marRight w:val="0"/>
          <w:marTop w:val="0"/>
          <w:marBottom w:val="0"/>
          <w:divBdr>
            <w:top w:val="none" w:sz="0" w:space="0" w:color="auto"/>
            <w:left w:val="none" w:sz="0" w:space="0" w:color="auto"/>
            <w:bottom w:val="none" w:sz="0" w:space="0" w:color="auto"/>
            <w:right w:val="none" w:sz="0" w:space="0" w:color="auto"/>
          </w:divBdr>
        </w:div>
        <w:div w:id="384454175">
          <w:marLeft w:val="0"/>
          <w:marRight w:val="0"/>
          <w:marTop w:val="0"/>
          <w:marBottom w:val="0"/>
          <w:divBdr>
            <w:top w:val="none" w:sz="0" w:space="0" w:color="auto"/>
            <w:left w:val="none" w:sz="0" w:space="0" w:color="auto"/>
            <w:bottom w:val="none" w:sz="0" w:space="0" w:color="auto"/>
            <w:right w:val="none" w:sz="0" w:space="0" w:color="auto"/>
          </w:divBdr>
        </w:div>
        <w:div w:id="576288958">
          <w:marLeft w:val="0"/>
          <w:marRight w:val="0"/>
          <w:marTop w:val="0"/>
          <w:marBottom w:val="0"/>
          <w:divBdr>
            <w:top w:val="none" w:sz="0" w:space="0" w:color="auto"/>
            <w:left w:val="none" w:sz="0" w:space="0" w:color="auto"/>
            <w:bottom w:val="none" w:sz="0" w:space="0" w:color="auto"/>
            <w:right w:val="none" w:sz="0" w:space="0" w:color="auto"/>
          </w:divBdr>
        </w:div>
        <w:div w:id="1322153953">
          <w:marLeft w:val="0"/>
          <w:marRight w:val="0"/>
          <w:marTop w:val="0"/>
          <w:marBottom w:val="0"/>
          <w:divBdr>
            <w:top w:val="none" w:sz="0" w:space="0" w:color="auto"/>
            <w:left w:val="none" w:sz="0" w:space="0" w:color="auto"/>
            <w:bottom w:val="none" w:sz="0" w:space="0" w:color="auto"/>
            <w:right w:val="none" w:sz="0" w:space="0" w:color="auto"/>
          </w:divBdr>
        </w:div>
        <w:div w:id="787502815">
          <w:marLeft w:val="0"/>
          <w:marRight w:val="0"/>
          <w:marTop w:val="0"/>
          <w:marBottom w:val="0"/>
          <w:divBdr>
            <w:top w:val="none" w:sz="0" w:space="0" w:color="auto"/>
            <w:left w:val="none" w:sz="0" w:space="0" w:color="auto"/>
            <w:bottom w:val="none" w:sz="0" w:space="0" w:color="auto"/>
            <w:right w:val="none" w:sz="0" w:space="0" w:color="auto"/>
          </w:divBdr>
        </w:div>
        <w:div w:id="1002779246">
          <w:marLeft w:val="0"/>
          <w:marRight w:val="0"/>
          <w:marTop w:val="0"/>
          <w:marBottom w:val="0"/>
          <w:divBdr>
            <w:top w:val="none" w:sz="0" w:space="0" w:color="auto"/>
            <w:left w:val="none" w:sz="0" w:space="0" w:color="auto"/>
            <w:bottom w:val="none" w:sz="0" w:space="0" w:color="auto"/>
            <w:right w:val="none" w:sz="0" w:space="0" w:color="auto"/>
          </w:divBdr>
        </w:div>
        <w:div w:id="742990691">
          <w:marLeft w:val="0"/>
          <w:marRight w:val="0"/>
          <w:marTop w:val="0"/>
          <w:marBottom w:val="0"/>
          <w:divBdr>
            <w:top w:val="none" w:sz="0" w:space="0" w:color="auto"/>
            <w:left w:val="none" w:sz="0" w:space="0" w:color="auto"/>
            <w:bottom w:val="none" w:sz="0" w:space="0" w:color="auto"/>
            <w:right w:val="none" w:sz="0" w:space="0" w:color="auto"/>
          </w:divBdr>
        </w:div>
        <w:div w:id="264313951">
          <w:marLeft w:val="0"/>
          <w:marRight w:val="0"/>
          <w:marTop w:val="0"/>
          <w:marBottom w:val="0"/>
          <w:divBdr>
            <w:top w:val="none" w:sz="0" w:space="0" w:color="auto"/>
            <w:left w:val="none" w:sz="0" w:space="0" w:color="auto"/>
            <w:bottom w:val="none" w:sz="0" w:space="0" w:color="auto"/>
            <w:right w:val="none" w:sz="0" w:space="0" w:color="auto"/>
          </w:divBdr>
        </w:div>
        <w:div w:id="2114393772">
          <w:marLeft w:val="0"/>
          <w:marRight w:val="0"/>
          <w:marTop w:val="0"/>
          <w:marBottom w:val="0"/>
          <w:divBdr>
            <w:top w:val="none" w:sz="0" w:space="0" w:color="auto"/>
            <w:left w:val="none" w:sz="0" w:space="0" w:color="auto"/>
            <w:bottom w:val="none" w:sz="0" w:space="0" w:color="auto"/>
            <w:right w:val="none" w:sz="0" w:space="0" w:color="auto"/>
          </w:divBdr>
        </w:div>
        <w:div w:id="1522426702">
          <w:marLeft w:val="0"/>
          <w:marRight w:val="0"/>
          <w:marTop w:val="0"/>
          <w:marBottom w:val="0"/>
          <w:divBdr>
            <w:top w:val="none" w:sz="0" w:space="0" w:color="auto"/>
            <w:left w:val="none" w:sz="0" w:space="0" w:color="auto"/>
            <w:bottom w:val="none" w:sz="0" w:space="0" w:color="auto"/>
            <w:right w:val="none" w:sz="0" w:space="0" w:color="auto"/>
          </w:divBdr>
        </w:div>
        <w:div w:id="1174228400">
          <w:marLeft w:val="0"/>
          <w:marRight w:val="0"/>
          <w:marTop w:val="0"/>
          <w:marBottom w:val="0"/>
          <w:divBdr>
            <w:top w:val="none" w:sz="0" w:space="0" w:color="auto"/>
            <w:left w:val="none" w:sz="0" w:space="0" w:color="auto"/>
            <w:bottom w:val="none" w:sz="0" w:space="0" w:color="auto"/>
            <w:right w:val="none" w:sz="0" w:space="0" w:color="auto"/>
          </w:divBdr>
        </w:div>
        <w:div w:id="112553090">
          <w:marLeft w:val="0"/>
          <w:marRight w:val="0"/>
          <w:marTop w:val="0"/>
          <w:marBottom w:val="0"/>
          <w:divBdr>
            <w:top w:val="none" w:sz="0" w:space="0" w:color="auto"/>
            <w:left w:val="none" w:sz="0" w:space="0" w:color="auto"/>
            <w:bottom w:val="none" w:sz="0" w:space="0" w:color="auto"/>
            <w:right w:val="none" w:sz="0" w:space="0" w:color="auto"/>
          </w:divBdr>
        </w:div>
        <w:div w:id="1365330984">
          <w:marLeft w:val="0"/>
          <w:marRight w:val="0"/>
          <w:marTop w:val="0"/>
          <w:marBottom w:val="0"/>
          <w:divBdr>
            <w:top w:val="none" w:sz="0" w:space="0" w:color="auto"/>
            <w:left w:val="none" w:sz="0" w:space="0" w:color="auto"/>
            <w:bottom w:val="none" w:sz="0" w:space="0" w:color="auto"/>
            <w:right w:val="none" w:sz="0" w:space="0" w:color="auto"/>
          </w:divBdr>
        </w:div>
        <w:div w:id="1023482751">
          <w:marLeft w:val="0"/>
          <w:marRight w:val="0"/>
          <w:marTop w:val="0"/>
          <w:marBottom w:val="0"/>
          <w:divBdr>
            <w:top w:val="none" w:sz="0" w:space="0" w:color="auto"/>
            <w:left w:val="none" w:sz="0" w:space="0" w:color="auto"/>
            <w:bottom w:val="none" w:sz="0" w:space="0" w:color="auto"/>
            <w:right w:val="none" w:sz="0" w:space="0" w:color="auto"/>
          </w:divBdr>
        </w:div>
        <w:div w:id="1522236099">
          <w:marLeft w:val="0"/>
          <w:marRight w:val="0"/>
          <w:marTop w:val="0"/>
          <w:marBottom w:val="0"/>
          <w:divBdr>
            <w:top w:val="none" w:sz="0" w:space="0" w:color="auto"/>
            <w:left w:val="none" w:sz="0" w:space="0" w:color="auto"/>
            <w:bottom w:val="none" w:sz="0" w:space="0" w:color="auto"/>
            <w:right w:val="none" w:sz="0" w:space="0" w:color="auto"/>
          </w:divBdr>
        </w:div>
        <w:div w:id="989675848">
          <w:marLeft w:val="0"/>
          <w:marRight w:val="0"/>
          <w:marTop w:val="0"/>
          <w:marBottom w:val="0"/>
          <w:divBdr>
            <w:top w:val="none" w:sz="0" w:space="0" w:color="auto"/>
            <w:left w:val="none" w:sz="0" w:space="0" w:color="auto"/>
            <w:bottom w:val="none" w:sz="0" w:space="0" w:color="auto"/>
            <w:right w:val="none" w:sz="0" w:space="0" w:color="auto"/>
          </w:divBdr>
        </w:div>
        <w:div w:id="347946747">
          <w:marLeft w:val="0"/>
          <w:marRight w:val="0"/>
          <w:marTop w:val="0"/>
          <w:marBottom w:val="0"/>
          <w:divBdr>
            <w:top w:val="none" w:sz="0" w:space="0" w:color="auto"/>
            <w:left w:val="none" w:sz="0" w:space="0" w:color="auto"/>
            <w:bottom w:val="none" w:sz="0" w:space="0" w:color="auto"/>
            <w:right w:val="none" w:sz="0" w:space="0" w:color="auto"/>
          </w:divBdr>
        </w:div>
        <w:div w:id="734625516">
          <w:marLeft w:val="0"/>
          <w:marRight w:val="0"/>
          <w:marTop w:val="0"/>
          <w:marBottom w:val="0"/>
          <w:divBdr>
            <w:top w:val="none" w:sz="0" w:space="0" w:color="auto"/>
            <w:left w:val="none" w:sz="0" w:space="0" w:color="auto"/>
            <w:bottom w:val="none" w:sz="0" w:space="0" w:color="auto"/>
            <w:right w:val="none" w:sz="0" w:space="0" w:color="auto"/>
          </w:divBdr>
        </w:div>
        <w:div w:id="1156799851">
          <w:marLeft w:val="0"/>
          <w:marRight w:val="0"/>
          <w:marTop w:val="0"/>
          <w:marBottom w:val="0"/>
          <w:divBdr>
            <w:top w:val="none" w:sz="0" w:space="0" w:color="auto"/>
            <w:left w:val="none" w:sz="0" w:space="0" w:color="auto"/>
            <w:bottom w:val="none" w:sz="0" w:space="0" w:color="auto"/>
            <w:right w:val="none" w:sz="0" w:space="0" w:color="auto"/>
          </w:divBdr>
        </w:div>
        <w:div w:id="2145344135">
          <w:marLeft w:val="0"/>
          <w:marRight w:val="0"/>
          <w:marTop w:val="0"/>
          <w:marBottom w:val="0"/>
          <w:divBdr>
            <w:top w:val="none" w:sz="0" w:space="0" w:color="auto"/>
            <w:left w:val="none" w:sz="0" w:space="0" w:color="auto"/>
            <w:bottom w:val="none" w:sz="0" w:space="0" w:color="auto"/>
            <w:right w:val="none" w:sz="0" w:space="0" w:color="auto"/>
          </w:divBdr>
        </w:div>
        <w:div w:id="270360408">
          <w:marLeft w:val="0"/>
          <w:marRight w:val="0"/>
          <w:marTop w:val="0"/>
          <w:marBottom w:val="0"/>
          <w:divBdr>
            <w:top w:val="none" w:sz="0" w:space="0" w:color="auto"/>
            <w:left w:val="none" w:sz="0" w:space="0" w:color="auto"/>
            <w:bottom w:val="none" w:sz="0" w:space="0" w:color="auto"/>
            <w:right w:val="none" w:sz="0" w:space="0" w:color="auto"/>
          </w:divBdr>
        </w:div>
        <w:div w:id="1402603622">
          <w:marLeft w:val="0"/>
          <w:marRight w:val="0"/>
          <w:marTop w:val="0"/>
          <w:marBottom w:val="0"/>
          <w:divBdr>
            <w:top w:val="none" w:sz="0" w:space="0" w:color="auto"/>
            <w:left w:val="none" w:sz="0" w:space="0" w:color="auto"/>
            <w:bottom w:val="none" w:sz="0" w:space="0" w:color="auto"/>
            <w:right w:val="none" w:sz="0" w:space="0" w:color="auto"/>
          </w:divBdr>
        </w:div>
        <w:div w:id="1211111137">
          <w:marLeft w:val="0"/>
          <w:marRight w:val="0"/>
          <w:marTop w:val="0"/>
          <w:marBottom w:val="0"/>
          <w:divBdr>
            <w:top w:val="none" w:sz="0" w:space="0" w:color="auto"/>
            <w:left w:val="none" w:sz="0" w:space="0" w:color="auto"/>
            <w:bottom w:val="none" w:sz="0" w:space="0" w:color="auto"/>
            <w:right w:val="none" w:sz="0" w:space="0" w:color="auto"/>
          </w:divBdr>
        </w:div>
        <w:div w:id="1348216843">
          <w:marLeft w:val="0"/>
          <w:marRight w:val="0"/>
          <w:marTop w:val="0"/>
          <w:marBottom w:val="0"/>
          <w:divBdr>
            <w:top w:val="none" w:sz="0" w:space="0" w:color="auto"/>
            <w:left w:val="none" w:sz="0" w:space="0" w:color="auto"/>
            <w:bottom w:val="none" w:sz="0" w:space="0" w:color="auto"/>
            <w:right w:val="none" w:sz="0" w:space="0" w:color="auto"/>
          </w:divBdr>
        </w:div>
        <w:div w:id="1001660451">
          <w:marLeft w:val="0"/>
          <w:marRight w:val="0"/>
          <w:marTop w:val="0"/>
          <w:marBottom w:val="0"/>
          <w:divBdr>
            <w:top w:val="none" w:sz="0" w:space="0" w:color="auto"/>
            <w:left w:val="none" w:sz="0" w:space="0" w:color="auto"/>
            <w:bottom w:val="none" w:sz="0" w:space="0" w:color="auto"/>
            <w:right w:val="none" w:sz="0" w:space="0" w:color="auto"/>
          </w:divBdr>
        </w:div>
        <w:div w:id="1767338628">
          <w:marLeft w:val="0"/>
          <w:marRight w:val="0"/>
          <w:marTop w:val="0"/>
          <w:marBottom w:val="0"/>
          <w:divBdr>
            <w:top w:val="none" w:sz="0" w:space="0" w:color="auto"/>
            <w:left w:val="none" w:sz="0" w:space="0" w:color="auto"/>
            <w:bottom w:val="none" w:sz="0" w:space="0" w:color="auto"/>
            <w:right w:val="none" w:sz="0" w:space="0" w:color="auto"/>
          </w:divBdr>
        </w:div>
        <w:div w:id="1668245227">
          <w:marLeft w:val="0"/>
          <w:marRight w:val="0"/>
          <w:marTop w:val="0"/>
          <w:marBottom w:val="0"/>
          <w:divBdr>
            <w:top w:val="none" w:sz="0" w:space="0" w:color="auto"/>
            <w:left w:val="none" w:sz="0" w:space="0" w:color="auto"/>
            <w:bottom w:val="none" w:sz="0" w:space="0" w:color="auto"/>
            <w:right w:val="none" w:sz="0" w:space="0" w:color="auto"/>
          </w:divBdr>
        </w:div>
        <w:div w:id="1890532688">
          <w:marLeft w:val="0"/>
          <w:marRight w:val="0"/>
          <w:marTop w:val="0"/>
          <w:marBottom w:val="0"/>
          <w:divBdr>
            <w:top w:val="none" w:sz="0" w:space="0" w:color="auto"/>
            <w:left w:val="none" w:sz="0" w:space="0" w:color="auto"/>
            <w:bottom w:val="none" w:sz="0" w:space="0" w:color="auto"/>
            <w:right w:val="none" w:sz="0" w:space="0" w:color="auto"/>
          </w:divBdr>
        </w:div>
        <w:div w:id="847209786">
          <w:marLeft w:val="0"/>
          <w:marRight w:val="0"/>
          <w:marTop w:val="0"/>
          <w:marBottom w:val="0"/>
          <w:divBdr>
            <w:top w:val="none" w:sz="0" w:space="0" w:color="auto"/>
            <w:left w:val="none" w:sz="0" w:space="0" w:color="auto"/>
            <w:bottom w:val="none" w:sz="0" w:space="0" w:color="auto"/>
            <w:right w:val="none" w:sz="0" w:space="0" w:color="auto"/>
          </w:divBdr>
        </w:div>
        <w:div w:id="405882731">
          <w:marLeft w:val="0"/>
          <w:marRight w:val="0"/>
          <w:marTop w:val="0"/>
          <w:marBottom w:val="0"/>
          <w:divBdr>
            <w:top w:val="none" w:sz="0" w:space="0" w:color="auto"/>
            <w:left w:val="none" w:sz="0" w:space="0" w:color="auto"/>
            <w:bottom w:val="none" w:sz="0" w:space="0" w:color="auto"/>
            <w:right w:val="none" w:sz="0" w:space="0" w:color="auto"/>
          </w:divBdr>
        </w:div>
        <w:div w:id="2137676726">
          <w:marLeft w:val="0"/>
          <w:marRight w:val="0"/>
          <w:marTop w:val="0"/>
          <w:marBottom w:val="0"/>
          <w:divBdr>
            <w:top w:val="none" w:sz="0" w:space="0" w:color="auto"/>
            <w:left w:val="none" w:sz="0" w:space="0" w:color="auto"/>
            <w:bottom w:val="none" w:sz="0" w:space="0" w:color="auto"/>
            <w:right w:val="none" w:sz="0" w:space="0" w:color="auto"/>
          </w:divBdr>
        </w:div>
        <w:div w:id="1752727239">
          <w:marLeft w:val="0"/>
          <w:marRight w:val="0"/>
          <w:marTop w:val="0"/>
          <w:marBottom w:val="0"/>
          <w:divBdr>
            <w:top w:val="none" w:sz="0" w:space="0" w:color="auto"/>
            <w:left w:val="none" w:sz="0" w:space="0" w:color="auto"/>
            <w:bottom w:val="none" w:sz="0" w:space="0" w:color="auto"/>
            <w:right w:val="none" w:sz="0" w:space="0" w:color="auto"/>
          </w:divBdr>
        </w:div>
        <w:div w:id="1250038151">
          <w:marLeft w:val="0"/>
          <w:marRight w:val="0"/>
          <w:marTop w:val="0"/>
          <w:marBottom w:val="0"/>
          <w:divBdr>
            <w:top w:val="none" w:sz="0" w:space="0" w:color="auto"/>
            <w:left w:val="none" w:sz="0" w:space="0" w:color="auto"/>
            <w:bottom w:val="none" w:sz="0" w:space="0" w:color="auto"/>
            <w:right w:val="none" w:sz="0" w:space="0" w:color="auto"/>
          </w:divBdr>
        </w:div>
        <w:div w:id="1925796995">
          <w:marLeft w:val="0"/>
          <w:marRight w:val="0"/>
          <w:marTop w:val="0"/>
          <w:marBottom w:val="0"/>
          <w:divBdr>
            <w:top w:val="none" w:sz="0" w:space="0" w:color="auto"/>
            <w:left w:val="none" w:sz="0" w:space="0" w:color="auto"/>
            <w:bottom w:val="none" w:sz="0" w:space="0" w:color="auto"/>
            <w:right w:val="none" w:sz="0" w:space="0" w:color="auto"/>
          </w:divBdr>
        </w:div>
        <w:div w:id="980772945">
          <w:marLeft w:val="0"/>
          <w:marRight w:val="0"/>
          <w:marTop w:val="0"/>
          <w:marBottom w:val="0"/>
          <w:divBdr>
            <w:top w:val="none" w:sz="0" w:space="0" w:color="auto"/>
            <w:left w:val="none" w:sz="0" w:space="0" w:color="auto"/>
            <w:bottom w:val="none" w:sz="0" w:space="0" w:color="auto"/>
            <w:right w:val="none" w:sz="0" w:space="0" w:color="auto"/>
          </w:divBdr>
        </w:div>
        <w:div w:id="481626733">
          <w:marLeft w:val="0"/>
          <w:marRight w:val="0"/>
          <w:marTop w:val="0"/>
          <w:marBottom w:val="0"/>
          <w:divBdr>
            <w:top w:val="none" w:sz="0" w:space="0" w:color="auto"/>
            <w:left w:val="none" w:sz="0" w:space="0" w:color="auto"/>
            <w:bottom w:val="none" w:sz="0" w:space="0" w:color="auto"/>
            <w:right w:val="none" w:sz="0" w:space="0" w:color="auto"/>
          </w:divBdr>
        </w:div>
        <w:div w:id="1894611815">
          <w:marLeft w:val="0"/>
          <w:marRight w:val="0"/>
          <w:marTop w:val="0"/>
          <w:marBottom w:val="0"/>
          <w:divBdr>
            <w:top w:val="none" w:sz="0" w:space="0" w:color="auto"/>
            <w:left w:val="none" w:sz="0" w:space="0" w:color="auto"/>
            <w:bottom w:val="none" w:sz="0" w:space="0" w:color="auto"/>
            <w:right w:val="none" w:sz="0" w:space="0" w:color="auto"/>
          </w:divBdr>
        </w:div>
        <w:div w:id="1375615058">
          <w:marLeft w:val="0"/>
          <w:marRight w:val="0"/>
          <w:marTop w:val="0"/>
          <w:marBottom w:val="0"/>
          <w:divBdr>
            <w:top w:val="none" w:sz="0" w:space="0" w:color="auto"/>
            <w:left w:val="none" w:sz="0" w:space="0" w:color="auto"/>
            <w:bottom w:val="none" w:sz="0" w:space="0" w:color="auto"/>
            <w:right w:val="none" w:sz="0" w:space="0" w:color="auto"/>
          </w:divBdr>
        </w:div>
        <w:div w:id="1262028009">
          <w:marLeft w:val="0"/>
          <w:marRight w:val="0"/>
          <w:marTop w:val="0"/>
          <w:marBottom w:val="0"/>
          <w:divBdr>
            <w:top w:val="none" w:sz="0" w:space="0" w:color="auto"/>
            <w:left w:val="none" w:sz="0" w:space="0" w:color="auto"/>
            <w:bottom w:val="none" w:sz="0" w:space="0" w:color="auto"/>
            <w:right w:val="none" w:sz="0" w:space="0" w:color="auto"/>
          </w:divBdr>
        </w:div>
        <w:div w:id="1511724767">
          <w:marLeft w:val="0"/>
          <w:marRight w:val="0"/>
          <w:marTop w:val="0"/>
          <w:marBottom w:val="0"/>
          <w:divBdr>
            <w:top w:val="none" w:sz="0" w:space="0" w:color="auto"/>
            <w:left w:val="none" w:sz="0" w:space="0" w:color="auto"/>
            <w:bottom w:val="none" w:sz="0" w:space="0" w:color="auto"/>
            <w:right w:val="none" w:sz="0" w:space="0" w:color="auto"/>
          </w:divBdr>
        </w:div>
        <w:div w:id="2101026407">
          <w:marLeft w:val="0"/>
          <w:marRight w:val="0"/>
          <w:marTop w:val="0"/>
          <w:marBottom w:val="0"/>
          <w:divBdr>
            <w:top w:val="none" w:sz="0" w:space="0" w:color="auto"/>
            <w:left w:val="none" w:sz="0" w:space="0" w:color="auto"/>
            <w:bottom w:val="none" w:sz="0" w:space="0" w:color="auto"/>
            <w:right w:val="none" w:sz="0" w:space="0" w:color="auto"/>
          </w:divBdr>
        </w:div>
        <w:div w:id="1882356988">
          <w:marLeft w:val="0"/>
          <w:marRight w:val="0"/>
          <w:marTop w:val="0"/>
          <w:marBottom w:val="0"/>
          <w:divBdr>
            <w:top w:val="none" w:sz="0" w:space="0" w:color="auto"/>
            <w:left w:val="none" w:sz="0" w:space="0" w:color="auto"/>
            <w:bottom w:val="none" w:sz="0" w:space="0" w:color="auto"/>
            <w:right w:val="none" w:sz="0" w:space="0" w:color="auto"/>
          </w:divBdr>
        </w:div>
        <w:div w:id="2015761734">
          <w:marLeft w:val="0"/>
          <w:marRight w:val="0"/>
          <w:marTop w:val="0"/>
          <w:marBottom w:val="0"/>
          <w:divBdr>
            <w:top w:val="none" w:sz="0" w:space="0" w:color="auto"/>
            <w:left w:val="none" w:sz="0" w:space="0" w:color="auto"/>
            <w:bottom w:val="none" w:sz="0" w:space="0" w:color="auto"/>
            <w:right w:val="none" w:sz="0" w:space="0" w:color="auto"/>
          </w:divBdr>
        </w:div>
        <w:div w:id="936711083">
          <w:marLeft w:val="0"/>
          <w:marRight w:val="0"/>
          <w:marTop w:val="0"/>
          <w:marBottom w:val="0"/>
          <w:divBdr>
            <w:top w:val="none" w:sz="0" w:space="0" w:color="auto"/>
            <w:left w:val="none" w:sz="0" w:space="0" w:color="auto"/>
            <w:bottom w:val="none" w:sz="0" w:space="0" w:color="auto"/>
            <w:right w:val="none" w:sz="0" w:space="0" w:color="auto"/>
          </w:divBdr>
        </w:div>
      </w:divsChild>
    </w:div>
    <w:div w:id="49690365">
      <w:bodyDiv w:val="1"/>
      <w:marLeft w:val="0"/>
      <w:marRight w:val="0"/>
      <w:marTop w:val="0"/>
      <w:marBottom w:val="0"/>
      <w:divBdr>
        <w:top w:val="none" w:sz="0" w:space="0" w:color="auto"/>
        <w:left w:val="none" w:sz="0" w:space="0" w:color="auto"/>
        <w:bottom w:val="none" w:sz="0" w:space="0" w:color="auto"/>
        <w:right w:val="none" w:sz="0" w:space="0" w:color="auto"/>
      </w:divBdr>
    </w:div>
    <w:div w:id="53548018">
      <w:bodyDiv w:val="1"/>
      <w:marLeft w:val="0"/>
      <w:marRight w:val="0"/>
      <w:marTop w:val="0"/>
      <w:marBottom w:val="0"/>
      <w:divBdr>
        <w:top w:val="none" w:sz="0" w:space="0" w:color="auto"/>
        <w:left w:val="none" w:sz="0" w:space="0" w:color="auto"/>
        <w:bottom w:val="none" w:sz="0" w:space="0" w:color="auto"/>
        <w:right w:val="none" w:sz="0" w:space="0" w:color="auto"/>
      </w:divBdr>
    </w:div>
    <w:div w:id="56561637">
      <w:bodyDiv w:val="1"/>
      <w:marLeft w:val="0"/>
      <w:marRight w:val="0"/>
      <w:marTop w:val="0"/>
      <w:marBottom w:val="0"/>
      <w:divBdr>
        <w:top w:val="none" w:sz="0" w:space="0" w:color="auto"/>
        <w:left w:val="none" w:sz="0" w:space="0" w:color="auto"/>
        <w:bottom w:val="none" w:sz="0" w:space="0" w:color="auto"/>
        <w:right w:val="none" w:sz="0" w:space="0" w:color="auto"/>
      </w:divBdr>
    </w:div>
    <w:div w:id="64577008">
      <w:bodyDiv w:val="1"/>
      <w:marLeft w:val="0"/>
      <w:marRight w:val="0"/>
      <w:marTop w:val="0"/>
      <w:marBottom w:val="0"/>
      <w:divBdr>
        <w:top w:val="none" w:sz="0" w:space="0" w:color="auto"/>
        <w:left w:val="none" w:sz="0" w:space="0" w:color="auto"/>
        <w:bottom w:val="none" w:sz="0" w:space="0" w:color="auto"/>
        <w:right w:val="none" w:sz="0" w:space="0" w:color="auto"/>
      </w:divBdr>
    </w:div>
    <w:div w:id="139924538">
      <w:bodyDiv w:val="1"/>
      <w:marLeft w:val="0"/>
      <w:marRight w:val="0"/>
      <w:marTop w:val="0"/>
      <w:marBottom w:val="0"/>
      <w:divBdr>
        <w:top w:val="none" w:sz="0" w:space="0" w:color="auto"/>
        <w:left w:val="none" w:sz="0" w:space="0" w:color="auto"/>
        <w:bottom w:val="none" w:sz="0" w:space="0" w:color="auto"/>
        <w:right w:val="none" w:sz="0" w:space="0" w:color="auto"/>
      </w:divBdr>
    </w:div>
    <w:div w:id="144202705">
      <w:bodyDiv w:val="1"/>
      <w:marLeft w:val="0"/>
      <w:marRight w:val="0"/>
      <w:marTop w:val="0"/>
      <w:marBottom w:val="0"/>
      <w:divBdr>
        <w:top w:val="none" w:sz="0" w:space="0" w:color="auto"/>
        <w:left w:val="none" w:sz="0" w:space="0" w:color="auto"/>
        <w:bottom w:val="none" w:sz="0" w:space="0" w:color="auto"/>
        <w:right w:val="none" w:sz="0" w:space="0" w:color="auto"/>
      </w:divBdr>
    </w:div>
    <w:div w:id="172500175">
      <w:bodyDiv w:val="1"/>
      <w:marLeft w:val="0"/>
      <w:marRight w:val="0"/>
      <w:marTop w:val="0"/>
      <w:marBottom w:val="0"/>
      <w:divBdr>
        <w:top w:val="none" w:sz="0" w:space="0" w:color="auto"/>
        <w:left w:val="none" w:sz="0" w:space="0" w:color="auto"/>
        <w:bottom w:val="none" w:sz="0" w:space="0" w:color="auto"/>
        <w:right w:val="none" w:sz="0" w:space="0" w:color="auto"/>
      </w:divBdr>
    </w:div>
    <w:div w:id="176771365">
      <w:bodyDiv w:val="1"/>
      <w:marLeft w:val="0"/>
      <w:marRight w:val="0"/>
      <w:marTop w:val="0"/>
      <w:marBottom w:val="0"/>
      <w:divBdr>
        <w:top w:val="none" w:sz="0" w:space="0" w:color="auto"/>
        <w:left w:val="none" w:sz="0" w:space="0" w:color="auto"/>
        <w:bottom w:val="none" w:sz="0" w:space="0" w:color="auto"/>
        <w:right w:val="none" w:sz="0" w:space="0" w:color="auto"/>
      </w:divBdr>
      <w:divsChild>
        <w:div w:id="1537353572">
          <w:marLeft w:val="0"/>
          <w:marRight w:val="0"/>
          <w:marTop w:val="0"/>
          <w:marBottom w:val="0"/>
          <w:divBdr>
            <w:top w:val="none" w:sz="0" w:space="0" w:color="auto"/>
            <w:left w:val="none" w:sz="0" w:space="0" w:color="auto"/>
            <w:bottom w:val="none" w:sz="0" w:space="0" w:color="auto"/>
            <w:right w:val="none" w:sz="0" w:space="0" w:color="auto"/>
          </w:divBdr>
        </w:div>
        <w:div w:id="1162693630">
          <w:marLeft w:val="0"/>
          <w:marRight w:val="0"/>
          <w:marTop w:val="0"/>
          <w:marBottom w:val="0"/>
          <w:divBdr>
            <w:top w:val="none" w:sz="0" w:space="0" w:color="auto"/>
            <w:left w:val="none" w:sz="0" w:space="0" w:color="auto"/>
            <w:bottom w:val="none" w:sz="0" w:space="0" w:color="auto"/>
            <w:right w:val="none" w:sz="0" w:space="0" w:color="auto"/>
          </w:divBdr>
        </w:div>
        <w:div w:id="1915696878">
          <w:marLeft w:val="0"/>
          <w:marRight w:val="0"/>
          <w:marTop w:val="0"/>
          <w:marBottom w:val="0"/>
          <w:divBdr>
            <w:top w:val="none" w:sz="0" w:space="0" w:color="auto"/>
            <w:left w:val="none" w:sz="0" w:space="0" w:color="auto"/>
            <w:bottom w:val="none" w:sz="0" w:space="0" w:color="auto"/>
            <w:right w:val="none" w:sz="0" w:space="0" w:color="auto"/>
          </w:divBdr>
        </w:div>
        <w:div w:id="1373112298">
          <w:marLeft w:val="0"/>
          <w:marRight w:val="0"/>
          <w:marTop w:val="0"/>
          <w:marBottom w:val="0"/>
          <w:divBdr>
            <w:top w:val="none" w:sz="0" w:space="0" w:color="auto"/>
            <w:left w:val="none" w:sz="0" w:space="0" w:color="auto"/>
            <w:bottom w:val="none" w:sz="0" w:space="0" w:color="auto"/>
            <w:right w:val="none" w:sz="0" w:space="0" w:color="auto"/>
          </w:divBdr>
        </w:div>
        <w:div w:id="786778965">
          <w:marLeft w:val="0"/>
          <w:marRight w:val="0"/>
          <w:marTop w:val="0"/>
          <w:marBottom w:val="0"/>
          <w:divBdr>
            <w:top w:val="none" w:sz="0" w:space="0" w:color="auto"/>
            <w:left w:val="none" w:sz="0" w:space="0" w:color="auto"/>
            <w:bottom w:val="none" w:sz="0" w:space="0" w:color="auto"/>
            <w:right w:val="none" w:sz="0" w:space="0" w:color="auto"/>
          </w:divBdr>
        </w:div>
        <w:div w:id="284580875">
          <w:marLeft w:val="0"/>
          <w:marRight w:val="0"/>
          <w:marTop w:val="0"/>
          <w:marBottom w:val="0"/>
          <w:divBdr>
            <w:top w:val="none" w:sz="0" w:space="0" w:color="auto"/>
            <w:left w:val="none" w:sz="0" w:space="0" w:color="auto"/>
            <w:bottom w:val="none" w:sz="0" w:space="0" w:color="auto"/>
            <w:right w:val="none" w:sz="0" w:space="0" w:color="auto"/>
          </w:divBdr>
        </w:div>
        <w:div w:id="1110129633">
          <w:marLeft w:val="0"/>
          <w:marRight w:val="0"/>
          <w:marTop w:val="0"/>
          <w:marBottom w:val="0"/>
          <w:divBdr>
            <w:top w:val="none" w:sz="0" w:space="0" w:color="auto"/>
            <w:left w:val="none" w:sz="0" w:space="0" w:color="auto"/>
            <w:bottom w:val="none" w:sz="0" w:space="0" w:color="auto"/>
            <w:right w:val="none" w:sz="0" w:space="0" w:color="auto"/>
          </w:divBdr>
        </w:div>
        <w:div w:id="1111701925">
          <w:marLeft w:val="0"/>
          <w:marRight w:val="0"/>
          <w:marTop w:val="0"/>
          <w:marBottom w:val="0"/>
          <w:divBdr>
            <w:top w:val="none" w:sz="0" w:space="0" w:color="auto"/>
            <w:left w:val="none" w:sz="0" w:space="0" w:color="auto"/>
            <w:bottom w:val="none" w:sz="0" w:space="0" w:color="auto"/>
            <w:right w:val="none" w:sz="0" w:space="0" w:color="auto"/>
          </w:divBdr>
        </w:div>
        <w:div w:id="2048796397">
          <w:marLeft w:val="0"/>
          <w:marRight w:val="0"/>
          <w:marTop w:val="0"/>
          <w:marBottom w:val="0"/>
          <w:divBdr>
            <w:top w:val="none" w:sz="0" w:space="0" w:color="auto"/>
            <w:left w:val="none" w:sz="0" w:space="0" w:color="auto"/>
            <w:bottom w:val="none" w:sz="0" w:space="0" w:color="auto"/>
            <w:right w:val="none" w:sz="0" w:space="0" w:color="auto"/>
          </w:divBdr>
        </w:div>
        <w:div w:id="1930505549">
          <w:marLeft w:val="0"/>
          <w:marRight w:val="0"/>
          <w:marTop w:val="0"/>
          <w:marBottom w:val="0"/>
          <w:divBdr>
            <w:top w:val="none" w:sz="0" w:space="0" w:color="auto"/>
            <w:left w:val="none" w:sz="0" w:space="0" w:color="auto"/>
            <w:bottom w:val="none" w:sz="0" w:space="0" w:color="auto"/>
            <w:right w:val="none" w:sz="0" w:space="0" w:color="auto"/>
          </w:divBdr>
        </w:div>
        <w:div w:id="1723167891">
          <w:marLeft w:val="0"/>
          <w:marRight w:val="0"/>
          <w:marTop w:val="0"/>
          <w:marBottom w:val="0"/>
          <w:divBdr>
            <w:top w:val="none" w:sz="0" w:space="0" w:color="auto"/>
            <w:left w:val="none" w:sz="0" w:space="0" w:color="auto"/>
            <w:bottom w:val="none" w:sz="0" w:space="0" w:color="auto"/>
            <w:right w:val="none" w:sz="0" w:space="0" w:color="auto"/>
          </w:divBdr>
        </w:div>
        <w:div w:id="1252547288">
          <w:marLeft w:val="0"/>
          <w:marRight w:val="0"/>
          <w:marTop w:val="0"/>
          <w:marBottom w:val="0"/>
          <w:divBdr>
            <w:top w:val="none" w:sz="0" w:space="0" w:color="auto"/>
            <w:left w:val="none" w:sz="0" w:space="0" w:color="auto"/>
            <w:bottom w:val="none" w:sz="0" w:space="0" w:color="auto"/>
            <w:right w:val="none" w:sz="0" w:space="0" w:color="auto"/>
          </w:divBdr>
        </w:div>
        <w:div w:id="729042116">
          <w:marLeft w:val="0"/>
          <w:marRight w:val="0"/>
          <w:marTop w:val="0"/>
          <w:marBottom w:val="0"/>
          <w:divBdr>
            <w:top w:val="none" w:sz="0" w:space="0" w:color="auto"/>
            <w:left w:val="none" w:sz="0" w:space="0" w:color="auto"/>
            <w:bottom w:val="none" w:sz="0" w:space="0" w:color="auto"/>
            <w:right w:val="none" w:sz="0" w:space="0" w:color="auto"/>
          </w:divBdr>
        </w:div>
        <w:div w:id="144514125">
          <w:marLeft w:val="0"/>
          <w:marRight w:val="0"/>
          <w:marTop w:val="0"/>
          <w:marBottom w:val="0"/>
          <w:divBdr>
            <w:top w:val="none" w:sz="0" w:space="0" w:color="auto"/>
            <w:left w:val="none" w:sz="0" w:space="0" w:color="auto"/>
            <w:bottom w:val="none" w:sz="0" w:space="0" w:color="auto"/>
            <w:right w:val="none" w:sz="0" w:space="0" w:color="auto"/>
          </w:divBdr>
        </w:div>
        <w:div w:id="1098059904">
          <w:marLeft w:val="0"/>
          <w:marRight w:val="0"/>
          <w:marTop w:val="0"/>
          <w:marBottom w:val="0"/>
          <w:divBdr>
            <w:top w:val="none" w:sz="0" w:space="0" w:color="auto"/>
            <w:left w:val="none" w:sz="0" w:space="0" w:color="auto"/>
            <w:bottom w:val="none" w:sz="0" w:space="0" w:color="auto"/>
            <w:right w:val="none" w:sz="0" w:space="0" w:color="auto"/>
          </w:divBdr>
        </w:div>
        <w:div w:id="2087801887">
          <w:marLeft w:val="0"/>
          <w:marRight w:val="0"/>
          <w:marTop w:val="0"/>
          <w:marBottom w:val="0"/>
          <w:divBdr>
            <w:top w:val="none" w:sz="0" w:space="0" w:color="auto"/>
            <w:left w:val="none" w:sz="0" w:space="0" w:color="auto"/>
            <w:bottom w:val="none" w:sz="0" w:space="0" w:color="auto"/>
            <w:right w:val="none" w:sz="0" w:space="0" w:color="auto"/>
          </w:divBdr>
        </w:div>
        <w:div w:id="1187674509">
          <w:marLeft w:val="0"/>
          <w:marRight w:val="0"/>
          <w:marTop w:val="0"/>
          <w:marBottom w:val="0"/>
          <w:divBdr>
            <w:top w:val="none" w:sz="0" w:space="0" w:color="auto"/>
            <w:left w:val="none" w:sz="0" w:space="0" w:color="auto"/>
            <w:bottom w:val="none" w:sz="0" w:space="0" w:color="auto"/>
            <w:right w:val="none" w:sz="0" w:space="0" w:color="auto"/>
          </w:divBdr>
        </w:div>
        <w:div w:id="917984210">
          <w:marLeft w:val="0"/>
          <w:marRight w:val="0"/>
          <w:marTop w:val="0"/>
          <w:marBottom w:val="0"/>
          <w:divBdr>
            <w:top w:val="none" w:sz="0" w:space="0" w:color="auto"/>
            <w:left w:val="none" w:sz="0" w:space="0" w:color="auto"/>
            <w:bottom w:val="none" w:sz="0" w:space="0" w:color="auto"/>
            <w:right w:val="none" w:sz="0" w:space="0" w:color="auto"/>
          </w:divBdr>
        </w:div>
        <w:div w:id="797993667">
          <w:marLeft w:val="0"/>
          <w:marRight w:val="0"/>
          <w:marTop w:val="0"/>
          <w:marBottom w:val="0"/>
          <w:divBdr>
            <w:top w:val="none" w:sz="0" w:space="0" w:color="auto"/>
            <w:left w:val="none" w:sz="0" w:space="0" w:color="auto"/>
            <w:bottom w:val="none" w:sz="0" w:space="0" w:color="auto"/>
            <w:right w:val="none" w:sz="0" w:space="0" w:color="auto"/>
          </w:divBdr>
        </w:div>
        <w:div w:id="1724985103">
          <w:marLeft w:val="0"/>
          <w:marRight w:val="0"/>
          <w:marTop w:val="0"/>
          <w:marBottom w:val="0"/>
          <w:divBdr>
            <w:top w:val="none" w:sz="0" w:space="0" w:color="auto"/>
            <w:left w:val="none" w:sz="0" w:space="0" w:color="auto"/>
            <w:bottom w:val="none" w:sz="0" w:space="0" w:color="auto"/>
            <w:right w:val="none" w:sz="0" w:space="0" w:color="auto"/>
          </w:divBdr>
        </w:div>
        <w:div w:id="1777139887">
          <w:marLeft w:val="0"/>
          <w:marRight w:val="0"/>
          <w:marTop w:val="0"/>
          <w:marBottom w:val="0"/>
          <w:divBdr>
            <w:top w:val="none" w:sz="0" w:space="0" w:color="auto"/>
            <w:left w:val="none" w:sz="0" w:space="0" w:color="auto"/>
            <w:bottom w:val="none" w:sz="0" w:space="0" w:color="auto"/>
            <w:right w:val="none" w:sz="0" w:space="0" w:color="auto"/>
          </w:divBdr>
        </w:div>
        <w:div w:id="969289388">
          <w:marLeft w:val="0"/>
          <w:marRight w:val="0"/>
          <w:marTop w:val="0"/>
          <w:marBottom w:val="0"/>
          <w:divBdr>
            <w:top w:val="none" w:sz="0" w:space="0" w:color="auto"/>
            <w:left w:val="none" w:sz="0" w:space="0" w:color="auto"/>
            <w:bottom w:val="none" w:sz="0" w:space="0" w:color="auto"/>
            <w:right w:val="none" w:sz="0" w:space="0" w:color="auto"/>
          </w:divBdr>
        </w:div>
        <w:div w:id="201140189">
          <w:marLeft w:val="0"/>
          <w:marRight w:val="0"/>
          <w:marTop w:val="0"/>
          <w:marBottom w:val="0"/>
          <w:divBdr>
            <w:top w:val="none" w:sz="0" w:space="0" w:color="auto"/>
            <w:left w:val="none" w:sz="0" w:space="0" w:color="auto"/>
            <w:bottom w:val="none" w:sz="0" w:space="0" w:color="auto"/>
            <w:right w:val="none" w:sz="0" w:space="0" w:color="auto"/>
          </w:divBdr>
        </w:div>
        <w:div w:id="1387141924">
          <w:marLeft w:val="0"/>
          <w:marRight w:val="0"/>
          <w:marTop w:val="0"/>
          <w:marBottom w:val="0"/>
          <w:divBdr>
            <w:top w:val="none" w:sz="0" w:space="0" w:color="auto"/>
            <w:left w:val="none" w:sz="0" w:space="0" w:color="auto"/>
            <w:bottom w:val="none" w:sz="0" w:space="0" w:color="auto"/>
            <w:right w:val="none" w:sz="0" w:space="0" w:color="auto"/>
          </w:divBdr>
        </w:div>
        <w:div w:id="1193961552">
          <w:marLeft w:val="0"/>
          <w:marRight w:val="0"/>
          <w:marTop w:val="0"/>
          <w:marBottom w:val="0"/>
          <w:divBdr>
            <w:top w:val="none" w:sz="0" w:space="0" w:color="auto"/>
            <w:left w:val="none" w:sz="0" w:space="0" w:color="auto"/>
            <w:bottom w:val="none" w:sz="0" w:space="0" w:color="auto"/>
            <w:right w:val="none" w:sz="0" w:space="0" w:color="auto"/>
          </w:divBdr>
        </w:div>
        <w:div w:id="1897281168">
          <w:marLeft w:val="0"/>
          <w:marRight w:val="0"/>
          <w:marTop w:val="0"/>
          <w:marBottom w:val="0"/>
          <w:divBdr>
            <w:top w:val="none" w:sz="0" w:space="0" w:color="auto"/>
            <w:left w:val="none" w:sz="0" w:space="0" w:color="auto"/>
            <w:bottom w:val="none" w:sz="0" w:space="0" w:color="auto"/>
            <w:right w:val="none" w:sz="0" w:space="0" w:color="auto"/>
          </w:divBdr>
        </w:div>
        <w:div w:id="1246724070">
          <w:marLeft w:val="0"/>
          <w:marRight w:val="0"/>
          <w:marTop w:val="0"/>
          <w:marBottom w:val="0"/>
          <w:divBdr>
            <w:top w:val="none" w:sz="0" w:space="0" w:color="auto"/>
            <w:left w:val="none" w:sz="0" w:space="0" w:color="auto"/>
            <w:bottom w:val="none" w:sz="0" w:space="0" w:color="auto"/>
            <w:right w:val="none" w:sz="0" w:space="0" w:color="auto"/>
          </w:divBdr>
        </w:div>
        <w:div w:id="1449469066">
          <w:marLeft w:val="0"/>
          <w:marRight w:val="0"/>
          <w:marTop w:val="0"/>
          <w:marBottom w:val="0"/>
          <w:divBdr>
            <w:top w:val="none" w:sz="0" w:space="0" w:color="auto"/>
            <w:left w:val="none" w:sz="0" w:space="0" w:color="auto"/>
            <w:bottom w:val="none" w:sz="0" w:space="0" w:color="auto"/>
            <w:right w:val="none" w:sz="0" w:space="0" w:color="auto"/>
          </w:divBdr>
        </w:div>
        <w:div w:id="1578126926">
          <w:marLeft w:val="0"/>
          <w:marRight w:val="0"/>
          <w:marTop w:val="0"/>
          <w:marBottom w:val="0"/>
          <w:divBdr>
            <w:top w:val="none" w:sz="0" w:space="0" w:color="auto"/>
            <w:left w:val="none" w:sz="0" w:space="0" w:color="auto"/>
            <w:bottom w:val="none" w:sz="0" w:space="0" w:color="auto"/>
            <w:right w:val="none" w:sz="0" w:space="0" w:color="auto"/>
          </w:divBdr>
        </w:div>
        <w:div w:id="472872811">
          <w:marLeft w:val="0"/>
          <w:marRight w:val="0"/>
          <w:marTop w:val="0"/>
          <w:marBottom w:val="0"/>
          <w:divBdr>
            <w:top w:val="none" w:sz="0" w:space="0" w:color="auto"/>
            <w:left w:val="none" w:sz="0" w:space="0" w:color="auto"/>
            <w:bottom w:val="none" w:sz="0" w:space="0" w:color="auto"/>
            <w:right w:val="none" w:sz="0" w:space="0" w:color="auto"/>
          </w:divBdr>
        </w:div>
        <w:div w:id="1647666464">
          <w:marLeft w:val="0"/>
          <w:marRight w:val="0"/>
          <w:marTop w:val="0"/>
          <w:marBottom w:val="0"/>
          <w:divBdr>
            <w:top w:val="none" w:sz="0" w:space="0" w:color="auto"/>
            <w:left w:val="none" w:sz="0" w:space="0" w:color="auto"/>
            <w:bottom w:val="none" w:sz="0" w:space="0" w:color="auto"/>
            <w:right w:val="none" w:sz="0" w:space="0" w:color="auto"/>
          </w:divBdr>
        </w:div>
        <w:div w:id="461196091">
          <w:marLeft w:val="0"/>
          <w:marRight w:val="0"/>
          <w:marTop w:val="0"/>
          <w:marBottom w:val="0"/>
          <w:divBdr>
            <w:top w:val="none" w:sz="0" w:space="0" w:color="auto"/>
            <w:left w:val="none" w:sz="0" w:space="0" w:color="auto"/>
            <w:bottom w:val="none" w:sz="0" w:space="0" w:color="auto"/>
            <w:right w:val="none" w:sz="0" w:space="0" w:color="auto"/>
          </w:divBdr>
        </w:div>
        <w:div w:id="809055060">
          <w:marLeft w:val="0"/>
          <w:marRight w:val="0"/>
          <w:marTop w:val="0"/>
          <w:marBottom w:val="0"/>
          <w:divBdr>
            <w:top w:val="none" w:sz="0" w:space="0" w:color="auto"/>
            <w:left w:val="none" w:sz="0" w:space="0" w:color="auto"/>
            <w:bottom w:val="none" w:sz="0" w:space="0" w:color="auto"/>
            <w:right w:val="none" w:sz="0" w:space="0" w:color="auto"/>
          </w:divBdr>
        </w:div>
        <w:div w:id="1048069481">
          <w:marLeft w:val="0"/>
          <w:marRight w:val="0"/>
          <w:marTop w:val="0"/>
          <w:marBottom w:val="0"/>
          <w:divBdr>
            <w:top w:val="none" w:sz="0" w:space="0" w:color="auto"/>
            <w:left w:val="none" w:sz="0" w:space="0" w:color="auto"/>
            <w:bottom w:val="none" w:sz="0" w:space="0" w:color="auto"/>
            <w:right w:val="none" w:sz="0" w:space="0" w:color="auto"/>
          </w:divBdr>
        </w:div>
        <w:div w:id="1699699840">
          <w:marLeft w:val="0"/>
          <w:marRight w:val="0"/>
          <w:marTop w:val="0"/>
          <w:marBottom w:val="0"/>
          <w:divBdr>
            <w:top w:val="none" w:sz="0" w:space="0" w:color="auto"/>
            <w:left w:val="none" w:sz="0" w:space="0" w:color="auto"/>
            <w:bottom w:val="none" w:sz="0" w:space="0" w:color="auto"/>
            <w:right w:val="none" w:sz="0" w:space="0" w:color="auto"/>
          </w:divBdr>
        </w:div>
        <w:div w:id="1155949973">
          <w:marLeft w:val="0"/>
          <w:marRight w:val="0"/>
          <w:marTop w:val="0"/>
          <w:marBottom w:val="0"/>
          <w:divBdr>
            <w:top w:val="none" w:sz="0" w:space="0" w:color="auto"/>
            <w:left w:val="none" w:sz="0" w:space="0" w:color="auto"/>
            <w:bottom w:val="none" w:sz="0" w:space="0" w:color="auto"/>
            <w:right w:val="none" w:sz="0" w:space="0" w:color="auto"/>
          </w:divBdr>
        </w:div>
        <w:div w:id="802843903">
          <w:marLeft w:val="0"/>
          <w:marRight w:val="0"/>
          <w:marTop w:val="0"/>
          <w:marBottom w:val="0"/>
          <w:divBdr>
            <w:top w:val="none" w:sz="0" w:space="0" w:color="auto"/>
            <w:left w:val="none" w:sz="0" w:space="0" w:color="auto"/>
            <w:bottom w:val="none" w:sz="0" w:space="0" w:color="auto"/>
            <w:right w:val="none" w:sz="0" w:space="0" w:color="auto"/>
          </w:divBdr>
        </w:div>
        <w:div w:id="490949710">
          <w:marLeft w:val="0"/>
          <w:marRight w:val="0"/>
          <w:marTop w:val="0"/>
          <w:marBottom w:val="0"/>
          <w:divBdr>
            <w:top w:val="none" w:sz="0" w:space="0" w:color="auto"/>
            <w:left w:val="none" w:sz="0" w:space="0" w:color="auto"/>
            <w:bottom w:val="none" w:sz="0" w:space="0" w:color="auto"/>
            <w:right w:val="none" w:sz="0" w:space="0" w:color="auto"/>
          </w:divBdr>
        </w:div>
        <w:div w:id="1637489169">
          <w:marLeft w:val="0"/>
          <w:marRight w:val="0"/>
          <w:marTop w:val="0"/>
          <w:marBottom w:val="0"/>
          <w:divBdr>
            <w:top w:val="none" w:sz="0" w:space="0" w:color="auto"/>
            <w:left w:val="none" w:sz="0" w:space="0" w:color="auto"/>
            <w:bottom w:val="none" w:sz="0" w:space="0" w:color="auto"/>
            <w:right w:val="none" w:sz="0" w:space="0" w:color="auto"/>
          </w:divBdr>
        </w:div>
        <w:div w:id="14112228">
          <w:marLeft w:val="0"/>
          <w:marRight w:val="0"/>
          <w:marTop w:val="0"/>
          <w:marBottom w:val="0"/>
          <w:divBdr>
            <w:top w:val="none" w:sz="0" w:space="0" w:color="auto"/>
            <w:left w:val="none" w:sz="0" w:space="0" w:color="auto"/>
            <w:bottom w:val="none" w:sz="0" w:space="0" w:color="auto"/>
            <w:right w:val="none" w:sz="0" w:space="0" w:color="auto"/>
          </w:divBdr>
        </w:div>
        <w:div w:id="815486903">
          <w:marLeft w:val="0"/>
          <w:marRight w:val="0"/>
          <w:marTop w:val="0"/>
          <w:marBottom w:val="0"/>
          <w:divBdr>
            <w:top w:val="none" w:sz="0" w:space="0" w:color="auto"/>
            <w:left w:val="none" w:sz="0" w:space="0" w:color="auto"/>
            <w:bottom w:val="none" w:sz="0" w:space="0" w:color="auto"/>
            <w:right w:val="none" w:sz="0" w:space="0" w:color="auto"/>
          </w:divBdr>
        </w:div>
        <w:div w:id="726342016">
          <w:marLeft w:val="0"/>
          <w:marRight w:val="0"/>
          <w:marTop w:val="0"/>
          <w:marBottom w:val="0"/>
          <w:divBdr>
            <w:top w:val="none" w:sz="0" w:space="0" w:color="auto"/>
            <w:left w:val="none" w:sz="0" w:space="0" w:color="auto"/>
            <w:bottom w:val="none" w:sz="0" w:space="0" w:color="auto"/>
            <w:right w:val="none" w:sz="0" w:space="0" w:color="auto"/>
          </w:divBdr>
        </w:div>
        <w:div w:id="1532567481">
          <w:marLeft w:val="0"/>
          <w:marRight w:val="0"/>
          <w:marTop w:val="0"/>
          <w:marBottom w:val="0"/>
          <w:divBdr>
            <w:top w:val="none" w:sz="0" w:space="0" w:color="auto"/>
            <w:left w:val="none" w:sz="0" w:space="0" w:color="auto"/>
            <w:bottom w:val="none" w:sz="0" w:space="0" w:color="auto"/>
            <w:right w:val="none" w:sz="0" w:space="0" w:color="auto"/>
          </w:divBdr>
        </w:div>
        <w:div w:id="80684002">
          <w:marLeft w:val="0"/>
          <w:marRight w:val="0"/>
          <w:marTop w:val="0"/>
          <w:marBottom w:val="0"/>
          <w:divBdr>
            <w:top w:val="none" w:sz="0" w:space="0" w:color="auto"/>
            <w:left w:val="none" w:sz="0" w:space="0" w:color="auto"/>
            <w:bottom w:val="none" w:sz="0" w:space="0" w:color="auto"/>
            <w:right w:val="none" w:sz="0" w:space="0" w:color="auto"/>
          </w:divBdr>
        </w:div>
        <w:div w:id="508906393">
          <w:marLeft w:val="0"/>
          <w:marRight w:val="0"/>
          <w:marTop w:val="0"/>
          <w:marBottom w:val="0"/>
          <w:divBdr>
            <w:top w:val="none" w:sz="0" w:space="0" w:color="auto"/>
            <w:left w:val="none" w:sz="0" w:space="0" w:color="auto"/>
            <w:bottom w:val="none" w:sz="0" w:space="0" w:color="auto"/>
            <w:right w:val="none" w:sz="0" w:space="0" w:color="auto"/>
          </w:divBdr>
        </w:div>
        <w:div w:id="1516118529">
          <w:marLeft w:val="0"/>
          <w:marRight w:val="0"/>
          <w:marTop w:val="0"/>
          <w:marBottom w:val="0"/>
          <w:divBdr>
            <w:top w:val="none" w:sz="0" w:space="0" w:color="auto"/>
            <w:left w:val="none" w:sz="0" w:space="0" w:color="auto"/>
            <w:bottom w:val="none" w:sz="0" w:space="0" w:color="auto"/>
            <w:right w:val="none" w:sz="0" w:space="0" w:color="auto"/>
          </w:divBdr>
        </w:div>
        <w:div w:id="565262180">
          <w:marLeft w:val="0"/>
          <w:marRight w:val="0"/>
          <w:marTop w:val="0"/>
          <w:marBottom w:val="0"/>
          <w:divBdr>
            <w:top w:val="none" w:sz="0" w:space="0" w:color="auto"/>
            <w:left w:val="none" w:sz="0" w:space="0" w:color="auto"/>
            <w:bottom w:val="none" w:sz="0" w:space="0" w:color="auto"/>
            <w:right w:val="none" w:sz="0" w:space="0" w:color="auto"/>
          </w:divBdr>
        </w:div>
        <w:div w:id="187261624">
          <w:marLeft w:val="0"/>
          <w:marRight w:val="0"/>
          <w:marTop w:val="0"/>
          <w:marBottom w:val="0"/>
          <w:divBdr>
            <w:top w:val="none" w:sz="0" w:space="0" w:color="auto"/>
            <w:left w:val="none" w:sz="0" w:space="0" w:color="auto"/>
            <w:bottom w:val="none" w:sz="0" w:space="0" w:color="auto"/>
            <w:right w:val="none" w:sz="0" w:space="0" w:color="auto"/>
          </w:divBdr>
        </w:div>
        <w:div w:id="1458841805">
          <w:marLeft w:val="0"/>
          <w:marRight w:val="0"/>
          <w:marTop w:val="0"/>
          <w:marBottom w:val="0"/>
          <w:divBdr>
            <w:top w:val="none" w:sz="0" w:space="0" w:color="auto"/>
            <w:left w:val="none" w:sz="0" w:space="0" w:color="auto"/>
            <w:bottom w:val="none" w:sz="0" w:space="0" w:color="auto"/>
            <w:right w:val="none" w:sz="0" w:space="0" w:color="auto"/>
          </w:divBdr>
        </w:div>
        <w:div w:id="1253320923">
          <w:marLeft w:val="0"/>
          <w:marRight w:val="0"/>
          <w:marTop w:val="0"/>
          <w:marBottom w:val="0"/>
          <w:divBdr>
            <w:top w:val="none" w:sz="0" w:space="0" w:color="auto"/>
            <w:left w:val="none" w:sz="0" w:space="0" w:color="auto"/>
            <w:bottom w:val="none" w:sz="0" w:space="0" w:color="auto"/>
            <w:right w:val="none" w:sz="0" w:space="0" w:color="auto"/>
          </w:divBdr>
        </w:div>
        <w:div w:id="1782916186">
          <w:marLeft w:val="0"/>
          <w:marRight w:val="0"/>
          <w:marTop w:val="0"/>
          <w:marBottom w:val="0"/>
          <w:divBdr>
            <w:top w:val="none" w:sz="0" w:space="0" w:color="auto"/>
            <w:left w:val="none" w:sz="0" w:space="0" w:color="auto"/>
            <w:bottom w:val="none" w:sz="0" w:space="0" w:color="auto"/>
            <w:right w:val="none" w:sz="0" w:space="0" w:color="auto"/>
          </w:divBdr>
        </w:div>
        <w:div w:id="831920043">
          <w:marLeft w:val="0"/>
          <w:marRight w:val="0"/>
          <w:marTop w:val="0"/>
          <w:marBottom w:val="0"/>
          <w:divBdr>
            <w:top w:val="none" w:sz="0" w:space="0" w:color="auto"/>
            <w:left w:val="none" w:sz="0" w:space="0" w:color="auto"/>
            <w:bottom w:val="none" w:sz="0" w:space="0" w:color="auto"/>
            <w:right w:val="none" w:sz="0" w:space="0" w:color="auto"/>
          </w:divBdr>
        </w:div>
        <w:div w:id="120878524">
          <w:marLeft w:val="0"/>
          <w:marRight w:val="0"/>
          <w:marTop w:val="0"/>
          <w:marBottom w:val="0"/>
          <w:divBdr>
            <w:top w:val="none" w:sz="0" w:space="0" w:color="auto"/>
            <w:left w:val="none" w:sz="0" w:space="0" w:color="auto"/>
            <w:bottom w:val="none" w:sz="0" w:space="0" w:color="auto"/>
            <w:right w:val="none" w:sz="0" w:space="0" w:color="auto"/>
          </w:divBdr>
        </w:div>
        <w:div w:id="1800147502">
          <w:marLeft w:val="0"/>
          <w:marRight w:val="0"/>
          <w:marTop w:val="0"/>
          <w:marBottom w:val="0"/>
          <w:divBdr>
            <w:top w:val="none" w:sz="0" w:space="0" w:color="auto"/>
            <w:left w:val="none" w:sz="0" w:space="0" w:color="auto"/>
            <w:bottom w:val="none" w:sz="0" w:space="0" w:color="auto"/>
            <w:right w:val="none" w:sz="0" w:space="0" w:color="auto"/>
          </w:divBdr>
        </w:div>
      </w:divsChild>
    </w:div>
    <w:div w:id="185948271">
      <w:bodyDiv w:val="1"/>
      <w:marLeft w:val="0"/>
      <w:marRight w:val="0"/>
      <w:marTop w:val="0"/>
      <w:marBottom w:val="0"/>
      <w:divBdr>
        <w:top w:val="none" w:sz="0" w:space="0" w:color="auto"/>
        <w:left w:val="none" w:sz="0" w:space="0" w:color="auto"/>
        <w:bottom w:val="none" w:sz="0" w:space="0" w:color="auto"/>
        <w:right w:val="none" w:sz="0" w:space="0" w:color="auto"/>
      </w:divBdr>
    </w:div>
    <w:div w:id="192882488">
      <w:bodyDiv w:val="1"/>
      <w:marLeft w:val="0"/>
      <w:marRight w:val="0"/>
      <w:marTop w:val="0"/>
      <w:marBottom w:val="0"/>
      <w:divBdr>
        <w:top w:val="none" w:sz="0" w:space="0" w:color="auto"/>
        <w:left w:val="none" w:sz="0" w:space="0" w:color="auto"/>
        <w:bottom w:val="none" w:sz="0" w:space="0" w:color="auto"/>
        <w:right w:val="none" w:sz="0" w:space="0" w:color="auto"/>
      </w:divBdr>
    </w:div>
    <w:div w:id="212737590">
      <w:bodyDiv w:val="1"/>
      <w:marLeft w:val="0"/>
      <w:marRight w:val="0"/>
      <w:marTop w:val="0"/>
      <w:marBottom w:val="0"/>
      <w:divBdr>
        <w:top w:val="none" w:sz="0" w:space="0" w:color="auto"/>
        <w:left w:val="none" w:sz="0" w:space="0" w:color="auto"/>
        <w:bottom w:val="none" w:sz="0" w:space="0" w:color="auto"/>
        <w:right w:val="none" w:sz="0" w:space="0" w:color="auto"/>
      </w:divBdr>
    </w:div>
    <w:div w:id="273023241">
      <w:bodyDiv w:val="1"/>
      <w:marLeft w:val="0"/>
      <w:marRight w:val="0"/>
      <w:marTop w:val="0"/>
      <w:marBottom w:val="0"/>
      <w:divBdr>
        <w:top w:val="none" w:sz="0" w:space="0" w:color="auto"/>
        <w:left w:val="none" w:sz="0" w:space="0" w:color="auto"/>
        <w:bottom w:val="none" w:sz="0" w:space="0" w:color="auto"/>
        <w:right w:val="none" w:sz="0" w:space="0" w:color="auto"/>
      </w:divBdr>
    </w:div>
    <w:div w:id="407846550">
      <w:bodyDiv w:val="1"/>
      <w:marLeft w:val="0"/>
      <w:marRight w:val="0"/>
      <w:marTop w:val="0"/>
      <w:marBottom w:val="0"/>
      <w:divBdr>
        <w:top w:val="none" w:sz="0" w:space="0" w:color="auto"/>
        <w:left w:val="none" w:sz="0" w:space="0" w:color="auto"/>
        <w:bottom w:val="none" w:sz="0" w:space="0" w:color="auto"/>
        <w:right w:val="none" w:sz="0" w:space="0" w:color="auto"/>
      </w:divBdr>
    </w:div>
    <w:div w:id="438184220">
      <w:bodyDiv w:val="1"/>
      <w:marLeft w:val="0"/>
      <w:marRight w:val="0"/>
      <w:marTop w:val="0"/>
      <w:marBottom w:val="0"/>
      <w:divBdr>
        <w:top w:val="none" w:sz="0" w:space="0" w:color="auto"/>
        <w:left w:val="none" w:sz="0" w:space="0" w:color="auto"/>
        <w:bottom w:val="none" w:sz="0" w:space="0" w:color="auto"/>
        <w:right w:val="none" w:sz="0" w:space="0" w:color="auto"/>
      </w:divBdr>
    </w:div>
    <w:div w:id="487480979">
      <w:bodyDiv w:val="1"/>
      <w:marLeft w:val="0"/>
      <w:marRight w:val="0"/>
      <w:marTop w:val="0"/>
      <w:marBottom w:val="0"/>
      <w:divBdr>
        <w:top w:val="none" w:sz="0" w:space="0" w:color="auto"/>
        <w:left w:val="none" w:sz="0" w:space="0" w:color="auto"/>
        <w:bottom w:val="none" w:sz="0" w:space="0" w:color="auto"/>
        <w:right w:val="none" w:sz="0" w:space="0" w:color="auto"/>
      </w:divBdr>
    </w:div>
    <w:div w:id="640964829">
      <w:bodyDiv w:val="1"/>
      <w:marLeft w:val="0"/>
      <w:marRight w:val="0"/>
      <w:marTop w:val="0"/>
      <w:marBottom w:val="0"/>
      <w:divBdr>
        <w:top w:val="none" w:sz="0" w:space="0" w:color="auto"/>
        <w:left w:val="none" w:sz="0" w:space="0" w:color="auto"/>
        <w:bottom w:val="none" w:sz="0" w:space="0" w:color="auto"/>
        <w:right w:val="none" w:sz="0" w:space="0" w:color="auto"/>
      </w:divBdr>
    </w:div>
    <w:div w:id="647520407">
      <w:bodyDiv w:val="1"/>
      <w:marLeft w:val="0"/>
      <w:marRight w:val="0"/>
      <w:marTop w:val="0"/>
      <w:marBottom w:val="0"/>
      <w:divBdr>
        <w:top w:val="none" w:sz="0" w:space="0" w:color="auto"/>
        <w:left w:val="none" w:sz="0" w:space="0" w:color="auto"/>
        <w:bottom w:val="none" w:sz="0" w:space="0" w:color="auto"/>
        <w:right w:val="none" w:sz="0" w:space="0" w:color="auto"/>
      </w:divBdr>
    </w:div>
    <w:div w:id="652685605">
      <w:bodyDiv w:val="1"/>
      <w:marLeft w:val="0"/>
      <w:marRight w:val="0"/>
      <w:marTop w:val="0"/>
      <w:marBottom w:val="0"/>
      <w:divBdr>
        <w:top w:val="none" w:sz="0" w:space="0" w:color="auto"/>
        <w:left w:val="none" w:sz="0" w:space="0" w:color="auto"/>
        <w:bottom w:val="none" w:sz="0" w:space="0" w:color="auto"/>
        <w:right w:val="none" w:sz="0" w:space="0" w:color="auto"/>
      </w:divBdr>
    </w:div>
    <w:div w:id="659506985">
      <w:bodyDiv w:val="1"/>
      <w:marLeft w:val="0"/>
      <w:marRight w:val="0"/>
      <w:marTop w:val="0"/>
      <w:marBottom w:val="0"/>
      <w:divBdr>
        <w:top w:val="none" w:sz="0" w:space="0" w:color="auto"/>
        <w:left w:val="none" w:sz="0" w:space="0" w:color="auto"/>
        <w:bottom w:val="none" w:sz="0" w:space="0" w:color="auto"/>
        <w:right w:val="none" w:sz="0" w:space="0" w:color="auto"/>
      </w:divBdr>
    </w:div>
    <w:div w:id="680818233">
      <w:bodyDiv w:val="1"/>
      <w:marLeft w:val="0"/>
      <w:marRight w:val="0"/>
      <w:marTop w:val="0"/>
      <w:marBottom w:val="0"/>
      <w:divBdr>
        <w:top w:val="none" w:sz="0" w:space="0" w:color="auto"/>
        <w:left w:val="none" w:sz="0" w:space="0" w:color="auto"/>
        <w:bottom w:val="none" w:sz="0" w:space="0" w:color="auto"/>
        <w:right w:val="none" w:sz="0" w:space="0" w:color="auto"/>
      </w:divBdr>
    </w:div>
    <w:div w:id="781656427">
      <w:bodyDiv w:val="1"/>
      <w:marLeft w:val="0"/>
      <w:marRight w:val="0"/>
      <w:marTop w:val="0"/>
      <w:marBottom w:val="0"/>
      <w:divBdr>
        <w:top w:val="none" w:sz="0" w:space="0" w:color="auto"/>
        <w:left w:val="none" w:sz="0" w:space="0" w:color="auto"/>
        <w:bottom w:val="none" w:sz="0" w:space="0" w:color="auto"/>
        <w:right w:val="none" w:sz="0" w:space="0" w:color="auto"/>
      </w:divBdr>
    </w:div>
    <w:div w:id="813106746">
      <w:bodyDiv w:val="1"/>
      <w:marLeft w:val="0"/>
      <w:marRight w:val="0"/>
      <w:marTop w:val="0"/>
      <w:marBottom w:val="0"/>
      <w:divBdr>
        <w:top w:val="none" w:sz="0" w:space="0" w:color="auto"/>
        <w:left w:val="none" w:sz="0" w:space="0" w:color="auto"/>
        <w:bottom w:val="none" w:sz="0" w:space="0" w:color="auto"/>
        <w:right w:val="none" w:sz="0" w:space="0" w:color="auto"/>
      </w:divBdr>
    </w:div>
    <w:div w:id="970742613">
      <w:bodyDiv w:val="1"/>
      <w:marLeft w:val="0"/>
      <w:marRight w:val="0"/>
      <w:marTop w:val="0"/>
      <w:marBottom w:val="0"/>
      <w:divBdr>
        <w:top w:val="none" w:sz="0" w:space="0" w:color="auto"/>
        <w:left w:val="none" w:sz="0" w:space="0" w:color="auto"/>
        <w:bottom w:val="none" w:sz="0" w:space="0" w:color="auto"/>
        <w:right w:val="none" w:sz="0" w:space="0" w:color="auto"/>
      </w:divBdr>
    </w:div>
    <w:div w:id="998579649">
      <w:bodyDiv w:val="1"/>
      <w:marLeft w:val="0"/>
      <w:marRight w:val="0"/>
      <w:marTop w:val="0"/>
      <w:marBottom w:val="0"/>
      <w:divBdr>
        <w:top w:val="none" w:sz="0" w:space="0" w:color="auto"/>
        <w:left w:val="none" w:sz="0" w:space="0" w:color="auto"/>
        <w:bottom w:val="none" w:sz="0" w:space="0" w:color="auto"/>
        <w:right w:val="none" w:sz="0" w:space="0" w:color="auto"/>
      </w:divBdr>
    </w:div>
    <w:div w:id="1018699530">
      <w:bodyDiv w:val="1"/>
      <w:marLeft w:val="0"/>
      <w:marRight w:val="0"/>
      <w:marTop w:val="0"/>
      <w:marBottom w:val="0"/>
      <w:divBdr>
        <w:top w:val="none" w:sz="0" w:space="0" w:color="auto"/>
        <w:left w:val="none" w:sz="0" w:space="0" w:color="auto"/>
        <w:bottom w:val="none" w:sz="0" w:space="0" w:color="auto"/>
        <w:right w:val="none" w:sz="0" w:space="0" w:color="auto"/>
      </w:divBdr>
      <w:divsChild>
        <w:div w:id="1012803219">
          <w:marLeft w:val="0"/>
          <w:marRight w:val="0"/>
          <w:marTop w:val="0"/>
          <w:marBottom w:val="0"/>
          <w:divBdr>
            <w:top w:val="none" w:sz="0" w:space="0" w:color="auto"/>
            <w:left w:val="none" w:sz="0" w:space="0" w:color="auto"/>
            <w:bottom w:val="none" w:sz="0" w:space="0" w:color="auto"/>
            <w:right w:val="none" w:sz="0" w:space="0" w:color="auto"/>
          </w:divBdr>
          <w:divsChild>
            <w:div w:id="1285891219">
              <w:marLeft w:val="0"/>
              <w:marRight w:val="0"/>
              <w:marTop w:val="0"/>
              <w:marBottom w:val="0"/>
              <w:divBdr>
                <w:top w:val="none" w:sz="0" w:space="0" w:color="auto"/>
                <w:left w:val="none" w:sz="0" w:space="0" w:color="auto"/>
                <w:bottom w:val="none" w:sz="0" w:space="0" w:color="auto"/>
                <w:right w:val="none" w:sz="0" w:space="0" w:color="auto"/>
              </w:divBdr>
            </w:div>
          </w:divsChild>
        </w:div>
        <w:div w:id="1770662423">
          <w:marLeft w:val="0"/>
          <w:marRight w:val="0"/>
          <w:marTop w:val="0"/>
          <w:marBottom w:val="0"/>
          <w:divBdr>
            <w:top w:val="none" w:sz="0" w:space="0" w:color="auto"/>
            <w:left w:val="none" w:sz="0" w:space="0" w:color="auto"/>
            <w:bottom w:val="none" w:sz="0" w:space="0" w:color="auto"/>
            <w:right w:val="none" w:sz="0" w:space="0" w:color="auto"/>
          </w:divBdr>
        </w:div>
        <w:div w:id="952135227">
          <w:marLeft w:val="0"/>
          <w:marRight w:val="0"/>
          <w:marTop w:val="0"/>
          <w:marBottom w:val="0"/>
          <w:divBdr>
            <w:top w:val="none" w:sz="0" w:space="0" w:color="auto"/>
            <w:left w:val="none" w:sz="0" w:space="0" w:color="auto"/>
            <w:bottom w:val="none" w:sz="0" w:space="0" w:color="auto"/>
            <w:right w:val="none" w:sz="0" w:space="0" w:color="auto"/>
          </w:divBdr>
        </w:div>
        <w:div w:id="76442664">
          <w:marLeft w:val="0"/>
          <w:marRight w:val="0"/>
          <w:marTop w:val="0"/>
          <w:marBottom w:val="0"/>
          <w:divBdr>
            <w:top w:val="none" w:sz="0" w:space="0" w:color="auto"/>
            <w:left w:val="none" w:sz="0" w:space="0" w:color="auto"/>
            <w:bottom w:val="none" w:sz="0" w:space="0" w:color="auto"/>
            <w:right w:val="none" w:sz="0" w:space="0" w:color="auto"/>
          </w:divBdr>
        </w:div>
        <w:div w:id="1527594421">
          <w:marLeft w:val="0"/>
          <w:marRight w:val="0"/>
          <w:marTop w:val="0"/>
          <w:marBottom w:val="0"/>
          <w:divBdr>
            <w:top w:val="none" w:sz="0" w:space="0" w:color="auto"/>
            <w:left w:val="none" w:sz="0" w:space="0" w:color="auto"/>
            <w:bottom w:val="none" w:sz="0" w:space="0" w:color="auto"/>
            <w:right w:val="none" w:sz="0" w:space="0" w:color="auto"/>
          </w:divBdr>
        </w:div>
        <w:div w:id="1908150905">
          <w:marLeft w:val="0"/>
          <w:marRight w:val="0"/>
          <w:marTop w:val="0"/>
          <w:marBottom w:val="0"/>
          <w:divBdr>
            <w:top w:val="none" w:sz="0" w:space="0" w:color="auto"/>
            <w:left w:val="none" w:sz="0" w:space="0" w:color="auto"/>
            <w:bottom w:val="none" w:sz="0" w:space="0" w:color="auto"/>
            <w:right w:val="none" w:sz="0" w:space="0" w:color="auto"/>
          </w:divBdr>
        </w:div>
        <w:div w:id="1219249491">
          <w:marLeft w:val="0"/>
          <w:marRight w:val="0"/>
          <w:marTop w:val="0"/>
          <w:marBottom w:val="0"/>
          <w:divBdr>
            <w:top w:val="none" w:sz="0" w:space="0" w:color="auto"/>
            <w:left w:val="none" w:sz="0" w:space="0" w:color="auto"/>
            <w:bottom w:val="none" w:sz="0" w:space="0" w:color="auto"/>
            <w:right w:val="none" w:sz="0" w:space="0" w:color="auto"/>
          </w:divBdr>
        </w:div>
        <w:div w:id="729814827">
          <w:marLeft w:val="0"/>
          <w:marRight w:val="0"/>
          <w:marTop w:val="0"/>
          <w:marBottom w:val="0"/>
          <w:divBdr>
            <w:top w:val="none" w:sz="0" w:space="0" w:color="auto"/>
            <w:left w:val="none" w:sz="0" w:space="0" w:color="auto"/>
            <w:bottom w:val="none" w:sz="0" w:space="0" w:color="auto"/>
            <w:right w:val="none" w:sz="0" w:space="0" w:color="auto"/>
          </w:divBdr>
        </w:div>
        <w:div w:id="1750736936">
          <w:marLeft w:val="0"/>
          <w:marRight w:val="0"/>
          <w:marTop w:val="0"/>
          <w:marBottom w:val="0"/>
          <w:divBdr>
            <w:top w:val="none" w:sz="0" w:space="0" w:color="auto"/>
            <w:left w:val="none" w:sz="0" w:space="0" w:color="auto"/>
            <w:bottom w:val="none" w:sz="0" w:space="0" w:color="auto"/>
            <w:right w:val="none" w:sz="0" w:space="0" w:color="auto"/>
          </w:divBdr>
        </w:div>
        <w:div w:id="735518467">
          <w:marLeft w:val="0"/>
          <w:marRight w:val="0"/>
          <w:marTop w:val="0"/>
          <w:marBottom w:val="0"/>
          <w:divBdr>
            <w:top w:val="none" w:sz="0" w:space="0" w:color="auto"/>
            <w:left w:val="none" w:sz="0" w:space="0" w:color="auto"/>
            <w:bottom w:val="none" w:sz="0" w:space="0" w:color="auto"/>
            <w:right w:val="none" w:sz="0" w:space="0" w:color="auto"/>
          </w:divBdr>
        </w:div>
        <w:div w:id="1133642449">
          <w:marLeft w:val="0"/>
          <w:marRight w:val="0"/>
          <w:marTop w:val="0"/>
          <w:marBottom w:val="0"/>
          <w:divBdr>
            <w:top w:val="none" w:sz="0" w:space="0" w:color="auto"/>
            <w:left w:val="none" w:sz="0" w:space="0" w:color="auto"/>
            <w:bottom w:val="none" w:sz="0" w:space="0" w:color="auto"/>
            <w:right w:val="none" w:sz="0" w:space="0" w:color="auto"/>
          </w:divBdr>
        </w:div>
        <w:div w:id="218445853">
          <w:marLeft w:val="0"/>
          <w:marRight w:val="0"/>
          <w:marTop w:val="0"/>
          <w:marBottom w:val="0"/>
          <w:divBdr>
            <w:top w:val="none" w:sz="0" w:space="0" w:color="auto"/>
            <w:left w:val="none" w:sz="0" w:space="0" w:color="auto"/>
            <w:bottom w:val="none" w:sz="0" w:space="0" w:color="auto"/>
            <w:right w:val="none" w:sz="0" w:space="0" w:color="auto"/>
          </w:divBdr>
        </w:div>
        <w:div w:id="1088575434">
          <w:marLeft w:val="0"/>
          <w:marRight w:val="0"/>
          <w:marTop w:val="0"/>
          <w:marBottom w:val="0"/>
          <w:divBdr>
            <w:top w:val="none" w:sz="0" w:space="0" w:color="auto"/>
            <w:left w:val="none" w:sz="0" w:space="0" w:color="auto"/>
            <w:bottom w:val="none" w:sz="0" w:space="0" w:color="auto"/>
            <w:right w:val="none" w:sz="0" w:space="0" w:color="auto"/>
          </w:divBdr>
        </w:div>
        <w:div w:id="2056151439">
          <w:marLeft w:val="0"/>
          <w:marRight w:val="0"/>
          <w:marTop w:val="0"/>
          <w:marBottom w:val="0"/>
          <w:divBdr>
            <w:top w:val="none" w:sz="0" w:space="0" w:color="auto"/>
            <w:left w:val="none" w:sz="0" w:space="0" w:color="auto"/>
            <w:bottom w:val="none" w:sz="0" w:space="0" w:color="auto"/>
            <w:right w:val="none" w:sz="0" w:space="0" w:color="auto"/>
          </w:divBdr>
        </w:div>
        <w:div w:id="1216696370">
          <w:marLeft w:val="0"/>
          <w:marRight w:val="0"/>
          <w:marTop w:val="0"/>
          <w:marBottom w:val="0"/>
          <w:divBdr>
            <w:top w:val="none" w:sz="0" w:space="0" w:color="auto"/>
            <w:left w:val="none" w:sz="0" w:space="0" w:color="auto"/>
            <w:bottom w:val="none" w:sz="0" w:space="0" w:color="auto"/>
            <w:right w:val="none" w:sz="0" w:space="0" w:color="auto"/>
          </w:divBdr>
        </w:div>
        <w:div w:id="504131913">
          <w:marLeft w:val="0"/>
          <w:marRight w:val="0"/>
          <w:marTop w:val="0"/>
          <w:marBottom w:val="0"/>
          <w:divBdr>
            <w:top w:val="none" w:sz="0" w:space="0" w:color="auto"/>
            <w:left w:val="none" w:sz="0" w:space="0" w:color="auto"/>
            <w:bottom w:val="none" w:sz="0" w:space="0" w:color="auto"/>
            <w:right w:val="none" w:sz="0" w:space="0" w:color="auto"/>
          </w:divBdr>
        </w:div>
        <w:div w:id="489061341">
          <w:marLeft w:val="0"/>
          <w:marRight w:val="0"/>
          <w:marTop w:val="0"/>
          <w:marBottom w:val="0"/>
          <w:divBdr>
            <w:top w:val="none" w:sz="0" w:space="0" w:color="auto"/>
            <w:left w:val="none" w:sz="0" w:space="0" w:color="auto"/>
            <w:bottom w:val="none" w:sz="0" w:space="0" w:color="auto"/>
            <w:right w:val="none" w:sz="0" w:space="0" w:color="auto"/>
          </w:divBdr>
        </w:div>
        <w:div w:id="1934892132">
          <w:marLeft w:val="0"/>
          <w:marRight w:val="0"/>
          <w:marTop w:val="0"/>
          <w:marBottom w:val="0"/>
          <w:divBdr>
            <w:top w:val="none" w:sz="0" w:space="0" w:color="auto"/>
            <w:left w:val="none" w:sz="0" w:space="0" w:color="auto"/>
            <w:bottom w:val="none" w:sz="0" w:space="0" w:color="auto"/>
            <w:right w:val="none" w:sz="0" w:space="0" w:color="auto"/>
          </w:divBdr>
        </w:div>
        <w:div w:id="760567645">
          <w:marLeft w:val="0"/>
          <w:marRight w:val="0"/>
          <w:marTop w:val="0"/>
          <w:marBottom w:val="0"/>
          <w:divBdr>
            <w:top w:val="none" w:sz="0" w:space="0" w:color="auto"/>
            <w:left w:val="none" w:sz="0" w:space="0" w:color="auto"/>
            <w:bottom w:val="none" w:sz="0" w:space="0" w:color="auto"/>
            <w:right w:val="none" w:sz="0" w:space="0" w:color="auto"/>
          </w:divBdr>
        </w:div>
        <w:div w:id="893001584">
          <w:marLeft w:val="0"/>
          <w:marRight w:val="0"/>
          <w:marTop w:val="0"/>
          <w:marBottom w:val="0"/>
          <w:divBdr>
            <w:top w:val="none" w:sz="0" w:space="0" w:color="auto"/>
            <w:left w:val="none" w:sz="0" w:space="0" w:color="auto"/>
            <w:bottom w:val="none" w:sz="0" w:space="0" w:color="auto"/>
            <w:right w:val="none" w:sz="0" w:space="0" w:color="auto"/>
          </w:divBdr>
        </w:div>
        <w:div w:id="725372573">
          <w:marLeft w:val="0"/>
          <w:marRight w:val="0"/>
          <w:marTop w:val="0"/>
          <w:marBottom w:val="0"/>
          <w:divBdr>
            <w:top w:val="none" w:sz="0" w:space="0" w:color="auto"/>
            <w:left w:val="none" w:sz="0" w:space="0" w:color="auto"/>
            <w:bottom w:val="none" w:sz="0" w:space="0" w:color="auto"/>
            <w:right w:val="none" w:sz="0" w:space="0" w:color="auto"/>
          </w:divBdr>
        </w:div>
        <w:div w:id="168375845">
          <w:marLeft w:val="0"/>
          <w:marRight w:val="0"/>
          <w:marTop w:val="0"/>
          <w:marBottom w:val="0"/>
          <w:divBdr>
            <w:top w:val="none" w:sz="0" w:space="0" w:color="auto"/>
            <w:left w:val="none" w:sz="0" w:space="0" w:color="auto"/>
            <w:bottom w:val="none" w:sz="0" w:space="0" w:color="auto"/>
            <w:right w:val="none" w:sz="0" w:space="0" w:color="auto"/>
          </w:divBdr>
        </w:div>
        <w:div w:id="816144314">
          <w:marLeft w:val="0"/>
          <w:marRight w:val="0"/>
          <w:marTop w:val="0"/>
          <w:marBottom w:val="0"/>
          <w:divBdr>
            <w:top w:val="none" w:sz="0" w:space="0" w:color="auto"/>
            <w:left w:val="none" w:sz="0" w:space="0" w:color="auto"/>
            <w:bottom w:val="none" w:sz="0" w:space="0" w:color="auto"/>
            <w:right w:val="none" w:sz="0" w:space="0" w:color="auto"/>
          </w:divBdr>
        </w:div>
        <w:div w:id="83840290">
          <w:marLeft w:val="0"/>
          <w:marRight w:val="0"/>
          <w:marTop w:val="0"/>
          <w:marBottom w:val="0"/>
          <w:divBdr>
            <w:top w:val="none" w:sz="0" w:space="0" w:color="auto"/>
            <w:left w:val="none" w:sz="0" w:space="0" w:color="auto"/>
            <w:bottom w:val="none" w:sz="0" w:space="0" w:color="auto"/>
            <w:right w:val="none" w:sz="0" w:space="0" w:color="auto"/>
          </w:divBdr>
        </w:div>
        <w:div w:id="969358043">
          <w:marLeft w:val="0"/>
          <w:marRight w:val="0"/>
          <w:marTop w:val="0"/>
          <w:marBottom w:val="0"/>
          <w:divBdr>
            <w:top w:val="none" w:sz="0" w:space="0" w:color="auto"/>
            <w:left w:val="none" w:sz="0" w:space="0" w:color="auto"/>
            <w:bottom w:val="none" w:sz="0" w:space="0" w:color="auto"/>
            <w:right w:val="none" w:sz="0" w:space="0" w:color="auto"/>
          </w:divBdr>
        </w:div>
        <w:div w:id="106704884">
          <w:marLeft w:val="0"/>
          <w:marRight w:val="0"/>
          <w:marTop w:val="0"/>
          <w:marBottom w:val="0"/>
          <w:divBdr>
            <w:top w:val="none" w:sz="0" w:space="0" w:color="auto"/>
            <w:left w:val="none" w:sz="0" w:space="0" w:color="auto"/>
            <w:bottom w:val="none" w:sz="0" w:space="0" w:color="auto"/>
            <w:right w:val="none" w:sz="0" w:space="0" w:color="auto"/>
          </w:divBdr>
        </w:div>
        <w:div w:id="1155877705">
          <w:marLeft w:val="0"/>
          <w:marRight w:val="0"/>
          <w:marTop w:val="0"/>
          <w:marBottom w:val="0"/>
          <w:divBdr>
            <w:top w:val="none" w:sz="0" w:space="0" w:color="auto"/>
            <w:left w:val="none" w:sz="0" w:space="0" w:color="auto"/>
            <w:bottom w:val="none" w:sz="0" w:space="0" w:color="auto"/>
            <w:right w:val="none" w:sz="0" w:space="0" w:color="auto"/>
          </w:divBdr>
        </w:div>
        <w:div w:id="1119642080">
          <w:marLeft w:val="0"/>
          <w:marRight w:val="0"/>
          <w:marTop w:val="0"/>
          <w:marBottom w:val="0"/>
          <w:divBdr>
            <w:top w:val="none" w:sz="0" w:space="0" w:color="auto"/>
            <w:left w:val="none" w:sz="0" w:space="0" w:color="auto"/>
            <w:bottom w:val="none" w:sz="0" w:space="0" w:color="auto"/>
            <w:right w:val="none" w:sz="0" w:space="0" w:color="auto"/>
          </w:divBdr>
        </w:div>
        <w:div w:id="1927031557">
          <w:marLeft w:val="0"/>
          <w:marRight w:val="0"/>
          <w:marTop w:val="0"/>
          <w:marBottom w:val="0"/>
          <w:divBdr>
            <w:top w:val="none" w:sz="0" w:space="0" w:color="auto"/>
            <w:left w:val="none" w:sz="0" w:space="0" w:color="auto"/>
            <w:bottom w:val="none" w:sz="0" w:space="0" w:color="auto"/>
            <w:right w:val="none" w:sz="0" w:space="0" w:color="auto"/>
          </w:divBdr>
        </w:div>
        <w:div w:id="1891721717">
          <w:marLeft w:val="0"/>
          <w:marRight w:val="0"/>
          <w:marTop w:val="0"/>
          <w:marBottom w:val="0"/>
          <w:divBdr>
            <w:top w:val="none" w:sz="0" w:space="0" w:color="auto"/>
            <w:left w:val="none" w:sz="0" w:space="0" w:color="auto"/>
            <w:bottom w:val="none" w:sz="0" w:space="0" w:color="auto"/>
            <w:right w:val="none" w:sz="0" w:space="0" w:color="auto"/>
          </w:divBdr>
        </w:div>
        <w:div w:id="532235690">
          <w:marLeft w:val="0"/>
          <w:marRight w:val="0"/>
          <w:marTop w:val="0"/>
          <w:marBottom w:val="0"/>
          <w:divBdr>
            <w:top w:val="none" w:sz="0" w:space="0" w:color="auto"/>
            <w:left w:val="none" w:sz="0" w:space="0" w:color="auto"/>
            <w:bottom w:val="none" w:sz="0" w:space="0" w:color="auto"/>
            <w:right w:val="none" w:sz="0" w:space="0" w:color="auto"/>
          </w:divBdr>
        </w:div>
        <w:div w:id="764956896">
          <w:marLeft w:val="0"/>
          <w:marRight w:val="0"/>
          <w:marTop w:val="0"/>
          <w:marBottom w:val="0"/>
          <w:divBdr>
            <w:top w:val="none" w:sz="0" w:space="0" w:color="auto"/>
            <w:left w:val="none" w:sz="0" w:space="0" w:color="auto"/>
            <w:bottom w:val="none" w:sz="0" w:space="0" w:color="auto"/>
            <w:right w:val="none" w:sz="0" w:space="0" w:color="auto"/>
          </w:divBdr>
        </w:div>
        <w:div w:id="1002243214">
          <w:marLeft w:val="0"/>
          <w:marRight w:val="0"/>
          <w:marTop w:val="0"/>
          <w:marBottom w:val="0"/>
          <w:divBdr>
            <w:top w:val="none" w:sz="0" w:space="0" w:color="auto"/>
            <w:left w:val="none" w:sz="0" w:space="0" w:color="auto"/>
            <w:bottom w:val="none" w:sz="0" w:space="0" w:color="auto"/>
            <w:right w:val="none" w:sz="0" w:space="0" w:color="auto"/>
          </w:divBdr>
        </w:div>
        <w:div w:id="1193149189">
          <w:marLeft w:val="0"/>
          <w:marRight w:val="0"/>
          <w:marTop w:val="0"/>
          <w:marBottom w:val="0"/>
          <w:divBdr>
            <w:top w:val="none" w:sz="0" w:space="0" w:color="auto"/>
            <w:left w:val="none" w:sz="0" w:space="0" w:color="auto"/>
            <w:bottom w:val="none" w:sz="0" w:space="0" w:color="auto"/>
            <w:right w:val="none" w:sz="0" w:space="0" w:color="auto"/>
          </w:divBdr>
        </w:div>
        <w:div w:id="1517383452">
          <w:marLeft w:val="0"/>
          <w:marRight w:val="0"/>
          <w:marTop w:val="0"/>
          <w:marBottom w:val="0"/>
          <w:divBdr>
            <w:top w:val="none" w:sz="0" w:space="0" w:color="auto"/>
            <w:left w:val="none" w:sz="0" w:space="0" w:color="auto"/>
            <w:bottom w:val="none" w:sz="0" w:space="0" w:color="auto"/>
            <w:right w:val="none" w:sz="0" w:space="0" w:color="auto"/>
          </w:divBdr>
        </w:div>
        <w:div w:id="934361130">
          <w:marLeft w:val="0"/>
          <w:marRight w:val="0"/>
          <w:marTop w:val="0"/>
          <w:marBottom w:val="0"/>
          <w:divBdr>
            <w:top w:val="none" w:sz="0" w:space="0" w:color="auto"/>
            <w:left w:val="none" w:sz="0" w:space="0" w:color="auto"/>
            <w:bottom w:val="none" w:sz="0" w:space="0" w:color="auto"/>
            <w:right w:val="none" w:sz="0" w:space="0" w:color="auto"/>
          </w:divBdr>
        </w:div>
        <w:div w:id="695733616">
          <w:marLeft w:val="0"/>
          <w:marRight w:val="0"/>
          <w:marTop w:val="0"/>
          <w:marBottom w:val="0"/>
          <w:divBdr>
            <w:top w:val="none" w:sz="0" w:space="0" w:color="auto"/>
            <w:left w:val="none" w:sz="0" w:space="0" w:color="auto"/>
            <w:bottom w:val="none" w:sz="0" w:space="0" w:color="auto"/>
            <w:right w:val="none" w:sz="0" w:space="0" w:color="auto"/>
          </w:divBdr>
        </w:div>
        <w:div w:id="239104697">
          <w:marLeft w:val="0"/>
          <w:marRight w:val="0"/>
          <w:marTop w:val="0"/>
          <w:marBottom w:val="0"/>
          <w:divBdr>
            <w:top w:val="none" w:sz="0" w:space="0" w:color="auto"/>
            <w:left w:val="none" w:sz="0" w:space="0" w:color="auto"/>
            <w:bottom w:val="none" w:sz="0" w:space="0" w:color="auto"/>
            <w:right w:val="none" w:sz="0" w:space="0" w:color="auto"/>
          </w:divBdr>
        </w:div>
        <w:div w:id="1556625043">
          <w:marLeft w:val="0"/>
          <w:marRight w:val="0"/>
          <w:marTop w:val="0"/>
          <w:marBottom w:val="0"/>
          <w:divBdr>
            <w:top w:val="none" w:sz="0" w:space="0" w:color="auto"/>
            <w:left w:val="none" w:sz="0" w:space="0" w:color="auto"/>
            <w:bottom w:val="none" w:sz="0" w:space="0" w:color="auto"/>
            <w:right w:val="none" w:sz="0" w:space="0" w:color="auto"/>
          </w:divBdr>
        </w:div>
        <w:div w:id="1301761903">
          <w:marLeft w:val="0"/>
          <w:marRight w:val="0"/>
          <w:marTop w:val="0"/>
          <w:marBottom w:val="0"/>
          <w:divBdr>
            <w:top w:val="none" w:sz="0" w:space="0" w:color="auto"/>
            <w:left w:val="none" w:sz="0" w:space="0" w:color="auto"/>
            <w:bottom w:val="none" w:sz="0" w:space="0" w:color="auto"/>
            <w:right w:val="none" w:sz="0" w:space="0" w:color="auto"/>
          </w:divBdr>
        </w:div>
        <w:div w:id="73860916">
          <w:marLeft w:val="0"/>
          <w:marRight w:val="0"/>
          <w:marTop w:val="0"/>
          <w:marBottom w:val="0"/>
          <w:divBdr>
            <w:top w:val="none" w:sz="0" w:space="0" w:color="auto"/>
            <w:left w:val="none" w:sz="0" w:space="0" w:color="auto"/>
            <w:bottom w:val="none" w:sz="0" w:space="0" w:color="auto"/>
            <w:right w:val="none" w:sz="0" w:space="0" w:color="auto"/>
          </w:divBdr>
        </w:div>
        <w:div w:id="1519612645">
          <w:marLeft w:val="0"/>
          <w:marRight w:val="0"/>
          <w:marTop w:val="0"/>
          <w:marBottom w:val="0"/>
          <w:divBdr>
            <w:top w:val="none" w:sz="0" w:space="0" w:color="auto"/>
            <w:left w:val="none" w:sz="0" w:space="0" w:color="auto"/>
            <w:bottom w:val="none" w:sz="0" w:space="0" w:color="auto"/>
            <w:right w:val="none" w:sz="0" w:space="0" w:color="auto"/>
          </w:divBdr>
        </w:div>
        <w:div w:id="1715501144">
          <w:marLeft w:val="0"/>
          <w:marRight w:val="0"/>
          <w:marTop w:val="0"/>
          <w:marBottom w:val="0"/>
          <w:divBdr>
            <w:top w:val="none" w:sz="0" w:space="0" w:color="auto"/>
            <w:left w:val="none" w:sz="0" w:space="0" w:color="auto"/>
            <w:bottom w:val="none" w:sz="0" w:space="0" w:color="auto"/>
            <w:right w:val="none" w:sz="0" w:space="0" w:color="auto"/>
          </w:divBdr>
        </w:div>
        <w:div w:id="52850648">
          <w:marLeft w:val="0"/>
          <w:marRight w:val="0"/>
          <w:marTop w:val="0"/>
          <w:marBottom w:val="0"/>
          <w:divBdr>
            <w:top w:val="none" w:sz="0" w:space="0" w:color="auto"/>
            <w:left w:val="none" w:sz="0" w:space="0" w:color="auto"/>
            <w:bottom w:val="none" w:sz="0" w:space="0" w:color="auto"/>
            <w:right w:val="none" w:sz="0" w:space="0" w:color="auto"/>
          </w:divBdr>
        </w:div>
        <w:div w:id="1533152766">
          <w:marLeft w:val="0"/>
          <w:marRight w:val="0"/>
          <w:marTop w:val="0"/>
          <w:marBottom w:val="0"/>
          <w:divBdr>
            <w:top w:val="none" w:sz="0" w:space="0" w:color="auto"/>
            <w:left w:val="none" w:sz="0" w:space="0" w:color="auto"/>
            <w:bottom w:val="none" w:sz="0" w:space="0" w:color="auto"/>
            <w:right w:val="none" w:sz="0" w:space="0" w:color="auto"/>
          </w:divBdr>
        </w:div>
        <w:div w:id="1722366874">
          <w:marLeft w:val="0"/>
          <w:marRight w:val="0"/>
          <w:marTop w:val="0"/>
          <w:marBottom w:val="0"/>
          <w:divBdr>
            <w:top w:val="none" w:sz="0" w:space="0" w:color="auto"/>
            <w:left w:val="none" w:sz="0" w:space="0" w:color="auto"/>
            <w:bottom w:val="none" w:sz="0" w:space="0" w:color="auto"/>
            <w:right w:val="none" w:sz="0" w:space="0" w:color="auto"/>
          </w:divBdr>
        </w:div>
        <w:div w:id="503983982">
          <w:marLeft w:val="0"/>
          <w:marRight w:val="0"/>
          <w:marTop w:val="0"/>
          <w:marBottom w:val="0"/>
          <w:divBdr>
            <w:top w:val="none" w:sz="0" w:space="0" w:color="auto"/>
            <w:left w:val="none" w:sz="0" w:space="0" w:color="auto"/>
            <w:bottom w:val="none" w:sz="0" w:space="0" w:color="auto"/>
            <w:right w:val="none" w:sz="0" w:space="0" w:color="auto"/>
          </w:divBdr>
        </w:div>
        <w:div w:id="478807991">
          <w:marLeft w:val="0"/>
          <w:marRight w:val="0"/>
          <w:marTop w:val="0"/>
          <w:marBottom w:val="0"/>
          <w:divBdr>
            <w:top w:val="none" w:sz="0" w:space="0" w:color="auto"/>
            <w:left w:val="none" w:sz="0" w:space="0" w:color="auto"/>
            <w:bottom w:val="none" w:sz="0" w:space="0" w:color="auto"/>
            <w:right w:val="none" w:sz="0" w:space="0" w:color="auto"/>
          </w:divBdr>
        </w:div>
        <w:div w:id="61216901">
          <w:marLeft w:val="0"/>
          <w:marRight w:val="0"/>
          <w:marTop w:val="0"/>
          <w:marBottom w:val="0"/>
          <w:divBdr>
            <w:top w:val="none" w:sz="0" w:space="0" w:color="auto"/>
            <w:left w:val="none" w:sz="0" w:space="0" w:color="auto"/>
            <w:bottom w:val="none" w:sz="0" w:space="0" w:color="auto"/>
            <w:right w:val="none" w:sz="0" w:space="0" w:color="auto"/>
          </w:divBdr>
        </w:div>
        <w:div w:id="1098403825">
          <w:marLeft w:val="0"/>
          <w:marRight w:val="0"/>
          <w:marTop w:val="0"/>
          <w:marBottom w:val="0"/>
          <w:divBdr>
            <w:top w:val="none" w:sz="0" w:space="0" w:color="auto"/>
            <w:left w:val="none" w:sz="0" w:space="0" w:color="auto"/>
            <w:bottom w:val="none" w:sz="0" w:space="0" w:color="auto"/>
            <w:right w:val="none" w:sz="0" w:space="0" w:color="auto"/>
          </w:divBdr>
        </w:div>
        <w:div w:id="1701512719">
          <w:marLeft w:val="0"/>
          <w:marRight w:val="0"/>
          <w:marTop w:val="0"/>
          <w:marBottom w:val="0"/>
          <w:divBdr>
            <w:top w:val="none" w:sz="0" w:space="0" w:color="auto"/>
            <w:left w:val="none" w:sz="0" w:space="0" w:color="auto"/>
            <w:bottom w:val="none" w:sz="0" w:space="0" w:color="auto"/>
            <w:right w:val="none" w:sz="0" w:space="0" w:color="auto"/>
          </w:divBdr>
        </w:div>
        <w:div w:id="2146972417">
          <w:marLeft w:val="0"/>
          <w:marRight w:val="0"/>
          <w:marTop w:val="0"/>
          <w:marBottom w:val="0"/>
          <w:divBdr>
            <w:top w:val="none" w:sz="0" w:space="0" w:color="auto"/>
            <w:left w:val="none" w:sz="0" w:space="0" w:color="auto"/>
            <w:bottom w:val="none" w:sz="0" w:space="0" w:color="auto"/>
            <w:right w:val="none" w:sz="0" w:space="0" w:color="auto"/>
          </w:divBdr>
        </w:div>
        <w:div w:id="1017734972">
          <w:marLeft w:val="0"/>
          <w:marRight w:val="0"/>
          <w:marTop w:val="0"/>
          <w:marBottom w:val="0"/>
          <w:divBdr>
            <w:top w:val="none" w:sz="0" w:space="0" w:color="auto"/>
            <w:left w:val="none" w:sz="0" w:space="0" w:color="auto"/>
            <w:bottom w:val="none" w:sz="0" w:space="0" w:color="auto"/>
            <w:right w:val="none" w:sz="0" w:space="0" w:color="auto"/>
          </w:divBdr>
        </w:div>
        <w:div w:id="462039014">
          <w:marLeft w:val="0"/>
          <w:marRight w:val="0"/>
          <w:marTop w:val="0"/>
          <w:marBottom w:val="0"/>
          <w:divBdr>
            <w:top w:val="none" w:sz="0" w:space="0" w:color="auto"/>
            <w:left w:val="none" w:sz="0" w:space="0" w:color="auto"/>
            <w:bottom w:val="none" w:sz="0" w:space="0" w:color="auto"/>
            <w:right w:val="none" w:sz="0" w:space="0" w:color="auto"/>
          </w:divBdr>
        </w:div>
        <w:div w:id="1029837583">
          <w:marLeft w:val="0"/>
          <w:marRight w:val="0"/>
          <w:marTop w:val="0"/>
          <w:marBottom w:val="0"/>
          <w:divBdr>
            <w:top w:val="none" w:sz="0" w:space="0" w:color="auto"/>
            <w:left w:val="none" w:sz="0" w:space="0" w:color="auto"/>
            <w:bottom w:val="none" w:sz="0" w:space="0" w:color="auto"/>
            <w:right w:val="none" w:sz="0" w:space="0" w:color="auto"/>
          </w:divBdr>
        </w:div>
        <w:div w:id="829638800">
          <w:marLeft w:val="0"/>
          <w:marRight w:val="0"/>
          <w:marTop w:val="0"/>
          <w:marBottom w:val="0"/>
          <w:divBdr>
            <w:top w:val="none" w:sz="0" w:space="0" w:color="auto"/>
            <w:left w:val="none" w:sz="0" w:space="0" w:color="auto"/>
            <w:bottom w:val="none" w:sz="0" w:space="0" w:color="auto"/>
            <w:right w:val="none" w:sz="0" w:space="0" w:color="auto"/>
          </w:divBdr>
        </w:div>
        <w:div w:id="1352993922">
          <w:marLeft w:val="0"/>
          <w:marRight w:val="0"/>
          <w:marTop w:val="0"/>
          <w:marBottom w:val="0"/>
          <w:divBdr>
            <w:top w:val="none" w:sz="0" w:space="0" w:color="auto"/>
            <w:left w:val="none" w:sz="0" w:space="0" w:color="auto"/>
            <w:bottom w:val="none" w:sz="0" w:space="0" w:color="auto"/>
            <w:right w:val="none" w:sz="0" w:space="0" w:color="auto"/>
          </w:divBdr>
        </w:div>
        <w:div w:id="1947422987">
          <w:marLeft w:val="0"/>
          <w:marRight w:val="0"/>
          <w:marTop w:val="0"/>
          <w:marBottom w:val="0"/>
          <w:divBdr>
            <w:top w:val="none" w:sz="0" w:space="0" w:color="auto"/>
            <w:left w:val="none" w:sz="0" w:space="0" w:color="auto"/>
            <w:bottom w:val="none" w:sz="0" w:space="0" w:color="auto"/>
            <w:right w:val="none" w:sz="0" w:space="0" w:color="auto"/>
          </w:divBdr>
        </w:div>
        <w:div w:id="989089874">
          <w:marLeft w:val="0"/>
          <w:marRight w:val="0"/>
          <w:marTop w:val="0"/>
          <w:marBottom w:val="0"/>
          <w:divBdr>
            <w:top w:val="none" w:sz="0" w:space="0" w:color="auto"/>
            <w:left w:val="none" w:sz="0" w:space="0" w:color="auto"/>
            <w:bottom w:val="none" w:sz="0" w:space="0" w:color="auto"/>
            <w:right w:val="none" w:sz="0" w:space="0" w:color="auto"/>
          </w:divBdr>
        </w:div>
        <w:div w:id="2015649242">
          <w:marLeft w:val="0"/>
          <w:marRight w:val="0"/>
          <w:marTop w:val="0"/>
          <w:marBottom w:val="0"/>
          <w:divBdr>
            <w:top w:val="none" w:sz="0" w:space="0" w:color="auto"/>
            <w:left w:val="none" w:sz="0" w:space="0" w:color="auto"/>
            <w:bottom w:val="none" w:sz="0" w:space="0" w:color="auto"/>
            <w:right w:val="none" w:sz="0" w:space="0" w:color="auto"/>
          </w:divBdr>
        </w:div>
        <w:div w:id="101338360">
          <w:marLeft w:val="0"/>
          <w:marRight w:val="0"/>
          <w:marTop w:val="0"/>
          <w:marBottom w:val="0"/>
          <w:divBdr>
            <w:top w:val="none" w:sz="0" w:space="0" w:color="auto"/>
            <w:left w:val="none" w:sz="0" w:space="0" w:color="auto"/>
            <w:bottom w:val="none" w:sz="0" w:space="0" w:color="auto"/>
            <w:right w:val="none" w:sz="0" w:space="0" w:color="auto"/>
          </w:divBdr>
        </w:div>
        <w:div w:id="1688363661">
          <w:marLeft w:val="0"/>
          <w:marRight w:val="0"/>
          <w:marTop w:val="0"/>
          <w:marBottom w:val="0"/>
          <w:divBdr>
            <w:top w:val="none" w:sz="0" w:space="0" w:color="auto"/>
            <w:left w:val="none" w:sz="0" w:space="0" w:color="auto"/>
            <w:bottom w:val="none" w:sz="0" w:space="0" w:color="auto"/>
            <w:right w:val="none" w:sz="0" w:space="0" w:color="auto"/>
          </w:divBdr>
        </w:div>
        <w:div w:id="1795056677">
          <w:marLeft w:val="0"/>
          <w:marRight w:val="0"/>
          <w:marTop w:val="0"/>
          <w:marBottom w:val="0"/>
          <w:divBdr>
            <w:top w:val="none" w:sz="0" w:space="0" w:color="auto"/>
            <w:left w:val="none" w:sz="0" w:space="0" w:color="auto"/>
            <w:bottom w:val="none" w:sz="0" w:space="0" w:color="auto"/>
            <w:right w:val="none" w:sz="0" w:space="0" w:color="auto"/>
          </w:divBdr>
        </w:div>
        <w:div w:id="208304326">
          <w:marLeft w:val="0"/>
          <w:marRight w:val="0"/>
          <w:marTop w:val="0"/>
          <w:marBottom w:val="0"/>
          <w:divBdr>
            <w:top w:val="none" w:sz="0" w:space="0" w:color="auto"/>
            <w:left w:val="none" w:sz="0" w:space="0" w:color="auto"/>
            <w:bottom w:val="none" w:sz="0" w:space="0" w:color="auto"/>
            <w:right w:val="none" w:sz="0" w:space="0" w:color="auto"/>
          </w:divBdr>
        </w:div>
        <w:div w:id="2135252052">
          <w:marLeft w:val="0"/>
          <w:marRight w:val="0"/>
          <w:marTop w:val="0"/>
          <w:marBottom w:val="0"/>
          <w:divBdr>
            <w:top w:val="none" w:sz="0" w:space="0" w:color="auto"/>
            <w:left w:val="none" w:sz="0" w:space="0" w:color="auto"/>
            <w:bottom w:val="none" w:sz="0" w:space="0" w:color="auto"/>
            <w:right w:val="none" w:sz="0" w:space="0" w:color="auto"/>
          </w:divBdr>
        </w:div>
        <w:div w:id="870604463">
          <w:marLeft w:val="0"/>
          <w:marRight w:val="0"/>
          <w:marTop w:val="0"/>
          <w:marBottom w:val="0"/>
          <w:divBdr>
            <w:top w:val="none" w:sz="0" w:space="0" w:color="auto"/>
            <w:left w:val="none" w:sz="0" w:space="0" w:color="auto"/>
            <w:bottom w:val="none" w:sz="0" w:space="0" w:color="auto"/>
            <w:right w:val="none" w:sz="0" w:space="0" w:color="auto"/>
          </w:divBdr>
        </w:div>
        <w:div w:id="2056347027">
          <w:marLeft w:val="0"/>
          <w:marRight w:val="0"/>
          <w:marTop w:val="0"/>
          <w:marBottom w:val="0"/>
          <w:divBdr>
            <w:top w:val="none" w:sz="0" w:space="0" w:color="auto"/>
            <w:left w:val="none" w:sz="0" w:space="0" w:color="auto"/>
            <w:bottom w:val="none" w:sz="0" w:space="0" w:color="auto"/>
            <w:right w:val="none" w:sz="0" w:space="0" w:color="auto"/>
          </w:divBdr>
        </w:div>
        <w:div w:id="1854297565">
          <w:marLeft w:val="0"/>
          <w:marRight w:val="0"/>
          <w:marTop w:val="0"/>
          <w:marBottom w:val="0"/>
          <w:divBdr>
            <w:top w:val="none" w:sz="0" w:space="0" w:color="auto"/>
            <w:left w:val="none" w:sz="0" w:space="0" w:color="auto"/>
            <w:bottom w:val="none" w:sz="0" w:space="0" w:color="auto"/>
            <w:right w:val="none" w:sz="0" w:space="0" w:color="auto"/>
          </w:divBdr>
        </w:div>
        <w:div w:id="644547676">
          <w:marLeft w:val="0"/>
          <w:marRight w:val="0"/>
          <w:marTop w:val="0"/>
          <w:marBottom w:val="0"/>
          <w:divBdr>
            <w:top w:val="none" w:sz="0" w:space="0" w:color="auto"/>
            <w:left w:val="none" w:sz="0" w:space="0" w:color="auto"/>
            <w:bottom w:val="none" w:sz="0" w:space="0" w:color="auto"/>
            <w:right w:val="none" w:sz="0" w:space="0" w:color="auto"/>
          </w:divBdr>
        </w:div>
        <w:div w:id="1020856810">
          <w:marLeft w:val="0"/>
          <w:marRight w:val="0"/>
          <w:marTop w:val="0"/>
          <w:marBottom w:val="0"/>
          <w:divBdr>
            <w:top w:val="none" w:sz="0" w:space="0" w:color="auto"/>
            <w:left w:val="none" w:sz="0" w:space="0" w:color="auto"/>
            <w:bottom w:val="none" w:sz="0" w:space="0" w:color="auto"/>
            <w:right w:val="none" w:sz="0" w:space="0" w:color="auto"/>
          </w:divBdr>
        </w:div>
        <w:div w:id="1414544363">
          <w:marLeft w:val="0"/>
          <w:marRight w:val="0"/>
          <w:marTop w:val="0"/>
          <w:marBottom w:val="0"/>
          <w:divBdr>
            <w:top w:val="none" w:sz="0" w:space="0" w:color="auto"/>
            <w:left w:val="none" w:sz="0" w:space="0" w:color="auto"/>
            <w:bottom w:val="none" w:sz="0" w:space="0" w:color="auto"/>
            <w:right w:val="none" w:sz="0" w:space="0" w:color="auto"/>
          </w:divBdr>
        </w:div>
        <w:div w:id="1278681856">
          <w:marLeft w:val="0"/>
          <w:marRight w:val="0"/>
          <w:marTop w:val="0"/>
          <w:marBottom w:val="0"/>
          <w:divBdr>
            <w:top w:val="none" w:sz="0" w:space="0" w:color="auto"/>
            <w:left w:val="none" w:sz="0" w:space="0" w:color="auto"/>
            <w:bottom w:val="none" w:sz="0" w:space="0" w:color="auto"/>
            <w:right w:val="none" w:sz="0" w:space="0" w:color="auto"/>
          </w:divBdr>
        </w:div>
        <w:div w:id="1292635762">
          <w:marLeft w:val="0"/>
          <w:marRight w:val="0"/>
          <w:marTop w:val="0"/>
          <w:marBottom w:val="0"/>
          <w:divBdr>
            <w:top w:val="none" w:sz="0" w:space="0" w:color="auto"/>
            <w:left w:val="none" w:sz="0" w:space="0" w:color="auto"/>
            <w:bottom w:val="none" w:sz="0" w:space="0" w:color="auto"/>
            <w:right w:val="none" w:sz="0" w:space="0" w:color="auto"/>
          </w:divBdr>
        </w:div>
        <w:div w:id="887228976">
          <w:marLeft w:val="0"/>
          <w:marRight w:val="0"/>
          <w:marTop w:val="0"/>
          <w:marBottom w:val="0"/>
          <w:divBdr>
            <w:top w:val="none" w:sz="0" w:space="0" w:color="auto"/>
            <w:left w:val="none" w:sz="0" w:space="0" w:color="auto"/>
            <w:bottom w:val="none" w:sz="0" w:space="0" w:color="auto"/>
            <w:right w:val="none" w:sz="0" w:space="0" w:color="auto"/>
          </w:divBdr>
        </w:div>
        <w:div w:id="1880429523">
          <w:marLeft w:val="0"/>
          <w:marRight w:val="0"/>
          <w:marTop w:val="0"/>
          <w:marBottom w:val="0"/>
          <w:divBdr>
            <w:top w:val="none" w:sz="0" w:space="0" w:color="auto"/>
            <w:left w:val="none" w:sz="0" w:space="0" w:color="auto"/>
            <w:bottom w:val="none" w:sz="0" w:space="0" w:color="auto"/>
            <w:right w:val="none" w:sz="0" w:space="0" w:color="auto"/>
          </w:divBdr>
        </w:div>
        <w:div w:id="114712445">
          <w:marLeft w:val="0"/>
          <w:marRight w:val="0"/>
          <w:marTop w:val="0"/>
          <w:marBottom w:val="0"/>
          <w:divBdr>
            <w:top w:val="none" w:sz="0" w:space="0" w:color="auto"/>
            <w:left w:val="none" w:sz="0" w:space="0" w:color="auto"/>
            <w:bottom w:val="none" w:sz="0" w:space="0" w:color="auto"/>
            <w:right w:val="none" w:sz="0" w:space="0" w:color="auto"/>
          </w:divBdr>
        </w:div>
        <w:div w:id="1463956613">
          <w:marLeft w:val="0"/>
          <w:marRight w:val="0"/>
          <w:marTop w:val="0"/>
          <w:marBottom w:val="0"/>
          <w:divBdr>
            <w:top w:val="none" w:sz="0" w:space="0" w:color="auto"/>
            <w:left w:val="none" w:sz="0" w:space="0" w:color="auto"/>
            <w:bottom w:val="none" w:sz="0" w:space="0" w:color="auto"/>
            <w:right w:val="none" w:sz="0" w:space="0" w:color="auto"/>
          </w:divBdr>
        </w:div>
        <w:div w:id="1598245828">
          <w:marLeft w:val="0"/>
          <w:marRight w:val="0"/>
          <w:marTop w:val="0"/>
          <w:marBottom w:val="0"/>
          <w:divBdr>
            <w:top w:val="none" w:sz="0" w:space="0" w:color="auto"/>
            <w:left w:val="none" w:sz="0" w:space="0" w:color="auto"/>
            <w:bottom w:val="none" w:sz="0" w:space="0" w:color="auto"/>
            <w:right w:val="none" w:sz="0" w:space="0" w:color="auto"/>
          </w:divBdr>
        </w:div>
      </w:divsChild>
    </w:div>
    <w:div w:id="1028527218">
      <w:bodyDiv w:val="1"/>
      <w:marLeft w:val="0"/>
      <w:marRight w:val="0"/>
      <w:marTop w:val="0"/>
      <w:marBottom w:val="0"/>
      <w:divBdr>
        <w:top w:val="none" w:sz="0" w:space="0" w:color="auto"/>
        <w:left w:val="none" w:sz="0" w:space="0" w:color="auto"/>
        <w:bottom w:val="none" w:sz="0" w:space="0" w:color="auto"/>
        <w:right w:val="none" w:sz="0" w:space="0" w:color="auto"/>
      </w:divBdr>
    </w:div>
    <w:div w:id="1039210164">
      <w:bodyDiv w:val="1"/>
      <w:marLeft w:val="0"/>
      <w:marRight w:val="0"/>
      <w:marTop w:val="0"/>
      <w:marBottom w:val="0"/>
      <w:divBdr>
        <w:top w:val="none" w:sz="0" w:space="0" w:color="auto"/>
        <w:left w:val="none" w:sz="0" w:space="0" w:color="auto"/>
        <w:bottom w:val="none" w:sz="0" w:space="0" w:color="auto"/>
        <w:right w:val="none" w:sz="0" w:space="0" w:color="auto"/>
      </w:divBdr>
    </w:div>
    <w:div w:id="1077286557">
      <w:bodyDiv w:val="1"/>
      <w:marLeft w:val="0"/>
      <w:marRight w:val="0"/>
      <w:marTop w:val="0"/>
      <w:marBottom w:val="0"/>
      <w:divBdr>
        <w:top w:val="none" w:sz="0" w:space="0" w:color="auto"/>
        <w:left w:val="none" w:sz="0" w:space="0" w:color="auto"/>
        <w:bottom w:val="none" w:sz="0" w:space="0" w:color="auto"/>
        <w:right w:val="none" w:sz="0" w:space="0" w:color="auto"/>
      </w:divBdr>
    </w:div>
    <w:div w:id="1139882403">
      <w:bodyDiv w:val="1"/>
      <w:marLeft w:val="0"/>
      <w:marRight w:val="0"/>
      <w:marTop w:val="0"/>
      <w:marBottom w:val="0"/>
      <w:divBdr>
        <w:top w:val="none" w:sz="0" w:space="0" w:color="auto"/>
        <w:left w:val="none" w:sz="0" w:space="0" w:color="auto"/>
        <w:bottom w:val="none" w:sz="0" w:space="0" w:color="auto"/>
        <w:right w:val="none" w:sz="0" w:space="0" w:color="auto"/>
      </w:divBdr>
    </w:div>
    <w:div w:id="1299610814">
      <w:bodyDiv w:val="1"/>
      <w:marLeft w:val="0"/>
      <w:marRight w:val="0"/>
      <w:marTop w:val="0"/>
      <w:marBottom w:val="0"/>
      <w:divBdr>
        <w:top w:val="none" w:sz="0" w:space="0" w:color="auto"/>
        <w:left w:val="none" w:sz="0" w:space="0" w:color="auto"/>
        <w:bottom w:val="none" w:sz="0" w:space="0" w:color="auto"/>
        <w:right w:val="none" w:sz="0" w:space="0" w:color="auto"/>
      </w:divBdr>
    </w:div>
    <w:div w:id="1302617494">
      <w:bodyDiv w:val="1"/>
      <w:marLeft w:val="0"/>
      <w:marRight w:val="0"/>
      <w:marTop w:val="0"/>
      <w:marBottom w:val="0"/>
      <w:divBdr>
        <w:top w:val="none" w:sz="0" w:space="0" w:color="auto"/>
        <w:left w:val="none" w:sz="0" w:space="0" w:color="auto"/>
        <w:bottom w:val="none" w:sz="0" w:space="0" w:color="auto"/>
        <w:right w:val="none" w:sz="0" w:space="0" w:color="auto"/>
      </w:divBdr>
    </w:div>
    <w:div w:id="1363050165">
      <w:bodyDiv w:val="1"/>
      <w:marLeft w:val="0"/>
      <w:marRight w:val="0"/>
      <w:marTop w:val="0"/>
      <w:marBottom w:val="0"/>
      <w:divBdr>
        <w:top w:val="none" w:sz="0" w:space="0" w:color="auto"/>
        <w:left w:val="none" w:sz="0" w:space="0" w:color="auto"/>
        <w:bottom w:val="none" w:sz="0" w:space="0" w:color="auto"/>
        <w:right w:val="none" w:sz="0" w:space="0" w:color="auto"/>
      </w:divBdr>
    </w:div>
    <w:div w:id="1490974662">
      <w:bodyDiv w:val="1"/>
      <w:marLeft w:val="0"/>
      <w:marRight w:val="0"/>
      <w:marTop w:val="0"/>
      <w:marBottom w:val="0"/>
      <w:divBdr>
        <w:top w:val="none" w:sz="0" w:space="0" w:color="auto"/>
        <w:left w:val="none" w:sz="0" w:space="0" w:color="auto"/>
        <w:bottom w:val="none" w:sz="0" w:space="0" w:color="auto"/>
        <w:right w:val="none" w:sz="0" w:space="0" w:color="auto"/>
      </w:divBdr>
    </w:div>
    <w:div w:id="1499927544">
      <w:bodyDiv w:val="1"/>
      <w:marLeft w:val="0"/>
      <w:marRight w:val="0"/>
      <w:marTop w:val="0"/>
      <w:marBottom w:val="0"/>
      <w:divBdr>
        <w:top w:val="none" w:sz="0" w:space="0" w:color="auto"/>
        <w:left w:val="none" w:sz="0" w:space="0" w:color="auto"/>
        <w:bottom w:val="none" w:sz="0" w:space="0" w:color="auto"/>
        <w:right w:val="none" w:sz="0" w:space="0" w:color="auto"/>
      </w:divBdr>
    </w:div>
    <w:div w:id="1514488003">
      <w:bodyDiv w:val="1"/>
      <w:marLeft w:val="0"/>
      <w:marRight w:val="0"/>
      <w:marTop w:val="0"/>
      <w:marBottom w:val="0"/>
      <w:divBdr>
        <w:top w:val="none" w:sz="0" w:space="0" w:color="auto"/>
        <w:left w:val="none" w:sz="0" w:space="0" w:color="auto"/>
        <w:bottom w:val="none" w:sz="0" w:space="0" w:color="auto"/>
        <w:right w:val="none" w:sz="0" w:space="0" w:color="auto"/>
      </w:divBdr>
      <w:divsChild>
        <w:div w:id="419260661">
          <w:marLeft w:val="0"/>
          <w:marRight w:val="0"/>
          <w:marTop w:val="0"/>
          <w:marBottom w:val="0"/>
          <w:divBdr>
            <w:top w:val="none" w:sz="0" w:space="0" w:color="auto"/>
            <w:left w:val="none" w:sz="0" w:space="0" w:color="auto"/>
            <w:bottom w:val="none" w:sz="0" w:space="0" w:color="auto"/>
            <w:right w:val="none" w:sz="0" w:space="0" w:color="auto"/>
          </w:divBdr>
        </w:div>
        <w:div w:id="639386596">
          <w:marLeft w:val="0"/>
          <w:marRight w:val="0"/>
          <w:marTop w:val="0"/>
          <w:marBottom w:val="0"/>
          <w:divBdr>
            <w:top w:val="none" w:sz="0" w:space="0" w:color="auto"/>
            <w:left w:val="none" w:sz="0" w:space="0" w:color="auto"/>
            <w:bottom w:val="none" w:sz="0" w:space="0" w:color="auto"/>
            <w:right w:val="none" w:sz="0" w:space="0" w:color="auto"/>
          </w:divBdr>
        </w:div>
        <w:div w:id="717172073">
          <w:marLeft w:val="0"/>
          <w:marRight w:val="0"/>
          <w:marTop w:val="0"/>
          <w:marBottom w:val="0"/>
          <w:divBdr>
            <w:top w:val="none" w:sz="0" w:space="0" w:color="auto"/>
            <w:left w:val="none" w:sz="0" w:space="0" w:color="auto"/>
            <w:bottom w:val="none" w:sz="0" w:space="0" w:color="auto"/>
            <w:right w:val="none" w:sz="0" w:space="0" w:color="auto"/>
          </w:divBdr>
        </w:div>
        <w:div w:id="728915646">
          <w:marLeft w:val="0"/>
          <w:marRight w:val="0"/>
          <w:marTop w:val="0"/>
          <w:marBottom w:val="0"/>
          <w:divBdr>
            <w:top w:val="none" w:sz="0" w:space="0" w:color="auto"/>
            <w:left w:val="none" w:sz="0" w:space="0" w:color="auto"/>
            <w:bottom w:val="none" w:sz="0" w:space="0" w:color="auto"/>
            <w:right w:val="none" w:sz="0" w:space="0" w:color="auto"/>
          </w:divBdr>
        </w:div>
        <w:div w:id="1126045159">
          <w:marLeft w:val="0"/>
          <w:marRight w:val="0"/>
          <w:marTop w:val="0"/>
          <w:marBottom w:val="0"/>
          <w:divBdr>
            <w:top w:val="none" w:sz="0" w:space="0" w:color="auto"/>
            <w:left w:val="none" w:sz="0" w:space="0" w:color="auto"/>
            <w:bottom w:val="none" w:sz="0" w:space="0" w:color="auto"/>
            <w:right w:val="none" w:sz="0" w:space="0" w:color="auto"/>
          </w:divBdr>
        </w:div>
        <w:div w:id="1201211721">
          <w:marLeft w:val="0"/>
          <w:marRight w:val="0"/>
          <w:marTop w:val="0"/>
          <w:marBottom w:val="0"/>
          <w:divBdr>
            <w:top w:val="none" w:sz="0" w:space="0" w:color="auto"/>
            <w:left w:val="none" w:sz="0" w:space="0" w:color="auto"/>
            <w:bottom w:val="none" w:sz="0" w:space="0" w:color="auto"/>
            <w:right w:val="none" w:sz="0" w:space="0" w:color="auto"/>
          </w:divBdr>
        </w:div>
        <w:div w:id="1065303604">
          <w:marLeft w:val="0"/>
          <w:marRight w:val="0"/>
          <w:marTop w:val="0"/>
          <w:marBottom w:val="0"/>
          <w:divBdr>
            <w:top w:val="none" w:sz="0" w:space="0" w:color="auto"/>
            <w:left w:val="none" w:sz="0" w:space="0" w:color="auto"/>
            <w:bottom w:val="none" w:sz="0" w:space="0" w:color="auto"/>
            <w:right w:val="none" w:sz="0" w:space="0" w:color="auto"/>
          </w:divBdr>
        </w:div>
        <w:div w:id="1919165659">
          <w:marLeft w:val="0"/>
          <w:marRight w:val="0"/>
          <w:marTop w:val="0"/>
          <w:marBottom w:val="0"/>
          <w:divBdr>
            <w:top w:val="none" w:sz="0" w:space="0" w:color="auto"/>
            <w:left w:val="none" w:sz="0" w:space="0" w:color="auto"/>
            <w:bottom w:val="none" w:sz="0" w:space="0" w:color="auto"/>
            <w:right w:val="none" w:sz="0" w:space="0" w:color="auto"/>
          </w:divBdr>
        </w:div>
        <w:div w:id="2092311502">
          <w:marLeft w:val="0"/>
          <w:marRight w:val="0"/>
          <w:marTop w:val="0"/>
          <w:marBottom w:val="0"/>
          <w:divBdr>
            <w:top w:val="none" w:sz="0" w:space="0" w:color="auto"/>
            <w:left w:val="none" w:sz="0" w:space="0" w:color="auto"/>
            <w:bottom w:val="none" w:sz="0" w:space="0" w:color="auto"/>
            <w:right w:val="none" w:sz="0" w:space="0" w:color="auto"/>
          </w:divBdr>
        </w:div>
        <w:div w:id="625821306">
          <w:marLeft w:val="0"/>
          <w:marRight w:val="0"/>
          <w:marTop w:val="0"/>
          <w:marBottom w:val="0"/>
          <w:divBdr>
            <w:top w:val="none" w:sz="0" w:space="0" w:color="auto"/>
            <w:left w:val="none" w:sz="0" w:space="0" w:color="auto"/>
            <w:bottom w:val="none" w:sz="0" w:space="0" w:color="auto"/>
            <w:right w:val="none" w:sz="0" w:space="0" w:color="auto"/>
          </w:divBdr>
        </w:div>
        <w:div w:id="1516381780">
          <w:marLeft w:val="0"/>
          <w:marRight w:val="0"/>
          <w:marTop w:val="0"/>
          <w:marBottom w:val="0"/>
          <w:divBdr>
            <w:top w:val="none" w:sz="0" w:space="0" w:color="auto"/>
            <w:left w:val="none" w:sz="0" w:space="0" w:color="auto"/>
            <w:bottom w:val="none" w:sz="0" w:space="0" w:color="auto"/>
            <w:right w:val="none" w:sz="0" w:space="0" w:color="auto"/>
          </w:divBdr>
        </w:div>
        <w:div w:id="67774293">
          <w:marLeft w:val="0"/>
          <w:marRight w:val="0"/>
          <w:marTop w:val="0"/>
          <w:marBottom w:val="0"/>
          <w:divBdr>
            <w:top w:val="none" w:sz="0" w:space="0" w:color="auto"/>
            <w:left w:val="none" w:sz="0" w:space="0" w:color="auto"/>
            <w:bottom w:val="none" w:sz="0" w:space="0" w:color="auto"/>
            <w:right w:val="none" w:sz="0" w:space="0" w:color="auto"/>
          </w:divBdr>
        </w:div>
        <w:div w:id="203104599">
          <w:marLeft w:val="0"/>
          <w:marRight w:val="0"/>
          <w:marTop w:val="0"/>
          <w:marBottom w:val="0"/>
          <w:divBdr>
            <w:top w:val="none" w:sz="0" w:space="0" w:color="auto"/>
            <w:left w:val="none" w:sz="0" w:space="0" w:color="auto"/>
            <w:bottom w:val="none" w:sz="0" w:space="0" w:color="auto"/>
            <w:right w:val="none" w:sz="0" w:space="0" w:color="auto"/>
          </w:divBdr>
        </w:div>
        <w:div w:id="325595700">
          <w:marLeft w:val="0"/>
          <w:marRight w:val="0"/>
          <w:marTop w:val="0"/>
          <w:marBottom w:val="0"/>
          <w:divBdr>
            <w:top w:val="none" w:sz="0" w:space="0" w:color="auto"/>
            <w:left w:val="none" w:sz="0" w:space="0" w:color="auto"/>
            <w:bottom w:val="none" w:sz="0" w:space="0" w:color="auto"/>
            <w:right w:val="none" w:sz="0" w:space="0" w:color="auto"/>
          </w:divBdr>
        </w:div>
        <w:div w:id="497353101">
          <w:marLeft w:val="0"/>
          <w:marRight w:val="0"/>
          <w:marTop w:val="0"/>
          <w:marBottom w:val="0"/>
          <w:divBdr>
            <w:top w:val="none" w:sz="0" w:space="0" w:color="auto"/>
            <w:left w:val="none" w:sz="0" w:space="0" w:color="auto"/>
            <w:bottom w:val="none" w:sz="0" w:space="0" w:color="auto"/>
            <w:right w:val="none" w:sz="0" w:space="0" w:color="auto"/>
          </w:divBdr>
        </w:div>
        <w:div w:id="83887500">
          <w:marLeft w:val="0"/>
          <w:marRight w:val="0"/>
          <w:marTop w:val="0"/>
          <w:marBottom w:val="0"/>
          <w:divBdr>
            <w:top w:val="none" w:sz="0" w:space="0" w:color="auto"/>
            <w:left w:val="none" w:sz="0" w:space="0" w:color="auto"/>
            <w:bottom w:val="none" w:sz="0" w:space="0" w:color="auto"/>
            <w:right w:val="none" w:sz="0" w:space="0" w:color="auto"/>
          </w:divBdr>
        </w:div>
        <w:div w:id="1328510719">
          <w:marLeft w:val="0"/>
          <w:marRight w:val="0"/>
          <w:marTop w:val="0"/>
          <w:marBottom w:val="0"/>
          <w:divBdr>
            <w:top w:val="none" w:sz="0" w:space="0" w:color="auto"/>
            <w:left w:val="none" w:sz="0" w:space="0" w:color="auto"/>
            <w:bottom w:val="none" w:sz="0" w:space="0" w:color="auto"/>
            <w:right w:val="none" w:sz="0" w:space="0" w:color="auto"/>
          </w:divBdr>
        </w:div>
        <w:div w:id="1345283025">
          <w:marLeft w:val="0"/>
          <w:marRight w:val="0"/>
          <w:marTop w:val="0"/>
          <w:marBottom w:val="0"/>
          <w:divBdr>
            <w:top w:val="none" w:sz="0" w:space="0" w:color="auto"/>
            <w:left w:val="none" w:sz="0" w:space="0" w:color="auto"/>
            <w:bottom w:val="none" w:sz="0" w:space="0" w:color="auto"/>
            <w:right w:val="none" w:sz="0" w:space="0" w:color="auto"/>
          </w:divBdr>
        </w:div>
        <w:div w:id="1919944470">
          <w:marLeft w:val="0"/>
          <w:marRight w:val="0"/>
          <w:marTop w:val="0"/>
          <w:marBottom w:val="0"/>
          <w:divBdr>
            <w:top w:val="none" w:sz="0" w:space="0" w:color="auto"/>
            <w:left w:val="none" w:sz="0" w:space="0" w:color="auto"/>
            <w:bottom w:val="none" w:sz="0" w:space="0" w:color="auto"/>
            <w:right w:val="none" w:sz="0" w:space="0" w:color="auto"/>
          </w:divBdr>
        </w:div>
        <w:div w:id="1606381871">
          <w:marLeft w:val="0"/>
          <w:marRight w:val="0"/>
          <w:marTop w:val="0"/>
          <w:marBottom w:val="0"/>
          <w:divBdr>
            <w:top w:val="none" w:sz="0" w:space="0" w:color="auto"/>
            <w:left w:val="none" w:sz="0" w:space="0" w:color="auto"/>
            <w:bottom w:val="none" w:sz="0" w:space="0" w:color="auto"/>
            <w:right w:val="none" w:sz="0" w:space="0" w:color="auto"/>
          </w:divBdr>
        </w:div>
        <w:div w:id="1241788744">
          <w:marLeft w:val="0"/>
          <w:marRight w:val="0"/>
          <w:marTop w:val="0"/>
          <w:marBottom w:val="0"/>
          <w:divBdr>
            <w:top w:val="none" w:sz="0" w:space="0" w:color="auto"/>
            <w:left w:val="none" w:sz="0" w:space="0" w:color="auto"/>
            <w:bottom w:val="none" w:sz="0" w:space="0" w:color="auto"/>
            <w:right w:val="none" w:sz="0" w:space="0" w:color="auto"/>
          </w:divBdr>
        </w:div>
        <w:div w:id="569387022">
          <w:marLeft w:val="0"/>
          <w:marRight w:val="0"/>
          <w:marTop w:val="0"/>
          <w:marBottom w:val="0"/>
          <w:divBdr>
            <w:top w:val="none" w:sz="0" w:space="0" w:color="auto"/>
            <w:left w:val="none" w:sz="0" w:space="0" w:color="auto"/>
            <w:bottom w:val="none" w:sz="0" w:space="0" w:color="auto"/>
            <w:right w:val="none" w:sz="0" w:space="0" w:color="auto"/>
          </w:divBdr>
        </w:div>
        <w:div w:id="939264901">
          <w:marLeft w:val="0"/>
          <w:marRight w:val="0"/>
          <w:marTop w:val="0"/>
          <w:marBottom w:val="0"/>
          <w:divBdr>
            <w:top w:val="none" w:sz="0" w:space="0" w:color="auto"/>
            <w:left w:val="none" w:sz="0" w:space="0" w:color="auto"/>
            <w:bottom w:val="none" w:sz="0" w:space="0" w:color="auto"/>
            <w:right w:val="none" w:sz="0" w:space="0" w:color="auto"/>
          </w:divBdr>
        </w:div>
        <w:div w:id="1949853800">
          <w:marLeft w:val="0"/>
          <w:marRight w:val="0"/>
          <w:marTop w:val="0"/>
          <w:marBottom w:val="0"/>
          <w:divBdr>
            <w:top w:val="none" w:sz="0" w:space="0" w:color="auto"/>
            <w:left w:val="none" w:sz="0" w:space="0" w:color="auto"/>
            <w:bottom w:val="none" w:sz="0" w:space="0" w:color="auto"/>
            <w:right w:val="none" w:sz="0" w:space="0" w:color="auto"/>
          </w:divBdr>
        </w:div>
        <w:div w:id="83646624">
          <w:marLeft w:val="0"/>
          <w:marRight w:val="0"/>
          <w:marTop w:val="0"/>
          <w:marBottom w:val="0"/>
          <w:divBdr>
            <w:top w:val="none" w:sz="0" w:space="0" w:color="auto"/>
            <w:left w:val="none" w:sz="0" w:space="0" w:color="auto"/>
            <w:bottom w:val="none" w:sz="0" w:space="0" w:color="auto"/>
            <w:right w:val="none" w:sz="0" w:space="0" w:color="auto"/>
          </w:divBdr>
        </w:div>
        <w:div w:id="555822021">
          <w:marLeft w:val="0"/>
          <w:marRight w:val="0"/>
          <w:marTop w:val="0"/>
          <w:marBottom w:val="0"/>
          <w:divBdr>
            <w:top w:val="none" w:sz="0" w:space="0" w:color="auto"/>
            <w:left w:val="none" w:sz="0" w:space="0" w:color="auto"/>
            <w:bottom w:val="none" w:sz="0" w:space="0" w:color="auto"/>
            <w:right w:val="none" w:sz="0" w:space="0" w:color="auto"/>
          </w:divBdr>
        </w:div>
        <w:div w:id="1203177571">
          <w:marLeft w:val="0"/>
          <w:marRight w:val="0"/>
          <w:marTop w:val="0"/>
          <w:marBottom w:val="0"/>
          <w:divBdr>
            <w:top w:val="none" w:sz="0" w:space="0" w:color="auto"/>
            <w:left w:val="none" w:sz="0" w:space="0" w:color="auto"/>
            <w:bottom w:val="none" w:sz="0" w:space="0" w:color="auto"/>
            <w:right w:val="none" w:sz="0" w:space="0" w:color="auto"/>
          </w:divBdr>
        </w:div>
        <w:div w:id="1140462716">
          <w:marLeft w:val="0"/>
          <w:marRight w:val="0"/>
          <w:marTop w:val="0"/>
          <w:marBottom w:val="0"/>
          <w:divBdr>
            <w:top w:val="none" w:sz="0" w:space="0" w:color="auto"/>
            <w:left w:val="none" w:sz="0" w:space="0" w:color="auto"/>
            <w:bottom w:val="none" w:sz="0" w:space="0" w:color="auto"/>
            <w:right w:val="none" w:sz="0" w:space="0" w:color="auto"/>
          </w:divBdr>
        </w:div>
        <w:div w:id="1858545169">
          <w:marLeft w:val="0"/>
          <w:marRight w:val="0"/>
          <w:marTop w:val="0"/>
          <w:marBottom w:val="0"/>
          <w:divBdr>
            <w:top w:val="none" w:sz="0" w:space="0" w:color="auto"/>
            <w:left w:val="none" w:sz="0" w:space="0" w:color="auto"/>
            <w:bottom w:val="none" w:sz="0" w:space="0" w:color="auto"/>
            <w:right w:val="none" w:sz="0" w:space="0" w:color="auto"/>
          </w:divBdr>
        </w:div>
        <w:div w:id="2073917047">
          <w:marLeft w:val="0"/>
          <w:marRight w:val="0"/>
          <w:marTop w:val="0"/>
          <w:marBottom w:val="0"/>
          <w:divBdr>
            <w:top w:val="none" w:sz="0" w:space="0" w:color="auto"/>
            <w:left w:val="none" w:sz="0" w:space="0" w:color="auto"/>
            <w:bottom w:val="none" w:sz="0" w:space="0" w:color="auto"/>
            <w:right w:val="none" w:sz="0" w:space="0" w:color="auto"/>
          </w:divBdr>
        </w:div>
        <w:div w:id="1589265673">
          <w:marLeft w:val="0"/>
          <w:marRight w:val="0"/>
          <w:marTop w:val="0"/>
          <w:marBottom w:val="0"/>
          <w:divBdr>
            <w:top w:val="none" w:sz="0" w:space="0" w:color="auto"/>
            <w:left w:val="none" w:sz="0" w:space="0" w:color="auto"/>
            <w:bottom w:val="none" w:sz="0" w:space="0" w:color="auto"/>
            <w:right w:val="none" w:sz="0" w:space="0" w:color="auto"/>
          </w:divBdr>
        </w:div>
        <w:div w:id="433283181">
          <w:marLeft w:val="0"/>
          <w:marRight w:val="0"/>
          <w:marTop w:val="0"/>
          <w:marBottom w:val="0"/>
          <w:divBdr>
            <w:top w:val="none" w:sz="0" w:space="0" w:color="auto"/>
            <w:left w:val="none" w:sz="0" w:space="0" w:color="auto"/>
            <w:bottom w:val="none" w:sz="0" w:space="0" w:color="auto"/>
            <w:right w:val="none" w:sz="0" w:space="0" w:color="auto"/>
          </w:divBdr>
        </w:div>
        <w:div w:id="1476020078">
          <w:marLeft w:val="0"/>
          <w:marRight w:val="0"/>
          <w:marTop w:val="0"/>
          <w:marBottom w:val="0"/>
          <w:divBdr>
            <w:top w:val="none" w:sz="0" w:space="0" w:color="auto"/>
            <w:left w:val="none" w:sz="0" w:space="0" w:color="auto"/>
            <w:bottom w:val="none" w:sz="0" w:space="0" w:color="auto"/>
            <w:right w:val="none" w:sz="0" w:space="0" w:color="auto"/>
          </w:divBdr>
        </w:div>
        <w:div w:id="1853951131">
          <w:marLeft w:val="0"/>
          <w:marRight w:val="0"/>
          <w:marTop w:val="0"/>
          <w:marBottom w:val="0"/>
          <w:divBdr>
            <w:top w:val="none" w:sz="0" w:space="0" w:color="auto"/>
            <w:left w:val="none" w:sz="0" w:space="0" w:color="auto"/>
            <w:bottom w:val="none" w:sz="0" w:space="0" w:color="auto"/>
            <w:right w:val="none" w:sz="0" w:space="0" w:color="auto"/>
          </w:divBdr>
        </w:div>
        <w:div w:id="676272110">
          <w:marLeft w:val="0"/>
          <w:marRight w:val="0"/>
          <w:marTop w:val="0"/>
          <w:marBottom w:val="0"/>
          <w:divBdr>
            <w:top w:val="none" w:sz="0" w:space="0" w:color="auto"/>
            <w:left w:val="none" w:sz="0" w:space="0" w:color="auto"/>
            <w:bottom w:val="none" w:sz="0" w:space="0" w:color="auto"/>
            <w:right w:val="none" w:sz="0" w:space="0" w:color="auto"/>
          </w:divBdr>
        </w:div>
        <w:div w:id="311301609">
          <w:marLeft w:val="0"/>
          <w:marRight w:val="0"/>
          <w:marTop w:val="0"/>
          <w:marBottom w:val="0"/>
          <w:divBdr>
            <w:top w:val="none" w:sz="0" w:space="0" w:color="auto"/>
            <w:left w:val="none" w:sz="0" w:space="0" w:color="auto"/>
            <w:bottom w:val="none" w:sz="0" w:space="0" w:color="auto"/>
            <w:right w:val="none" w:sz="0" w:space="0" w:color="auto"/>
          </w:divBdr>
        </w:div>
        <w:div w:id="480079290">
          <w:marLeft w:val="0"/>
          <w:marRight w:val="0"/>
          <w:marTop w:val="0"/>
          <w:marBottom w:val="0"/>
          <w:divBdr>
            <w:top w:val="none" w:sz="0" w:space="0" w:color="auto"/>
            <w:left w:val="none" w:sz="0" w:space="0" w:color="auto"/>
            <w:bottom w:val="none" w:sz="0" w:space="0" w:color="auto"/>
            <w:right w:val="none" w:sz="0" w:space="0" w:color="auto"/>
          </w:divBdr>
        </w:div>
        <w:div w:id="801002392">
          <w:marLeft w:val="0"/>
          <w:marRight w:val="0"/>
          <w:marTop w:val="0"/>
          <w:marBottom w:val="0"/>
          <w:divBdr>
            <w:top w:val="none" w:sz="0" w:space="0" w:color="auto"/>
            <w:left w:val="none" w:sz="0" w:space="0" w:color="auto"/>
            <w:bottom w:val="none" w:sz="0" w:space="0" w:color="auto"/>
            <w:right w:val="none" w:sz="0" w:space="0" w:color="auto"/>
          </w:divBdr>
        </w:div>
        <w:div w:id="2090534978">
          <w:marLeft w:val="0"/>
          <w:marRight w:val="0"/>
          <w:marTop w:val="0"/>
          <w:marBottom w:val="0"/>
          <w:divBdr>
            <w:top w:val="none" w:sz="0" w:space="0" w:color="auto"/>
            <w:left w:val="none" w:sz="0" w:space="0" w:color="auto"/>
            <w:bottom w:val="none" w:sz="0" w:space="0" w:color="auto"/>
            <w:right w:val="none" w:sz="0" w:space="0" w:color="auto"/>
          </w:divBdr>
        </w:div>
        <w:div w:id="1190877637">
          <w:marLeft w:val="0"/>
          <w:marRight w:val="0"/>
          <w:marTop w:val="0"/>
          <w:marBottom w:val="0"/>
          <w:divBdr>
            <w:top w:val="none" w:sz="0" w:space="0" w:color="auto"/>
            <w:left w:val="none" w:sz="0" w:space="0" w:color="auto"/>
            <w:bottom w:val="none" w:sz="0" w:space="0" w:color="auto"/>
            <w:right w:val="none" w:sz="0" w:space="0" w:color="auto"/>
          </w:divBdr>
        </w:div>
        <w:div w:id="218246996">
          <w:marLeft w:val="0"/>
          <w:marRight w:val="0"/>
          <w:marTop w:val="0"/>
          <w:marBottom w:val="0"/>
          <w:divBdr>
            <w:top w:val="none" w:sz="0" w:space="0" w:color="auto"/>
            <w:left w:val="none" w:sz="0" w:space="0" w:color="auto"/>
            <w:bottom w:val="none" w:sz="0" w:space="0" w:color="auto"/>
            <w:right w:val="none" w:sz="0" w:space="0" w:color="auto"/>
          </w:divBdr>
        </w:div>
        <w:div w:id="956109739">
          <w:marLeft w:val="0"/>
          <w:marRight w:val="0"/>
          <w:marTop w:val="0"/>
          <w:marBottom w:val="0"/>
          <w:divBdr>
            <w:top w:val="none" w:sz="0" w:space="0" w:color="auto"/>
            <w:left w:val="none" w:sz="0" w:space="0" w:color="auto"/>
            <w:bottom w:val="none" w:sz="0" w:space="0" w:color="auto"/>
            <w:right w:val="none" w:sz="0" w:space="0" w:color="auto"/>
          </w:divBdr>
        </w:div>
        <w:div w:id="413478317">
          <w:marLeft w:val="0"/>
          <w:marRight w:val="0"/>
          <w:marTop w:val="0"/>
          <w:marBottom w:val="0"/>
          <w:divBdr>
            <w:top w:val="none" w:sz="0" w:space="0" w:color="auto"/>
            <w:left w:val="none" w:sz="0" w:space="0" w:color="auto"/>
            <w:bottom w:val="none" w:sz="0" w:space="0" w:color="auto"/>
            <w:right w:val="none" w:sz="0" w:space="0" w:color="auto"/>
          </w:divBdr>
        </w:div>
        <w:div w:id="1847598955">
          <w:marLeft w:val="0"/>
          <w:marRight w:val="0"/>
          <w:marTop w:val="0"/>
          <w:marBottom w:val="0"/>
          <w:divBdr>
            <w:top w:val="none" w:sz="0" w:space="0" w:color="auto"/>
            <w:left w:val="none" w:sz="0" w:space="0" w:color="auto"/>
            <w:bottom w:val="none" w:sz="0" w:space="0" w:color="auto"/>
            <w:right w:val="none" w:sz="0" w:space="0" w:color="auto"/>
          </w:divBdr>
        </w:div>
        <w:div w:id="1495023390">
          <w:marLeft w:val="0"/>
          <w:marRight w:val="0"/>
          <w:marTop w:val="0"/>
          <w:marBottom w:val="0"/>
          <w:divBdr>
            <w:top w:val="none" w:sz="0" w:space="0" w:color="auto"/>
            <w:left w:val="none" w:sz="0" w:space="0" w:color="auto"/>
            <w:bottom w:val="none" w:sz="0" w:space="0" w:color="auto"/>
            <w:right w:val="none" w:sz="0" w:space="0" w:color="auto"/>
          </w:divBdr>
        </w:div>
        <w:div w:id="227033379">
          <w:marLeft w:val="0"/>
          <w:marRight w:val="0"/>
          <w:marTop w:val="0"/>
          <w:marBottom w:val="0"/>
          <w:divBdr>
            <w:top w:val="none" w:sz="0" w:space="0" w:color="auto"/>
            <w:left w:val="none" w:sz="0" w:space="0" w:color="auto"/>
            <w:bottom w:val="none" w:sz="0" w:space="0" w:color="auto"/>
            <w:right w:val="none" w:sz="0" w:space="0" w:color="auto"/>
          </w:divBdr>
        </w:div>
        <w:div w:id="1984309180">
          <w:marLeft w:val="0"/>
          <w:marRight w:val="0"/>
          <w:marTop w:val="0"/>
          <w:marBottom w:val="0"/>
          <w:divBdr>
            <w:top w:val="none" w:sz="0" w:space="0" w:color="auto"/>
            <w:left w:val="none" w:sz="0" w:space="0" w:color="auto"/>
            <w:bottom w:val="none" w:sz="0" w:space="0" w:color="auto"/>
            <w:right w:val="none" w:sz="0" w:space="0" w:color="auto"/>
          </w:divBdr>
        </w:div>
      </w:divsChild>
    </w:div>
    <w:div w:id="1625766183">
      <w:bodyDiv w:val="1"/>
      <w:marLeft w:val="0"/>
      <w:marRight w:val="0"/>
      <w:marTop w:val="0"/>
      <w:marBottom w:val="0"/>
      <w:divBdr>
        <w:top w:val="none" w:sz="0" w:space="0" w:color="auto"/>
        <w:left w:val="none" w:sz="0" w:space="0" w:color="auto"/>
        <w:bottom w:val="none" w:sz="0" w:space="0" w:color="auto"/>
        <w:right w:val="none" w:sz="0" w:space="0" w:color="auto"/>
      </w:divBdr>
    </w:div>
    <w:div w:id="1643383184">
      <w:bodyDiv w:val="1"/>
      <w:marLeft w:val="0"/>
      <w:marRight w:val="0"/>
      <w:marTop w:val="0"/>
      <w:marBottom w:val="0"/>
      <w:divBdr>
        <w:top w:val="none" w:sz="0" w:space="0" w:color="auto"/>
        <w:left w:val="none" w:sz="0" w:space="0" w:color="auto"/>
        <w:bottom w:val="none" w:sz="0" w:space="0" w:color="auto"/>
        <w:right w:val="none" w:sz="0" w:space="0" w:color="auto"/>
      </w:divBdr>
    </w:div>
    <w:div w:id="1660379512">
      <w:bodyDiv w:val="1"/>
      <w:marLeft w:val="0"/>
      <w:marRight w:val="0"/>
      <w:marTop w:val="0"/>
      <w:marBottom w:val="0"/>
      <w:divBdr>
        <w:top w:val="none" w:sz="0" w:space="0" w:color="auto"/>
        <w:left w:val="none" w:sz="0" w:space="0" w:color="auto"/>
        <w:bottom w:val="none" w:sz="0" w:space="0" w:color="auto"/>
        <w:right w:val="none" w:sz="0" w:space="0" w:color="auto"/>
      </w:divBdr>
    </w:div>
    <w:div w:id="1670327157">
      <w:bodyDiv w:val="1"/>
      <w:marLeft w:val="0"/>
      <w:marRight w:val="0"/>
      <w:marTop w:val="0"/>
      <w:marBottom w:val="0"/>
      <w:divBdr>
        <w:top w:val="none" w:sz="0" w:space="0" w:color="auto"/>
        <w:left w:val="none" w:sz="0" w:space="0" w:color="auto"/>
        <w:bottom w:val="none" w:sz="0" w:space="0" w:color="auto"/>
        <w:right w:val="none" w:sz="0" w:space="0" w:color="auto"/>
      </w:divBdr>
    </w:div>
    <w:div w:id="1710715138">
      <w:bodyDiv w:val="1"/>
      <w:marLeft w:val="0"/>
      <w:marRight w:val="0"/>
      <w:marTop w:val="0"/>
      <w:marBottom w:val="0"/>
      <w:divBdr>
        <w:top w:val="none" w:sz="0" w:space="0" w:color="auto"/>
        <w:left w:val="none" w:sz="0" w:space="0" w:color="auto"/>
        <w:bottom w:val="none" w:sz="0" w:space="0" w:color="auto"/>
        <w:right w:val="none" w:sz="0" w:space="0" w:color="auto"/>
      </w:divBdr>
    </w:div>
    <w:div w:id="1741319546">
      <w:bodyDiv w:val="1"/>
      <w:marLeft w:val="0"/>
      <w:marRight w:val="0"/>
      <w:marTop w:val="0"/>
      <w:marBottom w:val="0"/>
      <w:divBdr>
        <w:top w:val="none" w:sz="0" w:space="0" w:color="auto"/>
        <w:left w:val="none" w:sz="0" w:space="0" w:color="auto"/>
        <w:bottom w:val="none" w:sz="0" w:space="0" w:color="auto"/>
        <w:right w:val="none" w:sz="0" w:space="0" w:color="auto"/>
      </w:divBdr>
    </w:div>
    <w:div w:id="1757745579">
      <w:bodyDiv w:val="1"/>
      <w:marLeft w:val="0"/>
      <w:marRight w:val="0"/>
      <w:marTop w:val="0"/>
      <w:marBottom w:val="0"/>
      <w:divBdr>
        <w:top w:val="none" w:sz="0" w:space="0" w:color="auto"/>
        <w:left w:val="none" w:sz="0" w:space="0" w:color="auto"/>
        <w:bottom w:val="none" w:sz="0" w:space="0" w:color="auto"/>
        <w:right w:val="none" w:sz="0" w:space="0" w:color="auto"/>
      </w:divBdr>
    </w:div>
    <w:div w:id="2013027490">
      <w:bodyDiv w:val="1"/>
      <w:marLeft w:val="0"/>
      <w:marRight w:val="0"/>
      <w:marTop w:val="0"/>
      <w:marBottom w:val="0"/>
      <w:divBdr>
        <w:top w:val="none" w:sz="0" w:space="0" w:color="auto"/>
        <w:left w:val="none" w:sz="0" w:space="0" w:color="auto"/>
        <w:bottom w:val="none" w:sz="0" w:space="0" w:color="auto"/>
        <w:right w:val="none" w:sz="0" w:space="0" w:color="auto"/>
      </w:divBdr>
      <w:divsChild>
        <w:div w:id="262307326">
          <w:marLeft w:val="0"/>
          <w:marRight w:val="0"/>
          <w:marTop w:val="0"/>
          <w:marBottom w:val="0"/>
          <w:divBdr>
            <w:top w:val="none" w:sz="0" w:space="0" w:color="auto"/>
            <w:left w:val="none" w:sz="0" w:space="0" w:color="auto"/>
            <w:bottom w:val="none" w:sz="0" w:space="0" w:color="auto"/>
            <w:right w:val="none" w:sz="0" w:space="0" w:color="auto"/>
          </w:divBdr>
        </w:div>
        <w:div w:id="414744476">
          <w:marLeft w:val="0"/>
          <w:marRight w:val="0"/>
          <w:marTop w:val="0"/>
          <w:marBottom w:val="0"/>
          <w:divBdr>
            <w:top w:val="none" w:sz="0" w:space="0" w:color="auto"/>
            <w:left w:val="none" w:sz="0" w:space="0" w:color="auto"/>
            <w:bottom w:val="none" w:sz="0" w:space="0" w:color="auto"/>
            <w:right w:val="none" w:sz="0" w:space="0" w:color="auto"/>
          </w:divBdr>
        </w:div>
        <w:div w:id="732125519">
          <w:marLeft w:val="0"/>
          <w:marRight w:val="0"/>
          <w:marTop w:val="0"/>
          <w:marBottom w:val="0"/>
          <w:divBdr>
            <w:top w:val="none" w:sz="0" w:space="0" w:color="auto"/>
            <w:left w:val="none" w:sz="0" w:space="0" w:color="auto"/>
            <w:bottom w:val="none" w:sz="0" w:space="0" w:color="auto"/>
            <w:right w:val="none" w:sz="0" w:space="0" w:color="auto"/>
          </w:divBdr>
        </w:div>
        <w:div w:id="1409886661">
          <w:marLeft w:val="0"/>
          <w:marRight w:val="0"/>
          <w:marTop w:val="0"/>
          <w:marBottom w:val="0"/>
          <w:divBdr>
            <w:top w:val="none" w:sz="0" w:space="0" w:color="auto"/>
            <w:left w:val="none" w:sz="0" w:space="0" w:color="auto"/>
            <w:bottom w:val="none" w:sz="0" w:space="0" w:color="auto"/>
            <w:right w:val="none" w:sz="0" w:space="0" w:color="auto"/>
          </w:divBdr>
        </w:div>
        <w:div w:id="31880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117" Type="http://schemas.openxmlformats.org/officeDocument/2006/relationships/header" Target="header3.xml"/><Relationship Id="rId21" Type="http://schemas.openxmlformats.org/officeDocument/2006/relationships/package" Target="embeddings/Microsoft_Excel_Worksheet5.xlsx"/><Relationship Id="rId42" Type="http://schemas.openxmlformats.org/officeDocument/2006/relationships/image" Target="media/image19.emf"/><Relationship Id="rId47" Type="http://schemas.openxmlformats.org/officeDocument/2006/relationships/package" Target="embeddings/Microsoft_Excel_Worksheet18.xlsx"/><Relationship Id="rId63" Type="http://schemas.openxmlformats.org/officeDocument/2006/relationships/image" Target="media/image29.emf"/><Relationship Id="rId68" Type="http://schemas.openxmlformats.org/officeDocument/2006/relationships/package" Target="embeddings/Microsoft_Excel_Worksheet28.xlsx"/><Relationship Id="rId84" Type="http://schemas.openxmlformats.org/officeDocument/2006/relationships/package" Target="embeddings/Microsoft_Excel_Worksheet35.xlsx"/><Relationship Id="rId89" Type="http://schemas.openxmlformats.org/officeDocument/2006/relationships/image" Target="media/image41.emf"/><Relationship Id="rId112" Type="http://schemas.openxmlformats.org/officeDocument/2006/relationships/package" Target="embeddings/Microsoft_Excel_Worksheet46.xlsx"/><Relationship Id="rId16" Type="http://schemas.openxmlformats.org/officeDocument/2006/relationships/image" Target="media/image6.emf"/><Relationship Id="rId107" Type="http://schemas.openxmlformats.org/officeDocument/2006/relationships/image" Target="media/image48.emf"/><Relationship Id="rId11" Type="http://schemas.openxmlformats.org/officeDocument/2006/relationships/package" Target="embeddings/Microsoft_Excel_Worksheet.xlsx"/><Relationship Id="rId32" Type="http://schemas.openxmlformats.org/officeDocument/2006/relationships/image" Target="media/image14.emf"/><Relationship Id="rId37" Type="http://schemas.openxmlformats.org/officeDocument/2006/relationships/package" Target="embeddings/Microsoft_Excel_Worksheet13.xlsx"/><Relationship Id="rId53" Type="http://schemas.openxmlformats.org/officeDocument/2006/relationships/image" Target="media/image24.emf"/><Relationship Id="rId58" Type="http://schemas.openxmlformats.org/officeDocument/2006/relationships/package" Target="embeddings/Microsoft_Excel_Worksheet23.xlsx"/><Relationship Id="rId74" Type="http://schemas.openxmlformats.org/officeDocument/2006/relationships/package" Target="embeddings/Microsoft_Excel_Worksheet31.xlsx"/><Relationship Id="rId79" Type="http://schemas.openxmlformats.org/officeDocument/2006/relationships/image" Target="media/image36.emf"/><Relationship Id="rId102" Type="http://schemas.openxmlformats.org/officeDocument/2006/relationships/package" Target="embeddings/Microsoft_Excel_Worksheet42.xlsx"/><Relationship Id="rId5" Type="http://schemas.openxmlformats.org/officeDocument/2006/relationships/webSettings" Target="webSettings.xml"/><Relationship Id="rId90" Type="http://schemas.openxmlformats.org/officeDocument/2006/relationships/package" Target="embeddings/Microsoft_Excel_Worksheet38.xlsx"/><Relationship Id="rId95" Type="http://schemas.openxmlformats.org/officeDocument/2006/relationships/image" Target="media/image43.emf"/><Relationship Id="rId22" Type="http://schemas.openxmlformats.org/officeDocument/2006/relationships/image" Target="media/image9.emf"/><Relationship Id="rId27" Type="http://schemas.openxmlformats.org/officeDocument/2006/relationships/package" Target="embeddings/Microsoft_Excel_Worksheet8.xlsx"/><Relationship Id="rId43" Type="http://schemas.openxmlformats.org/officeDocument/2006/relationships/package" Target="embeddings/Microsoft_Excel_Worksheet16.xlsx"/><Relationship Id="rId48" Type="http://schemas.openxmlformats.org/officeDocument/2006/relationships/hyperlink" Target="http://www.normattiva.it/uri-res/N2Ls?urn:nir:stato:decreto.legislativo:2000-08-18;267~art179!vig=" TargetMode="External"/><Relationship Id="rId64" Type="http://schemas.openxmlformats.org/officeDocument/2006/relationships/package" Target="embeddings/Microsoft_Excel_Worksheet26.xlsx"/><Relationship Id="rId69" Type="http://schemas.openxmlformats.org/officeDocument/2006/relationships/image" Target="media/image32.emf"/><Relationship Id="rId113" Type="http://schemas.openxmlformats.org/officeDocument/2006/relationships/header" Target="header1.xml"/><Relationship Id="rId118" Type="http://schemas.openxmlformats.org/officeDocument/2006/relationships/footer" Target="footer3.xml"/><Relationship Id="rId80" Type="http://schemas.openxmlformats.org/officeDocument/2006/relationships/package" Target="embeddings/Microsoft_Excel_Worksheet33.xlsx"/><Relationship Id="rId85" Type="http://schemas.openxmlformats.org/officeDocument/2006/relationships/image" Target="media/image39.emf"/><Relationship Id="rId12" Type="http://schemas.openxmlformats.org/officeDocument/2006/relationships/image" Target="media/image4.emf"/><Relationship Id="rId17" Type="http://schemas.openxmlformats.org/officeDocument/2006/relationships/package" Target="embeddings/Microsoft_Excel_Worksheet3.xlsx"/><Relationship Id="rId33" Type="http://schemas.openxmlformats.org/officeDocument/2006/relationships/package" Target="embeddings/Microsoft_Excel_Worksheet11.xlsx"/><Relationship Id="rId38" Type="http://schemas.openxmlformats.org/officeDocument/2006/relationships/image" Target="media/image17.emf"/><Relationship Id="rId59" Type="http://schemas.openxmlformats.org/officeDocument/2006/relationships/image" Target="media/image27.emf"/><Relationship Id="rId103" Type="http://schemas.openxmlformats.org/officeDocument/2006/relationships/image" Target="media/image46.emf"/><Relationship Id="rId108" Type="http://schemas.openxmlformats.org/officeDocument/2006/relationships/package" Target="embeddings/Microsoft_Excel_Worksheet45.xlsx"/><Relationship Id="rId54" Type="http://schemas.openxmlformats.org/officeDocument/2006/relationships/package" Target="embeddings/Microsoft_Excel_Worksheet21.xlsx"/><Relationship Id="rId70" Type="http://schemas.openxmlformats.org/officeDocument/2006/relationships/package" Target="embeddings/Microsoft_Excel_Worksheet29.xlsx"/><Relationship Id="rId75" Type="http://schemas.openxmlformats.org/officeDocument/2006/relationships/hyperlink" Target="http://www.normattiva.it/uri-res/N2Ls?urn:nir:stato:legge:2015-12-28;208!vig=" TargetMode="External"/><Relationship Id="rId91" Type="http://schemas.openxmlformats.org/officeDocument/2006/relationships/image" Target="media/image42.emf"/><Relationship Id="rId96" Type="http://schemas.openxmlformats.org/officeDocument/2006/relationships/package" Target="embeddings/Microsoft_Excel_Worksheet40.xlsx"/><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package" Target="embeddings/Microsoft_Excel_Worksheet6.xlsx"/><Relationship Id="rId28" Type="http://schemas.openxmlformats.org/officeDocument/2006/relationships/image" Target="media/image12.emf"/><Relationship Id="rId49" Type="http://schemas.openxmlformats.org/officeDocument/2006/relationships/image" Target="media/image22.emf"/><Relationship Id="rId114" Type="http://schemas.openxmlformats.org/officeDocument/2006/relationships/header" Target="header2.xml"/><Relationship Id="rId119" Type="http://schemas.openxmlformats.org/officeDocument/2006/relationships/fontTable" Target="fontTable.xml"/><Relationship Id="rId10" Type="http://schemas.openxmlformats.org/officeDocument/2006/relationships/image" Target="media/image3.emf"/><Relationship Id="rId31" Type="http://schemas.openxmlformats.org/officeDocument/2006/relationships/package" Target="embeddings/Microsoft_Excel_Worksheet10.xlsx"/><Relationship Id="rId44" Type="http://schemas.openxmlformats.org/officeDocument/2006/relationships/image" Target="media/image20.emf"/><Relationship Id="rId52" Type="http://schemas.openxmlformats.org/officeDocument/2006/relationships/package" Target="embeddings/Microsoft_Excel_Worksheet20.xlsx"/><Relationship Id="rId60" Type="http://schemas.openxmlformats.org/officeDocument/2006/relationships/package" Target="embeddings/Microsoft_Excel_Worksheet24.xlsx"/><Relationship Id="rId65" Type="http://schemas.openxmlformats.org/officeDocument/2006/relationships/image" Target="media/image30.emf"/><Relationship Id="rId73" Type="http://schemas.openxmlformats.org/officeDocument/2006/relationships/image" Target="media/image34.emf"/><Relationship Id="rId78" Type="http://schemas.openxmlformats.org/officeDocument/2006/relationships/package" Target="embeddings/Microsoft_Excel_Worksheet32.xlsx"/><Relationship Id="rId81" Type="http://schemas.openxmlformats.org/officeDocument/2006/relationships/image" Target="media/image37.emf"/><Relationship Id="rId86" Type="http://schemas.openxmlformats.org/officeDocument/2006/relationships/package" Target="embeddings/Microsoft_Excel_Worksheet36.xlsx"/><Relationship Id="rId94" Type="http://schemas.openxmlformats.org/officeDocument/2006/relationships/hyperlink" Target="http://www.rgs.mef.gov.it/_Documenti/VERSIONE-I/e-GOVERNME1/ARCONET/SchemidiBilancio/decorrenza2017/All_10_RENDICONTO_DEFINITIVO.xls" TargetMode="External"/><Relationship Id="rId99" Type="http://schemas.openxmlformats.org/officeDocument/2006/relationships/image" Target="media/image44.emf"/><Relationship Id="rId101" Type="http://schemas.openxmlformats.org/officeDocument/2006/relationships/image" Target="media/image45.emf"/><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package" Target="embeddings/Microsoft_Excel_Worksheet1.xlsx"/><Relationship Id="rId18" Type="http://schemas.openxmlformats.org/officeDocument/2006/relationships/image" Target="media/image7.emf"/><Relationship Id="rId39" Type="http://schemas.openxmlformats.org/officeDocument/2006/relationships/package" Target="embeddings/Microsoft_Excel_Worksheet14.xlsx"/><Relationship Id="rId109" Type="http://schemas.openxmlformats.org/officeDocument/2006/relationships/image" Target="media/image49.emf"/><Relationship Id="rId34" Type="http://schemas.openxmlformats.org/officeDocument/2006/relationships/image" Target="media/image15.emf"/><Relationship Id="rId50" Type="http://schemas.openxmlformats.org/officeDocument/2006/relationships/package" Target="embeddings/Microsoft_Excel_Worksheet19.xlsx"/><Relationship Id="rId55" Type="http://schemas.openxmlformats.org/officeDocument/2006/relationships/image" Target="media/image25.emf"/><Relationship Id="rId76" Type="http://schemas.openxmlformats.org/officeDocument/2006/relationships/hyperlink" Target="http://maggioli.newsabbonati.it/nl/web?f=1&amp;h=1v45a18jinr3brv9klulem03ln&amp;i=1sb&amp;iw=1&amp;p=H787464475&amp;s=lp&amp;sl=ita&amp;sn=2qk&amp;z=34uk" TargetMode="External"/><Relationship Id="rId97" Type="http://schemas.openxmlformats.org/officeDocument/2006/relationships/hyperlink" Target="http://www.rgs.mef.gov.it/_Documenti/VERSIONE-I/e-GOVERNME1/ARCONET/SchemidiBilancio/decorrenza2017/All_10_RENDICONTO_DEFINITIVO.xls" TargetMode="External"/><Relationship Id="rId104" Type="http://schemas.openxmlformats.org/officeDocument/2006/relationships/package" Target="embeddings/Microsoft_Excel_Worksheet43.xlsx"/><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3.emf"/><Relationship Id="rId92" Type="http://schemas.openxmlformats.org/officeDocument/2006/relationships/package" Target="embeddings/Microsoft_Excel_Worksheet39.xlsx"/><Relationship Id="rId2" Type="http://schemas.openxmlformats.org/officeDocument/2006/relationships/numbering" Target="numbering.xml"/><Relationship Id="rId29" Type="http://schemas.openxmlformats.org/officeDocument/2006/relationships/package" Target="embeddings/Microsoft_Excel_Worksheet9.xlsx"/><Relationship Id="rId24" Type="http://schemas.openxmlformats.org/officeDocument/2006/relationships/image" Target="media/image10.emf"/><Relationship Id="rId40" Type="http://schemas.openxmlformats.org/officeDocument/2006/relationships/image" Target="media/image18.emf"/><Relationship Id="rId45" Type="http://schemas.openxmlformats.org/officeDocument/2006/relationships/package" Target="embeddings/Microsoft_Excel_Worksheet17.xlsx"/><Relationship Id="rId66" Type="http://schemas.openxmlformats.org/officeDocument/2006/relationships/package" Target="embeddings/Microsoft_Excel_Worksheet27.xlsx"/><Relationship Id="rId87" Type="http://schemas.openxmlformats.org/officeDocument/2006/relationships/image" Target="media/image40.emf"/><Relationship Id="rId110" Type="http://schemas.openxmlformats.org/officeDocument/2006/relationships/oleObject" Target="embeddings/Microsoft_Excel_97-2003_Worksheet.xls"/><Relationship Id="rId115" Type="http://schemas.openxmlformats.org/officeDocument/2006/relationships/footer" Target="footer1.xml"/><Relationship Id="rId61" Type="http://schemas.openxmlformats.org/officeDocument/2006/relationships/image" Target="media/image28.emf"/><Relationship Id="rId82" Type="http://schemas.openxmlformats.org/officeDocument/2006/relationships/package" Target="embeddings/Microsoft_Excel_Worksheet34.xlsx"/><Relationship Id="rId19" Type="http://schemas.openxmlformats.org/officeDocument/2006/relationships/package" Target="embeddings/Microsoft_Excel_Worksheet4.xlsx"/><Relationship Id="rId14" Type="http://schemas.openxmlformats.org/officeDocument/2006/relationships/image" Target="media/image5.emf"/><Relationship Id="rId30" Type="http://schemas.openxmlformats.org/officeDocument/2006/relationships/image" Target="media/image13.emf"/><Relationship Id="rId35" Type="http://schemas.openxmlformats.org/officeDocument/2006/relationships/package" Target="embeddings/Microsoft_Excel_Worksheet12.xlsx"/><Relationship Id="rId56" Type="http://schemas.openxmlformats.org/officeDocument/2006/relationships/package" Target="embeddings/Microsoft_Excel_Worksheet22.xlsx"/><Relationship Id="rId77" Type="http://schemas.openxmlformats.org/officeDocument/2006/relationships/image" Target="media/image35.emf"/><Relationship Id="rId100" Type="http://schemas.openxmlformats.org/officeDocument/2006/relationships/package" Target="embeddings/Microsoft_Excel_Worksheet41.xlsx"/><Relationship Id="rId105" Type="http://schemas.openxmlformats.org/officeDocument/2006/relationships/image" Target="media/image47.emf"/><Relationship Id="rId8" Type="http://schemas.openxmlformats.org/officeDocument/2006/relationships/image" Target="media/image1.emf"/><Relationship Id="rId51" Type="http://schemas.openxmlformats.org/officeDocument/2006/relationships/image" Target="media/image23.emf"/><Relationship Id="rId72" Type="http://schemas.openxmlformats.org/officeDocument/2006/relationships/package" Target="embeddings/Microsoft_Excel_Worksheet30.xlsx"/><Relationship Id="rId93" Type="http://schemas.openxmlformats.org/officeDocument/2006/relationships/hyperlink" Target="http://www.normattiva.it/uri-res/N2Ls?urn:nir:stato:decreto.legislativo:2000-08-18;267~art243!vig=" TargetMode="External"/><Relationship Id="rId98" Type="http://schemas.openxmlformats.org/officeDocument/2006/relationships/hyperlink" Target="http://www.rgs.mef.gov.it/_Documenti/VERSIONE-I/e-GOVERNME1/ARCONET/PRINCIPICONTABILI/All_4-2_Principio_applicato_contabilitx_finanziaria_con_variazioni.doc" TargetMode="External"/><Relationship Id="rId3" Type="http://schemas.openxmlformats.org/officeDocument/2006/relationships/styles" Target="styles.xml"/><Relationship Id="rId25" Type="http://schemas.openxmlformats.org/officeDocument/2006/relationships/package" Target="embeddings/Microsoft_Excel_Worksheet7.xlsx"/><Relationship Id="rId46" Type="http://schemas.openxmlformats.org/officeDocument/2006/relationships/image" Target="media/image21.emf"/><Relationship Id="rId67" Type="http://schemas.openxmlformats.org/officeDocument/2006/relationships/image" Target="media/image31.emf"/><Relationship Id="rId116" Type="http://schemas.openxmlformats.org/officeDocument/2006/relationships/footer" Target="footer2.xml"/><Relationship Id="rId20" Type="http://schemas.openxmlformats.org/officeDocument/2006/relationships/image" Target="media/image8.emf"/><Relationship Id="rId41" Type="http://schemas.openxmlformats.org/officeDocument/2006/relationships/package" Target="embeddings/Microsoft_Excel_Worksheet15.xlsx"/><Relationship Id="rId62" Type="http://schemas.openxmlformats.org/officeDocument/2006/relationships/package" Target="embeddings/Microsoft_Excel_Worksheet25.xlsx"/><Relationship Id="rId83" Type="http://schemas.openxmlformats.org/officeDocument/2006/relationships/image" Target="media/image38.emf"/><Relationship Id="rId88" Type="http://schemas.openxmlformats.org/officeDocument/2006/relationships/package" Target="embeddings/Microsoft_Excel_Worksheet37.xlsx"/><Relationship Id="rId111" Type="http://schemas.openxmlformats.org/officeDocument/2006/relationships/image" Target="media/image50.emf"/><Relationship Id="rId15" Type="http://schemas.openxmlformats.org/officeDocument/2006/relationships/package" Target="embeddings/Microsoft_Excel_Worksheet2.xlsx"/><Relationship Id="rId36" Type="http://schemas.openxmlformats.org/officeDocument/2006/relationships/image" Target="media/image16.emf"/><Relationship Id="rId57" Type="http://schemas.openxmlformats.org/officeDocument/2006/relationships/image" Target="media/image26.emf"/><Relationship Id="rId106" Type="http://schemas.openxmlformats.org/officeDocument/2006/relationships/package" Target="embeddings/Microsoft_Excel_Worksheet44.xlsx"/></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F2BD2-EA29-4BE5-BA66-E05A856F7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14102</Words>
  <Characters>80384</Characters>
  <Application>Microsoft Office Word</Application>
  <DocSecurity>0</DocSecurity>
  <Lines>669</Lines>
  <Paragraphs>188</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94298</CharactersWithSpaces>
  <SharedDoc>false</SharedDoc>
  <HLinks>
    <vt:vector size="144" baseType="variant">
      <vt:variant>
        <vt:i4>3407874</vt:i4>
      </vt:variant>
      <vt:variant>
        <vt:i4>252</vt:i4>
      </vt:variant>
      <vt:variant>
        <vt:i4>0</vt:i4>
      </vt:variant>
      <vt:variant>
        <vt:i4>5</vt:i4>
      </vt:variant>
      <vt:variant>
        <vt:lpwstr>mailto:info@ancrel.it</vt:lpwstr>
      </vt:variant>
      <vt:variant>
        <vt:lpwstr/>
      </vt:variant>
      <vt:variant>
        <vt:i4>1441865</vt:i4>
      </vt:variant>
      <vt:variant>
        <vt:i4>249</vt:i4>
      </vt:variant>
      <vt:variant>
        <vt:i4>0</vt:i4>
      </vt:variant>
      <vt:variant>
        <vt:i4>5</vt:i4>
      </vt:variant>
      <vt:variant>
        <vt:lpwstr>http://www.ancrel.it/</vt:lpwstr>
      </vt:variant>
      <vt:variant>
        <vt:lpwstr/>
      </vt:variant>
      <vt:variant>
        <vt:i4>7209059</vt:i4>
      </vt:variant>
      <vt:variant>
        <vt:i4>216</vt:i4>
      </vt:variant>
      <vt:variant>
        <vt:i4>0</vt:i4>
      </vt:variant>
      <vt:variant>
        <vt:i4>5</vt:i4>
      </vt:variant>
      <vt:variant>
        <vt:lpwstr>http://www.normattiva.it/uri-res/N2Ls?urn:nir:stato:decreto.legislativo:2000-08-18;267~art243!vig=</vt:lpwstr>
      </vt:variant>
      <vt:variant>
        <vt:lpwstr/>
      </vt:variant>
      <vt:variant>
        <vt:i4>3145833</vt:i4>
      </vt:variant>
      <vt:variant>
        <vt:i4>159</vt:i4>
      </vt:variant>
      <vt:variant>
        <vt:i4>0</vt:i4>
      </vt:variant>
      <vt:variant>
        <vt:i4>5</vt:i4>
      </vt:variant>
      <vt:variant>
        <vt:lpwstr>http://www.sico.tesoro.it/Sico/</vt:lpwstr>
      </vt:variant>
      <vt:variant>
        <vt:lpwstr/>
      </vt:variant>
      <vt:variant>
        <vt:i4>2555941</vt:i4>
      </vt:variant>
      <vt:variant>
        <vt:i4>105</vt:i4>
      </vt:variant>
      <vt:variant>
        <vt:i4>0</vt:i4>
      </vt:variant>
      <vt:variant>
        <vt:i4>5</vt:i4>
      </vt:variant>
      <vt:variant>
        <vt:lpwstr>http://www.normattiva.it/uri-res/N2Ls?urn:nir:stato:decreto.legislativo:1993;507~art61!vig=</vt:lpwstr>
      </vt:variant>
      <vt:variant>
        <vt:lpwstr/>
      </vt:variant>
      <vt:variant>
        <vt:i4>7143530</vt:i4>
      </vt:variant>
      <vt:variant>
        <vt:i4>93</vt:i4>
      </vt:variant>
      <vt:variant>
        <vt:i4>0</vt:i4>
      </vt:variant>
      <vt:variant>
        <vt:i4>5</vt:i4>
      </vt:variant>
      <vt:variant>
        <vt:lpwstr>http://www.normattiva.it/uri-res/N2Ls?urn:nir:stato:decreto.legislativo:2000-08-18;267~art179!vig=</vt:lpwstr>
      </vt:variant>
      <vt:variant>
        <vt:lpwstr/>
      </vt:variant>
      <vt:variant>
        <vt:i4>6815842</vt:i4>
      </vt:variant>
      <vt:variant>
        <vt:i4>81</vt:i4>
      </vt:variant>
      <vt:variant>
        <vt:i4>0</vt:i4>
      </vt:variant>
      <vt:variant>
        <vt:i4>5</vt:i4>
      </vt:variant>
      <vt:variant>
        <vt:lpwstr>http://www.normattiva.it/uri-res/N2Ls?urn:nir:stato:decreto.legislativo:2000-08-18;267~art222!vig=</vt:lpwstr>
      </vt:variant>
      <vt:variant>
        <vt:lpwstr/>
      </vt:variant>
      <vt:variant>
        <vt:i4>6488166</vt:i4>
      </vt:variant>
      <vt:variant>
        <vt:i4>78</vt:i4>
      </vt:variant>
      <vt:variant>
        <vt:i4>0</vt:i4>
      </vt:variant>
      <vt:variant>
        <vt:i4>5</vt:i4>
      </vt:variant>
      <vt:variant>
        <vt:lpwstr>http://www.normattiva.it/uri-res/N2Ls?urn:nir:stato:decreto.legislativo:2000-08-18;267~art195!vig=</vt:lpwstr>
      </vt:variant>
      <vt:variant>
        <vt:lpwstr/>
      </vt:variant>
      <vt:variant>
        <vt:i4>6488167</vt:i4>
      </vt:variant>
      <vt:variant>
        <vt:i4>36</vt:i4>
      </vt:variant>
      <vt:variant>
        <vt:i4>0</vt:i4>
      </vt:variant>
      <vt:variant>
        <vt:i4>5</vt:i4>
      </vt:variant>
      <vt:variant>
        <vt:lpwstr>http://www.normattiva.it/uri-res/N2Ls?urn:nir:stato:decreto.legislativo:2000-08-18;267~ART194!vig=</vt:lpwstr>
      </vt:variant>
      <vt:variant>
        <vt:lpwstr/>
      </vt:variant>
      <vt:variant>
        <vt:i4>5701657</vt:i4>
      </vt:variant>
      <vt:variant>
        <vt:i4>33</vt:i4>
      </vt:variant>
      <vt:variant>
        <vt:i4>0</vt:i4>
      </vt:variant>
      <vt:variant>
        <vt:i4>5</vt:i4>
      </vt:variant>
      <vt:variant>
        <vt:lpwstr>http://finanzalocale.interno.it/docum/comunicati/com110110all.pdf</vt:lpwstr>
      </vt:variant>
      <vt:variant>
        <vt:lpwstr/>
      </vt:variant>
      <vt:variant>
        <vt:i4>7274593</vt:i4>
      </vt:variant>
      <vt:variant>
        <vt:i4>30</vt:i4>
      </vt:variant>
      <vt:variant>
        <vt:i4>0</vt:i4>
      </vt:variant>
      <vt:variant>
        <vt:i4>5</vt:i4>
      </vt:variant>
      <vt:variant>
        <vt:lpwstr>http://www.normattiva.it/uri-res/N2Ls?urn:nir:stato:decreto.legislativo:2000-08-18;267~ART152!vig=</vt:lpwstr>
      </vt:variant>
      <vt:variant>
        <vt:lpwstr/>
      </vt:variant>
      <vt:variant>
        <vt:i4>2818103</vt:i4>
      </vt:variant>
      <vt:variant>
        <vt:i4>27</vt:i4>
      </vt:variant>
      <vt:variant>
        <vt:i4>0</vt:i4>
      </vt:variant>
      <vt:variant>
        <vt:i4>5</vt:i4>
      </vt:variant>
      <vt:variant>
        <vt:lpwstr>http://www.normattiva.it/uri-res/N2Ls?urn:nir:stato:decreto.legislativo:2000-08-18;267!vig=</vt:lpwstr>
      </vt:variant>
      <vt:variant>
        <vt:lpwstr/>
      </vt:variant>
      <vt:variant>
        <vt:i4>6488167</vt:i4>
      </vt:variant>
      <vt:variant>
        <vt:i4>24</vt:i4>
      </vt:variant>
      <vt:variant>
        <vt:i4>0</vt:i4>
      </vt:variant>
      <vt:variant>
        <vt:i4>5</vt:i4>
      </vt:variant>
      <vt:variant>
        <vt:lpwstr>http://www.normattiva.it/uri-res/N2Ls?urn:nir:stato:decreto.legislativo:2000-08-18;267~ART194!vig=</vt:lpwstr>
      </vt:variant>
      <vt:variant>
        <vt:lpwstr/>
      </vt:variant>
      <vt:variant>
        <vt:i4>5636164</vt:i4>
      </vt:variant>
      <vt:variant>
        <vt:i4>21</vt:i4>
      </vt:variant>
      <vt:variant>
        <vt:i4>0</vt:i4>
      </vt:variant>
      <vt:variant>
        <vt:i4>5</vt:i4>
      </vt:variant>
      <vt:variant>
        <vt:lpwstr>http://www.rgs.mef.gov.it/VERSIONE-I/e-GOVERNME1/Patto-di-S/2012/</vt:lpwstr>
      </vt:variant>
      <vt:variant>
        <vt:lpwstr/>
      </vt:variant>
      <vt:variant>
        <vt:i4>1769495</vt:i4>
      </vt:variant>
      <vt:variant>
        <vt:i4>18</vt:i4>
      </vt:variant>
      <vt:variant>
        <vt:i4>0</vt:i4>
      </vt:variant>
      <vt:variant>
        <vt:i4>5</vt:i4>
      </vt:variant>
      <vt:variant>
        <vt:lpwstr>http://www.normattiva.it/uri-res/N2Ls?urn:nir:stato:decreto.legislativo:2000-08-18;267~ART147quater!vig=</vt:lpwstr>
      </vt:variant>
      <vt:variant>
        <vt:lpwstr/>
      </vt:variant>
      <vt:variant>
        <vt:i4>6750304</vt:i4>
      </vt:variant>
      <vt:variant>
        <vt:i4>15</vt:i4>
      </vt:variant>
      <vt:variant>
        <vt:i4>0</vt:i4>
      </vt:variant>
      <vt:variant>
        <vt:i4>5</vt:i4>
      </vt:variant>
      <vt:variant>
        <vt:lpwstr>http://www.camera.it/465?area=19&amp;tema=39&amp;I+derivati+degli+enti+territoriali</vt:lpwstr>
      </vt:variant>
      <vt:variant>
        <vt:lpwstr/>
      </vt:variant>
      <vt:variant>
        <vt:i4>1179661</vt:i4>
      </vt:variant>
      <vt:variant>
        <vt:i4>12</vt:i4>
      </vt:variant>
      <vt:variant>
        <vt:i4>0</vt:i4>
      </vt:variant>
      <vt:variant>
        <vt:i4>5</vt:i4>
      </vt:variant>
      <vt:variant>
        <vt:lpwstr>http://osservatorio.interno.it/principi/concilia.html</vt:lpwstr>
      </vt:variant>
      <vt:variant>
        <vt:lpwstr/>
      </vt:variant>
      <vt:variant>
        <vt:i4>5242882</vt:i4>
      </vt:variant>
      <vt:variant>
        <vt:i4>9</vt:i4>
      </vt:variant>
      <vt:variant>
        <vt:i4>0</vt:i4>
      </vt:variant>
      <vt:variant>
        <vt:i4>5</vt:i4>
      </vt:variant>
      <vt:variant>
        <vt:lpwstr>http://www.rgs.mef.gov.it/VERSIONE-I/e-GOVERNME1/SIOPE/index.html</vt:lpwstr>
      </vt:variant>
      <vt:variant>
        <vt:lpwstr/>
      </vt:variant>
      <vt:variant>
        <vt:i4>6881376</vt:i4>
      </vt:variant>
      <vt:variant>
        <vt:i4>6</vt:i4>
      </vt:variant>
      <vt:variant>
        <vt:i4>0</vt:i4>
      </vt:variant>
      <vt:variant>
        <vt:i4>5</vt:i4>
      </vt:variant>
      <vt:variant>
        <vt:lpwstr>http://www.normattiva.it/uri-res/N2Ls?urn:nir:stato:decreto.legislativo:2000-08-18;267~ART230!vig=</vt:lpwstr>
      </vt:variant>
      <vt:variant>
        <vt:lpwstr/>
      </vt:variant>
      <vt:variant>
        <vt:i4>6815849</vt:i4>
      </vt:variant>
      <vt:variant>
        <vt:i4>3</vt:i4>
      </vt:variant>
      <vt:variant>
        <vt:i4>0</vt:i4>
      </vt:variant>
      <vt:variant>
        <vt:i4>5</vt:i4>
      </vt:variant>
      <vt:variant>
        <vt:lpwstr>http://www.normattiva.it/uri-res/N2Ls?urn:nir:stato:decreto.legislativo:2000-08-18;267~ART229!vig=</vt:lpwstr>
      </vt:variant>
      <vt:variant>
        <vt:lpwstr/>
      </vt:variant>
      <vt:variant>
        <vt:i4>6815848</vt:i4>
      </vt:variant>
      <vt:variant>
        <vt:i4>0</vt:i4>
      </vt:variant>
      <vt:variant>
        <vt:i4>0</vt:i4>
      </vt:variant>
      <vt:variant>
        <vt:i4>5</vt:i4>
      </vt:variant>
      <vt:variant>
        <vt:lpwstr>http://www.normattiva.it/uri-res/N2Ls?urn:nir:stato:decreto.legislativo:2000-08-18;267~ART228!vig=</vt:lpwstr>
      </vt:variant>
      <vt:variant>
        <vt:lpwstr/>
      </vt:variant>
      <vt:variant>
        <vt:i4>1179661</vt:i4>
      </vt:variant>
      <vt:variant>
        <vt:i4>0</vt:i4>
      </vt:variant>
      <vt:variant>
        <vt:i4>0</vt:i4>
      </vt:variant>
      <vt:variant>
        <vt:i4>5</vt:i4>
      </vt:variant>
      <vt:variant>
        <vt:lpwstr>http://osservatorio.interno.it/principi/concilia.html</vt:lpwstr>
      </vt:variant>
      <vt:variant>
        <vt:lpwstr/>
      </vt:variant>
      <vt:variant>
        <vt:i4>1441865</vt:i4>
      </vt:variant>
      <vt:variant>
        <vt:i4>9</vt:i4>
      </vt:variant>
      <vt:variant>
        <vt:i4>0</vt:i4>
      </vt:variant>
      <vt:variant>
        <vt:i4>5</vt:i4>
      </vt:variant>
      <vt:variant>
        <vt:lpwstr>http://www.ancrel.it/</vt:lpwstr>
      </vt:variant>
      <vt:variant>
        <vt:lpwstr/>
      </vt:variant>
      <vt:variant>
        <vt:i4>7733374</vt:i4>
      </vt:variant>
      <vt:variant>
        <vt:i4>0</vt:i4>
      </vt:variant>
      <vt:variant>
        <vt:i4>0</vt:i4>
      </vt:variant>
      <vt:variant>
        <vt:i4>5</vt:i4>
      </vt:variant>
      <vt:variant>
        <vt:lpwstr>C:\Users\Antonino\AppData\Local\Temp\Temp1_Rendiconto2013.zip\Tabrend2013.xls</vt:lpwstr>
      </vt:variant>
      <vt:variant>
        <vt:lpwstr>cOMUNE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2024-06-27T08:15:00Z</dcterms:created>
  <dcterms:modified xsi:type="dcterms:W3CDTF">2024-06-27T08:15:00Z</dcterms:modified>
</cp:coreProperties>
</file>