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F5B0E" w14:textId="77777777" w:rsidR="00505E0A" w:rsidRPr="00052BAB" w:rsidRDefault="00505E0A" w:rsidP="00505E0A">
      <w:pPr>
        <w:jc w:val="center"/>
        <w:rPr>
          <w:rFonts w:ascii="Arial" w:hAnsi="Arial" w:cs="Arial"/>
          <w:b/>
          <w:bCs/>
        </w:rPr>
      </w:pPr>
    </w:p>
    <w:p w14:paraId="2E203332" w14:textId="77777777" w:rsidR="00824BE6" w:rsidRDefault="00824BE6" w:rsidP="00524C36">
      <w:pPr>
        <w:jc w:val="center"/>
        <w:rPr>
          <w:rFonts w:ascii="Arial" w:hAnsi="Arial" w:cs="Arial"/>
          <w:b/>
          <w:bCs/>
          <w:u w:val="single"/>
        </w:rPr>
      </w:pPr>
    </w:p>
    <w:p w14:paraId="031D59A9" w14:textId="2045BAE9" w:rsidR="00524C36" w:rsidRPr="00052BAB" w:rsidRDefault="00524C36" w:rsidP="00524C36">
      <w:pPr>
        <w:jc w:val="center"/>
        <w:rPr>
          <w:rFonts w:ascii="Arial" w:hAnsi="Arial" w:cs="Arial"/>
        </w:rPr>
      </w:pPr>
      <w:r w:rsidRPr="00052BAB">
        <w:rPr>
          <w:rFonts w:ascii="Arial" w:hAnsi="Arial" w:cs="Arial"/>
          <w:b/>
          <w:bCs/>
          <w:u w:val="single"/>
        </w:rPr>
        <w:t>Comunicato stampa</w:t>
      </w:r>
    </w:p>
    <w:p w14:paraId="18054AF0" w14:textId="77777777" w:rsidR="00524C36" w:rsidRPr="00052BAB" w:rsidRDefault="00524C36" w:rsidP="00524C36">
      <w:pPr>
        <w:jc w:val="center"/>
        <w:rPr>
          <w:rFonts w:ascii="Arial" w:hAnsi="Arial" w:cs="Arial"/>
        </w:rPr>
      </w:pPr>
      <w:r w:rsidRPr="00052BAB">
        <w:rPr>
          <w:rFonts w:ascii="Arial" w:hAnsi="Arial" w:cs="Arial"/>
          <w:b/>
          <w:bCs/>
        </w:rPr>
        <w:t> </w:t>
      </w:r>
    </w:p>
    <w:p w14:paraId="52B7DBF4" w14:textId="77777777" w:rsidR="00824BE6" w:rsidRDefault="00824BE6" w:rsidP="00824BE6">
      <w:pPr>
        <w:jc w:val="center"/>
        <w:rPr>
          <w:rFonts w:ascii="Arial" w:hAnsi="Arial" w:cs="Arial"/>
          <w:b/>
          <w:bCs/>
          <w:color w:val="000000"/>
        </w:rPr>
      </w:pPr>
      <w:r>
        <w:rPr>
          <w:rFonts w:ascii="Arial" w:hAnsi="Arial" w:cs="Arial"/>
          <w:b/>
          <w:bCs/>
          <w:color w:val="000000"/>
        </w:rPr>
        <w:t>DAI COMMERCIALISTI UN DOCUMENTO SU MODELLO 231 E FATTORI ESG</w:t>
      </w:r>
    </w:p>
    <w:p w14:paraId="073F3E4D" w14:textId="77777777" w:rsidR="00824BE6" w:rsidRDefault="00824BE6" w:rsidP="00824BE6">
      <w:pPr>
        <w:jc w:val="center"/>
        <w:rPr>
          <w:rFonts w:ascii="Arial" w:hAnsi="Arial" w:cs="Arial"/>
          <w:color w:val="000000"/>
        </w:rPr>
      </w:pPr>
    </w:p>
    <w:p w14:paraId="727DF103" w14:textId="77777777" w:rsidR="00824BE6" w:rsidRDefault="00824BE6" w:rsidP="00824BE6">
      <w:pPr>
        <w:jc w:val="center"/>
        <w:rPr>
          <w:rFonts w:ascii="Arial" w:hAnsi="Arial" w:cs="Arial"/>
          <w:b/>
          <w:bCs/>
          <w:color w:val="000000"/>
        </w:rPr>
      </w:pPr>
      <w:r>
        <w:rPr>
          <w:rFonts w:ascii="Arial" w:hAnsi="Arial" w:cs="Arial"/>
          <w:b/>
          <w:bCs/>
          <w:color w:val="000000"/>
        </w:rPr>
        <w:t>Consiglio e Fondazione nazionali della categoria sottolineano la “connessione virtuosa” tra modello di organizzazione, gestione e controllo e strategie di sostenibilità</w:t>
      </w:r>
    </w:p>
    <w:p w14:paraId="17E713FC" w14:textId="77777777" w:rsidR="00824BE6" w:rsidRDefault="00824BE6" w:rsidP="00824BE6">
      <w:pPr>
        <w:jc w:val="center"/>
        <w:rPr>
          <w:rFonts w:ascii="Arial" w:hAnsi="Arial" w:cs="Arial"/>
          <w:color w:val="000000"/>
        </w:rPr>
      </w:pPr>
    </w:p>
    <w:p w14:paraId="6493E3F8" w14:textId="77777777" w:rsidR="00824BE6" w:rsidRDefault="00824BE6" w:rsidP="00824BE6">
      <w:pPr>
        <w:jc w:val="both"/>
        <w:rPr>
          <w:rFonts w:ascii="Arial" w:hAnsi="Arial" w:cs="Arial"/>
          <w:color w:val="000000"/>
        </w:rPr>
      </w:pPr>
      <w:r>
        <w:rPr>
          <w:rFonts w:ascii="Arial" w:hAnsi="Arial" w:cs="Arial"/>
          <w:i/>
          <w:iCs/>
          <w:color w:val="000000"/>
        </w:rPr>
        <w:t xml:space="preserve">Roma, 12 luglio 2024 - </w:t>
      </w:r>
      <w:r>
        <w:rPr>
          <w:rFonts w:ascii="Arial" w:hAnsi="Arial" w:cs="Arial"/>
          <w:color w:val="000000"/>
        </w:rPr>
        <w:t>Il Consiglio e la Fondazione nazionali dei commercialisti</w:t>
      </w:r>
      <w:r>
        <w:rPr>
          <w:rFonts w:ascii="Arial" w:hAnsi="Arial" w:cs="Arial"/>
          <w:i/>
          <w:iCs/>
          <w:color w:val="000000"/>
        </w:rPr>
        <w:t xml:space="preserve"> </w:t>
      </w:r>
      <w:r>
        <w:rPr>
          <w:rFonts w:ascii="Arial" w:hAnsi="Arial" w:cs="Arial"/>
          <w:color w:val="000000"/>
        </w:rPr>
        <w:t>hanno</w:t>
      </w:r>
      <w:r>
        <w:rPr>
          <w:rFonts w:ascii="Arial" w:hAnsi="Arial" w:cs="Arial"/>
          <w:i/>
          <w:iCs/>
          <w:color w:val="000000"/>
        </w:rPr>
        <w:t xml:space="preserve"> </w:t>
      </w:r>
      <w:r>
        <w:rPr>
          <w:rFonts w:ascii="Arial" w:hAnsi="Arial" w:cs="Arial"/>
          <w:color w:val="000000"/>
        </w:rPr>
        <w:t>pubblicato il documento “</w:t>
      </w:r>
      <w:r>
        <w:rPr>
          <w:rFonts w:ascii="Arial" w:hAnsi="Arial" w:cs="Arial"/>
          <w:b/>
          <w:bCs/>
          <w:color w:val="000000"/>
        </w:rPr>
        <w:t>Modello 231 e fattori ESG: l’importanza di una virtuosa connessione</w:t>
      </w:r>
      <w:r>
        <w:rPr>
          <w:rFonts w:ascii="Arial" w:hAnsi="Arial" w:cs="Arial"/>
          <w:color w:val="000000"/>
        </w:rPr>
        <w:t xml:space="preserve">”, elaborato dal “Gruppo di lavoro interdisciplinare ESG-231”, istituito nell’ambito delle Aree di delega “Sviluppo sostenibile (reporting, consulenza, formazione)” e “Compliance e modelli organizzativi delle imprese”, coordinate rispettivamente dai Consiglieri delegati </w:t>
      </w:r>
      <w:r>
        <w:rPr>
          <w:rFonts w:ascii="Arial" w:hAnsi="Arial" w:cs="Arial"/>
          <w:b/>
          <w:bCs/>
          <w:color w:val="000000"/>
        </w:rPr>
        <w:t>Gianluca Galletti</w:t>
      </w:r>
      <w:r>
        <w:rPr>
          <w:rFonts w:ascii="Arial" w:hAnsi="Arial" w:cs="Arial"/>
          <w:color w:val="000000"/>
        </w:rPr>
        <w:t xml:space="preserve">, </w:t>
      </w:r>
      <w:r>
        <w:rPr>
          <w:rFonts w:ascii="Arial" w:hAnsi="Arial" w:cs="Arial"/>
          <w:b/>
          <w:bCs/>
          <w:color w:val="000000"/>
        </w:rPr>
        <w:t>Fabrizio Escheri</w:t>
      </w:r>
      <w:r>
        <w:rPr>
          <w:rFonts w:ascii="Arial" w:hAnsi="Arial" w:cs="Arial"/>
          <w:color w:val="000000"/>
        </w:rPr>
        <w:t xml:space="preserve"> e </w:t>
      </w:r>
      <w:r>
        <w:rPr>
          <w:rFonts w:ascii="Arial" w:hAnsi="Arial" w:cs="Arial"/>
          <w:b/>
          <w:bCs/>
          <w:color w:val="000000"/>
        </w:rPr>
        <w:t>Eliana Quintili</w:t>
      </w:r>
      <w:r>
        <w:rPr>
          <w:rFonts w:ascii="Arial" w:hAnsi="Arial" w:cs="Arial"/>
          <w:color w:val="000000"/>
        </w:rPr>
        <w:t xml:space="preserve">. Il </w:t>
      </w:r>
      <w:r>
        <w:rPr>
          <w:rFonts w:ascii="Arial" w:hAnsi="Arial" w:cs="Arial"/>
        </w:rPr>
        <w:t>d</w:t>
      </w:r>
      <w:r>
        <w:rPr>
          <w:rFonts w:ascii="Arial" w:hAnsi="Arial" w:cs="Arial"/>
          <w:color w:val="000000"/>
        </w:rPr>
        <w:t xml:space="preserve">ocumento approfondisce le numerose relazioni intercorrenti tra le tematiche ESG e il framework normativo fornito dal </w:t>
      </w:r>
      <w:proofErr w:type="spellStart"/>
      <w:r>
        <w:rPr>
          <w:rFonts w:ascii="Arial" w:hAnsi="Arial" w:cs="Arial"/>
          <w:color w:val="000000"/>
        </w:rPr>
        <w:t>D.Lgs.</w:t>
      </w:r>
      <w:proofErr w:type="spellEnd"/>
      <w:r>
        <w:rPr>
          <w:rFonts w:ascii="Arial" w:hAnsi="Arial" w:cs="Arial"/>
          <w:color w:val="000000"/>
        </w:rPr>
        <w:t xml:space="preserve"> 231/2001, verificandone le </w:t>
      </w:r>
      <w:r>
        <w:rPr>
          <w:rFonts w:ascii="Arial" w:hAnsi="Arial" w:cs="Arial"/>
          <w:b/>
          <w:bCs/>
          <w:color w:val="000000"/>
        </w:rPr>
        <w:t>potenzialità</w:t>
      </w:r>
      <w:r>
        <w:rPr>
          <w:rFonts w:ascii="Arial" w:hAnsi="Arial" w:cs="Arial"/>
          <w:color w:val="000000"/>
        </w:rPr>
        <w:t xml:space="preserve"> in termini di </w:t>
      </w:r>
      <w:r>
        <w:rPr>
          <w:rFonts w:ascii="Arial" w:hAnsi="Arial" w:cs="Arial"/>
          <w:b/>
          <w:bCs/>
          <w:color w:val="000000"/>
        </w:rPr>
        <w:t>compliance integrata</w:t>
      </w:r>
      <w:r>
        <w:rPr>
          <w:rFonts w:ascii="Arial" w:hAnsi="Arial" w:cs="Arial"/>
          <w:color w:val="000000"/>
        </w:rPr>
        <w:t xml:space="preserve">, con l’obiettivo di fornire </w:t>
      </w:r>
      <w:r>
        <w:rPr>
          <w:rFonts w:ascii="Arial" w:hAnsi="Arial" w:cs="Arial"/>
          <w:b/>
          <w:bCs/>
          <w:color w:val="000000"/>
        </w:rPr>
        <w:t>strumenti operativi</w:t>
      </w:r>
      <w:r>
        <w:rPr>
          <w:rFonts w:ascii="Arial" w:hAnsi="Arial" w:cs="Arial"/>
          <w:color w:val="000000"/>
        </w:rPr>
        <w:t> ai professionisti che, sempre più numerosi, si approcciano alla consulenza nell’ambito 231 e in quello della sostenibilità.</w:t>
      </w:r>
    </w:p>
    <w:p w14:paraId="7C092DBA" w14:textId="77777777" w:rsidR="00824BE6" w:rsidRDefault="00824BE6" w:rsidP="00824BE6">
      <w:pPr>
        <w:jc w:val="both"/>
        <w:rPr>
          <w:rFonts w:ascii="Arial" w:hAnsi="Arial" w:cs="Arial"/>
        </w:rPr>
      </w:pPr>
    </w:p>
    <w:p w14:paraId="189D7FE1" w14:textId="77777777" w:rsidR="00824BE6" w:rsidRDefault="00824BE6" w:rsidP="00824BE6">
      <w:pPr>
        <w:jc w:val="both"/>
        <w:rPr>
          <w:rFonts w:ascii="Arial" w:hAnsi="Arial" w:cs="Arial"/>
        </w:rPr>
      </w:pPr>
      <w:r>
        <w:rPr>
          <w:rFonts w:ascii="Arial" w:hAnsi="Arial" w:cs="Arial"/>
          <w:color w:val="000000"/>
        </w:rPr>
        <w:t xml:space="preserve">“Le recenti riforme in materia di adeguati assetti organizzativi, l’introduzione del Codice della crisi d’impresa e dell’insolvenza e l’aumento dell’importanza delle strategie di sostenibilità in ambito ESG, promosse anche dalle normative europee (come la Direttiva 2022/2464/UE – CSRD) – scrivono nell’introduzione i tre consiglieri delegati - hanno messo in luce la necessità per le aziende di dotarsi di </w:t>
      </w:r>
      <w:r>
        <w:rPr>
          <w:rFonts w:ascii="Arial" w:hAnsi="Arial" w:cs="Arial"/>
          <w:b/>
          <w:bCs/>
          <w:color w:val="000000"/>
        </w:rPr>
        <w:t>strumenti di governance consapevole</w:t>
      </w:r>
      <w:r>
        <w:rPr>
          <w:rFonts w:ascii="Arial" w:hAnsi="Arial" w:cs="Arial"/>
          <w:color w:val="000000"/>
        </w:rPr>
        <w:t xml:space="preserve">. Questi strumenti sono cruciali per prevenire le crisi, gestire i rischi e orientare la gestione verso attività che generano valore non solo per gli azionisti, ma anche per gli stakeholder e la società nel suo complesso. In questo contesto, il modello di organizzazione, gestione e controllo previsto dal d.lgs. 231/2001 ha acquisito </w:t>
      </w:r>
      <w:r>
        <w:rPr>
          <w:rFonts w:ascii="Arial" w:hAnsi="Arial" w:cs="Arial"/>
          <w:b/>
          <w:bCs/>
          <w:color w:val="000000"/>
        </w:rPr>
        <w:t>nuova linfa e vitalità</w:t>
      </w:r>
      <w:r>
        <w:rPr>
          <w:rFonts w:ascii="Arial" w:hAnsi="Arial" w:cs="Arial"/>
          <w:color w:val="000000"/>
        </w:rPr>
        <w:t>”.</w:t>
      </w:r>
      <w:r>
        <w:rPr>
          <w:rFonts w:ascii="Arial" w:hAnsi="Arial" w:cs="Arial"/>
        </w:rPr>
        <w:t xml:space="preserve"> </w:t>
      </w:r>
    </w:p>
    <w:p w14:paraId="6D3FABF5" w14:textId="77777777" w:rsidR="00824BE6" w:rsidRDefault="00824BE6" w:rsidP="00824BE6">
      <w:pPr>
        <w:jc w:val="both"/>
        <w:rPr>
          <w:sz w:val="22"/>
          <w:szCs w:val="22"/>
        </w:rPr>
      </w:pPr>
    </w:p>
    <w:p w14:paraId="3EB4D24F" w14:textId="77777777" w:rsidR="00824BE6" w:rsidRDefault="00824BE6" w:rsidP="00824BE6">
      <w:pPr>
        <w:jc w:val="both"/>
        <w:rPr>
          <w:rFonts w:ascii="Arial" w:hAnsi="Arial" w:cs="Arial"/>
          <w:color w:val="000000"/>
        </w:rPr>
      </w:pPr>
      <w:r>
        <w:rPr>
          <w:rFonts w:ascii="Arial" w:hAnsi="Arial" w:cs="Arial"/>
          <w:color w:val="000000"/>
        </w:rPr>
        <w:t xml:space="preserve">Galletti, Escheri e Quintili sottolineano come “nonostante sia previsto da una normativa ultraventennale, il modello 231 </w:t>
      </w:r>
      <w:r>
        <w:rPr>
          <w:rFonts w:ascii="Arial" w:hAnsi="Arial" w:cs="Arial"/>
          <w:b/>
          <w:bCs/>
          <w:color w:val="000000"/>
        </w:rPr>
        <w:t>non è ancora ampiamente utilizzato</w:t>
      </w:r>
      <w:r>
        <w:rPr>
          <w:rFonts w:ascii="Arial" w:hAnsi="Arial" w:cs="Arial"/>
          <w:color w:val="000000"/>
        </w:rPr>
        <w:t xml:space="preserve">, specialmente nelle PMI. Sebbene una delle principali funzioni normativamente attribuite al modello sia quella della </w:t>
      </w:r>
      <w:r>
        <w:rPr>
          <w:rFonts w:ascii="Arial" w:hAnsi="Arial" w:cs="Arial"/>
          <w:b/>
          <w:bCs/>
          <w:color w:val="000000"/>
        </w:rPr>
        <w:t>prevenzione dei reati</w:t>
      </w:r>
      <w:r>
        <w:rPr>
          <w:rFonts w:ascii="Arial" w:hAnsi="Arial" w:cs="Arial"/>
          <w:color w:val="000000"/>
        </w:rPr>
        <w:t xml:space="preserve">, è innegabile che tale strumento possa rivestire un ruolo fondamentale anche per supportare le decisioni aziendali, orientandole verso attività che creano valore per gli stakeholder in un’ottica ESG. In termini di Governance, il modello 231 è uno strumento gestionale che, grazie alla tracciabilità dei processi e alla valutazione dei rischi e delle responsabilità, risponde pienamente alla necessità di creare strutture organizzative adeguate alla dimensione e complessità dell’azienda. Queste strutture non solo consentono di rilevare tempestivamente le crisi e garantire la continuità aziendale, ma favoriscono anche una corretta gestione dei rischi, al fine di assicurare la </w:t>
      </w:r>
      <w:r>
        <w:rPr>
          <w:rFonts w:ascii="Arial" w:hAnsi="Arial" w:cs="Arial"/>
          <w:b/>
          <w:bCs/>
          <w:color w:val="000000"/>
        </w:rPr>
        <w:t>sostenibilità e lo sviluppo delle imprese</w:t>
      </w:r>
      <w:r>
        <w:rPr>
          <w:rFonts w:ascii="Arial" w:hAnsi="Arial" w:cs="Arial"/>
          <w:color w:val="000000"/>
        </w:rPr>
        <w:t>”.</w:t>
      </w:r>
    </w:p>
    <w:p w14:paraId="04B4ADE3" w14:textId="1D514B06" w:rsidR="00A83ACB" w:rsidRDefault="00A83ACB" w:rsidP="00824BE6">
      <w:pPr>
        <w:jc w:val="center"/>
        <w:rPr>
          <w:rFonts w:ascii="Arial" w:hAnsi="Arial" w:cs="Arial"/>
          <w:sz w:val="23"/>
          <w:szCs w:val="23"/>
          <w:lang w:eastAsia="en-US"/>
          <w14:ligatures w14:val="standardContextual"/>
        </w:rPr>
      </w:pPr>
    </w:p>
    <w:sectPr w:rsidR="00A83ACB">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EB144" w14:textId="77777777" w:rsidR="00BC022B" w:rsidRDefault="00BC022B" w:rsidP="008A20F9">
      <w:r>
        <w:separator/>
      </w:r>
    </w:p>
  </w:endnote>
  <w:endnote w:type="continuationSeparator" w:id="0">
    <w:p w14:paraId="0BA1847A" w14:textId="77777777" w:rsidR="00BC022B" w:rsidRDefault="00BC022B" w:rsidP="008A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73E35" w14:textId="77777777" w:rsidR="00BC022B" w:rsidRDefault="00BC022B" w:rsidP="008A20F9">
      <w:r>
        <w:separator/>
      </w:r>
    </w:p>
  </w:footnote>
  <w:footnote w:type="continuationSeparator" w:id="0">
    <w:p w14:paraId="04CC2EC5" w14:textId="77777777" w:rsidR="00BC022B" w:rsidRDefault="00BC022B" w:rsidP="008A2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8C168" w14:textId="7377384B" w:rsidR="008A20F9" w:rsidRDefault="008A20F9" w:rsidP="008A20F9">
    <w:pPr>
      <w:pStyle w:val="Intestazione"/>
      <w:jc w:val="center"/>
    </w:pPr>
    <w:r>
      <w:rPr>
        <w:noProof/>
      </w:rPr>
      <w:drawing>
        <wp:inline distT="0" distB="0" distL="0" distR="0" wp14:anchorId="3FB781BE" wp14:editId="7DF93075">
          <wp:extent cx="2314575" cy="78613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861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F9"/>
    <w:rsid w:val="00036A1E"/>
    <w:rsid w:val="00052BAB"/>
    <w:rsid w:val="00073211"/>
    <w:rsid w:val="00081979"/>
    <w:rsid w:val="000A7CC9"/>
    <w:rsid w:val="000D27AC"/>
    <w:rsid w:val="00123117"/>
    <w:rsid w:val="001326DC"/>
    <w:rsid w:val="00193ECA"/>
    <w:rsid w:val="001F164F"/>
    <w:rsid w:val="002330A2"/>
    <w:rsid w:val="00246A14"/>
    <w:rsid w:val="002509B2"/>
    <w:rsid w:val="00251F37"/>
    <w:rsid w:val="002957A8"/>
    <w:rsid w:val="00325C28"/>
    <w:rsid w:val="00336F75"/>
    <w:rsid w:val="00383E28"/>
    <w:rsid w:val="003B396B"/>
    <w:rsid w:val="003F7323"/>
    <w:rsid w:val="00403777"/>
    <w:rsid w:val="00423A7B"/>
    <w:rsid w:val="00453CAC"/>
    <w:rsid w:val="00495D0D"/>
    <w:rsid w:val="00497CC7"/>
    <w:rsid w:val="004E125E"/>
    <w:rsid w:val="005043FB"/>
    <w:rsid w:val="00505E0A"/>
    <w:rsid w:val="00517A64"/>
    <w:rsid w:val="00524C36"/>
    <w:rsid w:val="00582A23"/>
    <w:rsid w:val="005839A6"/>
    <w:rsid w:val="005948DF"/>
    <w:rsid w:val="005A1CDB"/>
    <w:rsid w:val="005D113A"/>
    <w:rsid w:val="00616738"/>
    <w:rsid w:val="006359F9"/>
    <w:rsid w:val="006406DF"/>
    <w:rsid w:val="0067508F"/>
    <w:rsid w:val="006A3700"/>
    <w:rsid w:val="007353A0"/>
    <w:rsid w:val="007C0DA7"/>
    <w:rsid w:val="007D3A62"/>
    <w:rsid w:val="007F6A8D"/>
    <w:rsid w:val="0080260A"/>
    <w:rsid w:val="00824BE6"/>
    <w:rsid w:val="008A20F9"/>
    <w:rsid w:val="008B36DC"/>
    <w:rsid w:val="008E6D2A"/>
    <w:rsid w:val="00911316"/>
    <w:rsid w:val="00920E92"/>
    <w:rsid w:val="009B029E"/>
    <w:rsid w:val="009B69D9"/>
    <w:rsid w:val="009D653E"/>
    <w:rsid w:val="009D7B64"/>
    <w:rsid w:val="009D7DF7"/>
    <w:rsid w:val="009E7612"/>
    <w:rsid w:val="00A02CDA"/>
    <w:rsid w:val="00A21A98"/>
    <w:rsid w:val="00A27EC8"/>
    <w:rsid w:val="00A83ACB"/>
    <w:rsid w:val="00A87349"/>
    <w:rsid w:val="00A961CD"/>
    <w:rsid w:val="00AD683B"/>
    <w:rsid w:val="00B81758"/>
    <w:rsid w:val="00BC022B"/>
    <w:rsid w:val="00BE6B22"/>
    <w:rsid w:val="00C32D04"/>
    <w:rsid w:val="00C653DB"/>
    <w:rsid w:val="00C8258D"/>
    <w:rsid w:val="00C93E34"/>
    <w:rsid w:val="00CC5721"/>
    <w:rsid w:val="00D52088"/>
    <w:rsid w:val="00DC7953"/>
    <w:rsid w:val="00E01B44"/>
    <w:rsid w:val="00E73941"/>
    <w:rsid w:val="00E8677B"/>
    <w:rsid w:val="00E926E5"/>
    <w:rsid w:val="00EC353A"/>
    <w:rsid w:val="00EE4E51"/>
    <w:rsid w:val="00EE76A6"/>
    <w:rsid w:val="00EF333C"/>
    <w:rsid w:val="00EF7264"/>
    <w:rsid w:val="00F01297"/>
    <w:rsid w:val="00F72001"/>
    <w:rsid w:val="00F94166"/>
    <w:rsid w:val="00FB2B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EAA4"/>
  <w15:chartTrackingRefBased/>
  <w15:docId w15:val="{736153C9-E62D-42C8-85B8-9DF4C538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C36"/>
    <w:pPr>
      <w:spacing w:after="0" w:line="240" w:lineRule="auto"/>
    </w:pPr>
    <w:rPr>
      <w:rFonts w:ascii="Aptos" w:hAnsi="Aptos" w:cs="Aptos"/>
      <w:kern w:val="0"/>
      <w:lang w:eastAsia="it-IT"/>
      <w14:ligatures w14:val="none"/>
    </w:rPr>
  </w:style>
  <w:style w:type="paragraph" w:styleId="Titolo1">
    <w:name w:val="heading 1"/>
    <w:basedOn w:val="Normale"/>
    <w:next w:val="Normale"/>
    <w:link w:val="Titolo1Carattere"/>
    <w:uiPriority w:val="9"/>
    <w:qFormat/>
    <w:rsid w:val="006359F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6359F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6359F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6359F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6359F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6359F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6359F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6359F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6359F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59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359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59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59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59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59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59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59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59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59F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6359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59F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6359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59F9"/>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6359F9"/>
    <w:rPr>
      <w:i/>
      <w:iCs/>
      <w:color w:val="404040" w:themeColor="text1" w:themeTint="BF"/>
    </w:rPr>
  </w:style>
  <w:style w:type="paragraph" w:styleId="Paragrafoelenco">
    <w:name w:val="List Paragraph"/>
    <w:basedOn w:val="Normale"/>
    <w:uiPriority w:val="34"/>
    <w:qFormat/>
    <w:rsid w:val="006359F9"/>
    <w:pPr>
      <w:spacing w:after="160" w:line="278" w:lineRule="auto"/>
      <w:ind w:left="720"/>
      <w:contextualSpacing/>
    </w:pPr>
    <w:rPr>
      <w:rFonts w:ascii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6359F9"/>
    <w:rPr>
      <w:i/>
      <w:iCs/>
      <w:color w:val="0F4761" w:themeColor="accent1" w:themeShade="BF"/>
    </w:rPr>
  </w:style>
  <w:style w:type="paragraph" w:styleId="Citazioneintensa">
    <w:name w:val="Intense Quote"/>
    <w:basedOn w:val="Normale"/>
    <w:next w:val="Normale"/>
    <w:link w:val="CitazioneintensaCarattere"/>
    <w:uiPriority w:val="30"/>
    <w:qFormat/>
    <w:rsid w:val="006359F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6359F9"/>
    <w:rPr>
      <w:i/>
      <w:iCs/>
      <w:color w:val="0F4761" w:themeColor="accent1" w:themeShade="BF"/>
    </w:rPr>
  </w:style>
  <w:style w:type="character" w:styleId="Riferimentointenso">
    <w:name w:val="Intense Reference"/>
    <w:basedOn w:val="Carpredefinitoparagrafo"/>
    <w:uiPriority w:val="32"/>
    <w:qFormat/>
    <w:rsid w:val="006359F9"/>
    <w:rPr>
      <w:b/>
      <w:bCs/>
      <w:smallCaps/>
      <w:color w:val="0F4761" w:themeColor="accent1" w:themeShade="BF"/>
      <w:spacing w:val="5"/>
    </w:rPr>
  </w:style>
  <w:style w:type="character" w:styleId="Enfasigrassetto">
    <w:name w:val="Strong"/>
    <w:basedOn w:val="Carpredefinitoparagrafo"/>
    <w:uiPriority w:val="22"/>
    <w:qFormat/>
    <w:rsid w:val="00EC353A"/>
    <w:rPr>
      <w:b/>
      <w:bCs/>
    </w:rPr>
  </w:style>
  <w:style w:type="character" w:styleId="Enfasicorsivo">
    <w:name w:val="Emphasis"/>
    <w:basedOn w:val="Carpredefinitoparagrafo"/>
    <w:uiPriority w:val="20"/>
    <w:qFormat/>
    <w:rsid w:val="00EC353A"/>
    <w:rPr>
      <w:i/>
      <w:iCs/>
    </w:rPr>
  </w:style>
  <w:style w:type="paragraph" w:styleId="NormaleWeb">
    <w:name w:val="Normal (Web)"/>
    <w:basedOn w:val="Normale"/>
    <w:uiPriority w:val="99"/>
    <w:unhideWhenUsed/>
    <w:rsid w:val="00EC353A"/>
    <w:pPr>
      <w:spacing w:before="100" w:beforeAutospacing="1" w:after="100" w:afterAutospacing="1"/>
    </w:pPr>
    <w:rPr>
      <w:rFonts w:ascii="Times New Roman" w:eastAsia="Times New Roman" w:hAnsi="Times New Roman" w:cs="Times New Roman"/>
    </w:rPr>
  </w:style>
  <w:style w:type="paragraph" w:styleId="Intestazione">
    <w:name w:val="header"/>
    <w:basedOn w:val="Normale"/>
    <w:link w:val="IntestazioneCarattere"/>
    <w:uiPriority w:val="99"/>
    <w:unhideWhenUsed/>
    <w:rsid w:val="008A20F9"/>
    <w:pPr>
      <w:tabs>
        <w:tab w:val="center" w:pos="4819"/>
        <w:tab w:val="right" w:pos="9638"/>
      </w:tabs>
    </w:pPr>
    <w:rPr>
      <w:rFonts w:ascii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8A20F9"/>
  </w:style>
  <w:style w:type="paragraph" w:styleId="Pidipagina">
    <w:name w:val="footer"/>
    <w:basedOn w:val="Normale"/>
    <w:link w:val="PidipaginaCarattere"/>
    <w:uiPriority w:val="99"/>
    <w:unhideWhenUsed/>
    <w:rsid w:val="008A20F9"/>
    <w:pPr>
      <w:tabs>
        <w:tab w:val="center" w:pos="4819"/>
        <w:tab w:val="right" w:pos="9638"/>
      </w:tabs>
    </w:pPr>
  </w:style>
  <w:style w:type="character" w:customStyle="1" w:styleId="PidipaginaCarattere">
    <w:name w:val="Piè di pagina Carattere"/>
    <w:basedOn w:val="Carpredefinitoparagrafo"/>
    <w:link w:val="Pidipagina"/>
    <w:uiPriority w:val="99"/>
    <w:rsid w:val="008A20F9"/>
  </w:style>
  <w:style w:type="paragraph" w:customStyle="1" w:styleId="xmsonormal">
    <w:name w:val="x_msonormal"/>
    <w:basedOn w:val="Normale"/>
    <w:rsid w:val="00A83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358757">
      <w:bodyDiv w:val="1"/>
      <w:marLeft w:val="0"/>
      <w:marRight w:val="0"/>
      <w:marTop w:val="0"/>
      <w:marBottom w:val="0"/>
      <w:divBdr>
        <w:top w:val="none" w:sz="0" w:space="0" w:color="auto"/>
        <w:left w:val="none" w:sz="0" w:space="0" w:color="auto"/>
        <w:bottom w:val="none" w:sz="0" w:space="0" w:color="auto"/>
        <w:right w:val="none" w:sz="0" w:space="0" w:color="auto"/>
      </w:divBdr>
    </w:div>
    <w:div w:id="383452017">
      <w:bodyDiv w:val="1"/>
      <w:marLeft w:val="0"/>
      <w:marRight w:val="0"/>
      <w:marTop w:val="0"/>
      <w:marBottom w:val="0"/>
      <w:divBdr>
        <w:top w:val="none" w:sz="0" w:space="0" w:color="auto"/>
        <w:left w:val="none" w:sz="0" w:space="0" w:color="auto"/>
        <w:bottom w:val="none" w:sz="0" w:space="0" w:color="auto"/>
        <w:right w:val="none" w:sz="0" w:space="0" w:color="auto"/>
      </w:divBdr>
    </w:div>
    <w:div w:id="754286465">
      <w:bodyDiv w:val="1"/>
      <w:marLeft w:val="0"/>
      <w:marRight w:val="0"/>
      <w:marTop w:val="0"/>
      <w:marBottom w:val="0"/>
      <w:divBdr>
        <w:top w:val="none" w:sz="0" w:space="0" w:color="auto"/>
        <w:left w:val="none" w:sz="0" w:space="0" w:color="auto"/>
        <w:bottom w:val="none" w:sz="0" w:space="0" w:color="auto"/>
        <w:right w:val="none" w:sz="0" w:space="0" w:color="auto"/>
      </w:divBdr>
    </w:div>
    <w:div w:id="1043604278">
      <w:bodyDiv w:val="1"/>
      <w:marLeft w:val="0"/>
      <w:marRight w:val="0"/>
      <w:marTop w:val="0"/>
      <w:marBottom w:val="0"/>
      <w:divBdr>
        <w:top w:val="none" w:sz="0" w:space="0" w:color="auto"/>
        <w:left w:val="none" w:sz="0" w:space="0" w:color="auto"/>
        <w:bottom w:val="none" w:sz="0" w:space="0" w:color="auto"/>
        <w:right w:val="none" w:sz="0" w:space="0" w:color="auto"/>
      </w:divBdr>
    </w:div>
    <w:div w:id="1125926287">
      <w:bodyDiv w:val="1"/>
      <w:marLeft w:val="0"/>
      <w:marRight w:val="0"/>
      <w:marTop w:val="0"/>
      <w:marBottom w:val="0"/>
      <w:divBdr>
        <w:top w:val="none" w:sz="0" w:space="0" w:color="auto"/>
        <w:left w:val="none" w:sz="0" w:space="0" w:color="auto"/>
        <w:bottom w:val="none" w:sz="0" w:space="0" w:color="auto"/>
        <w:right w:val="none" w:sz="0" w:space="0" w:color="auto"/>
      </w:divBdr>
    </w:div>
    <w:div w:id="1178272628">
      <w:bodyDiv w:val="1"/>
      <w:marLeft w:val="0"/>
      <w:marRight w:val="0"/>
      <w:marTop w:val="0"/>
      <w:marBottom w:val="0"/>
      <w:divBdr>
        <w:top w:val="none" w:sz="0" w:space="0" w:color="auto"/>
        <w:left w:val="none" w:sz="0" w:space="0" w:color="auto"/>
        <w:bottom w:val="none" w:sz="0" w:space="0" w:color="auto"/>
        <w:right w:val="none" w:sz="0" w:space="0" w:color="auto"/>
      </w:divBdr>
    </w:div>
    <w:div w:id="1494250426">
      <w:bodyDiv w:val="1"/>
      <w:marLeft w:val="0"/>
      <w:marRight w:val="0"/>
      <w:marTop w:val="0"/>
      <w:marBottom w:val="0"/>
      <w:divBdr>
        <w:top w:val="none" w:sz="0" w:space="0" w:color="auto"/>
        <w:left w:val="none" w:sz="0" w:space="0" w:color="auto"/>
        <w:bottom w:val="none" w:sz="0" w:space="0" w:color="auto"/>
        <w:right w:val="none" w:sz="0" w:space="0" w:color="auto"/>
      </w:divBdr>
    </w:div>
    <w:div w:id="1738895286">
      <w:bodyDiv w:val="1"/>
      <w:marLeft w:val="0"/>
      <w:marRight w:val="0"/>
      <w:marTop w:val="0"/>
      <w:marBottom w:val="0"/>
      <w:divBdr>
        <w:top w:val="none" w:sz="0" w:space="0" w:color="auto"/>
        <w:left w:val="none" w:sz="0" w:space="0" w:color="auto"/>
        <w:bottom w:val="none" w:sz="0" w:space="0" w:color="auto"/>
        <w:right w:val="none" w:sz="0" w:space="0" w:color="auto"/>
      </w:divBdr>
    </w:div>
    <w:div w:id="1919707033">
      <w:bodyDiv w:val="1"/>
      <w:marLeft w:val="0"/>
      <w:marRight w:val="0"/>
      <w:marTop w:val="0"/>
      <w:marBottom w:val="0"/>
      <w:divBdr>
        <w:top w:val="none" w:sz="0" w:space="0" w:color="auto"/>
        <w:left w:val="none" w:sz="0" w:space="0" w:color="auto"/>
        <w:bottom w:val="none" w:sz="0" w:space="0" w:color="auto"/>
        <w:right w:val="none" w:sz="0" w:space="0" w:color="auto"/>
      </w:divBdr>
    </w:div>
    <w:div w:id="1957128985">
      <w:bodyDiv w:val="1"/>
      <w:marLeft w:val="0"/>
      <w:marRight w:val="0"/>
      <w:marTop w:val="0"/>
      <w:marBottom w:val="0"/>
      <w:divBdr>
        <w:top w:val="none" w:sz="0" w:space="0" w:color="auto"/>
        <w:left w:val="none" w:sz="0" w:space="0" w:color="auto"/>
        <w:bottom w:val="none" w:sz="0" w:space="0" w:color="auto"/>
        <w:right w:val="none" w:sz="0" w:space="0" w:color="auto"/>
      </w:divBdr>
    </w:div>
    <w:div w:id="20933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441</Words>
  <Characters>2517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47</cp:revision>
  <dcterms:created xsi:type="dcterms:W3CDTF">2024-07-08T07:40:00Z</dcterms:created>
  <dcterms:modified xsi:type="dcterms:W3CDTF">2024-07-15T07:39:00Z</dcterms:modified>
</cp:coreProperties>
</file>