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59DA" w14:textId="77777777" w:rsidR="00A0201D" w:rsidRDefault="00A0201D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3D8B0449" w14:textId="77777777" w:rsidR="004B3618" w:rsidRDefault="004B3618" w:rsidP="00A020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14:ligatures w14:val="none"/>
        </w:rPr>
      </w:pPr>
    </w:p>
    <w:p w14:paraId="5A2C727C" w14:textId="7C42FFF9" w:rsidR="00A0201D" w:rsidRPr="00313EEA" w:rsidRDefault="00A0201D" w:rsidP="00313E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3"/>
          <w:szCs w:val="23"/>
          <w:u w:val="single"/>
          <w14:ligatures w14:val="none"/>
        </w:rPr>
      </w:pPr>
      <w:r w:rsidRPr="00313EE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14:ligatures w14:val="none"/>
        </w:rPr>
        <w:t>C</w:t>
      </w:r>
      <w:r w:rsidR="00313EEA" w:rsidRPr="00313EEA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14:ligatures w14:val="none"/>
        </w:rPr>
        <w:t>omunicato stampa</w:t>
      </w:r>
    </w:p>
    <w:p w14:paraId="7630E28C" w14:textId="77777777" w:rsidR="00A0201D" w:rsidRPr="00313EEA" w:rsidRDefault="00A0201D" w:rsidP="00313EEA">
      <w:pPr>
        <w:spacing w:after="0" w:line="240" w:lineRule="auto"/>
        <w:jc w:val="center"/>
        <w:rPr>
          <w:rFonts w:ascii="Aptos" w:eastAsia="Times New Roman" w:hAnsi="Aptos" w:cs="Aptos"/>
          <w:b/>
          <w:bCs/>
          <w:sz w:val="23"/>
          <w:szCs w:val="23"/>
          <w:u w:val="single"/>
          <w14:ligatures w14:val="none"/>
        </w:rPr>
      </w:pPr>
    </w:p>
    <w:p w14:paraId="5019DE1E" w14:textId="19D50777" w:rsidR="00F66666" w:rsidRDefault="00EA4FBE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CORRETTIVO FISCALE, </w:t>
      </w:r>
      <w:r w:rsidR="00F66666" w:rsidRPr="00313EEA">
        <w:rPr>
          <w:rFonts w:ascii="Arial" w:hAnsi="Arial" w:cs="Arial"/>
          <w:b/>
          <w:bCs/>
          <w:color w:val="000000"/>
          <w:sz w:val="23"/>
          <w:szCs w:val="23"/>
        </w:rPr>
        <w:t>COMMERCIALISTI</w:t>
      </w:r>
      <w:r w:rsidR="00063A98" w:rsidRPr="00313EEA">
        <w:rPr>
          <w:rFonts w:ascii="Arial" w:hAnsi="Arial" w:cs="Arial"/>
          <w:b/>
          <w:bCs/>
          <w:color w:val="000000"/>
          <w:sz w:val="23"/>
          <w:szCs w:val="23"/>
        </w:rPr>
        <w:t>:</w:t>
      </w:r>
      <w:r w:rsidR="00F6666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473862" w:rsidRPr="00313EEA">
        <w:rPr>
          <w:rFonts w:ascii="Arial" w:hAnsi="Arial" w:cs="Arial"/>
          <w:b/>
          <w:bCs/>
          <w:color w:val="000000"/>
          <w:sz w:val="23"/>
          <w:szCs w:val="23"/>
        </w:rPr>
        <w:t>RIMODULARE GLI</w:t>
      </w:r>
      <w:r w:rsidR="00201F2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INCENTIVI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201F2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PER </w:t>
      </w:r>
      <w:r w:rsidR="00473862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CHI ADERISCE 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>A CONCORDATO PREVENTIVO E COOPERATIVE COMPLIANCE</w:t>
      </w:r>
    </w:p>
    <w:p w14:paraId="0B37A572" w14:textId="77777777" w:rsidR="00313EEA" w:rsidRPr="00313EEA" w:rsidRDefault="00313EEA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96C3223" w14:textId="70D2AB34" w:rsidR="00161BA4" w:rsidRDefault="00EA4FBE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>I</w:t>
      </w:r>
      <w:r w:rsidR="00161BA4" w:rsidRPr="00313EEA">
        <w:rPr>
          <w:rFonts w:ascii="Arial" w:hAnsi="Arial" w:cs="Arial"/>
          <w:b/>
          <w:bCs/>
          <w:color w:val="000000"/>
          <w:sz w:val="23"/>
          <w:szCs w:val="23"/>
        </w:rPr>
        <w:t>l Consiglio nazionale d</w:t>
      </w:r>
      <w:r w:rsidR="00F528EF" w:rsidRPr="00313EEA">
        <w:rPr>
          <w:rFonts w:ascii="Arial" w:hAnsi="Arial" w:cs="Arial"/>
          <w:b/>
          <w:bCs/>
          <w:color w:val="000000"/>
          <w:sz w:val="23"/>
          <w:szCs w:val="23"/>
        </w:rPr>
        <w:t>ella</w:t>
      </w:r>
      <w:r w:rsidR="00161BA4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categoria, </w:t>
      </w:r>
      <w:r w:rsidR="00F528EF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domani </w:t>
      </w:r>
      <w:r w:rsidR="00161BA4" w:rsidRPr="00313EEA">
        <w:rPr>
          <w:rFonts w:ascii="Arial" w:hAnsi="Arial" w:cs="Arial"/>
          <w:b/>
          <w:bCs/>
          <w:color w:val="000000"/>
          <w:sz w:val="23"/>
          <w:szCs w:val="23"/>
        </w:rPr>
        <w:t>in audizione parlamentare,</w:t>
      </w:r>
      <w:r w:rsidR="00201F2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propone</w:t>
      </w:r>
      <w:r w:rsidR="00161BA4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313EEA">
        <w:rPr>
          <w:rFonts w:ascii="Arial" w:hAnsi="Arial" w:cs="Arial"/>
          <w:b/>
          <w:bCs/>
          <w:color w:val="000000"/>
          <w:sz w:val="23"/>
          <w:szCs w:val="23"/>
        </w:rPr>
        <w:t>flat</w:t>
      </w:r>
      <w:proofErr w:type="spellEnd"/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tax incrementale </w:t>
      </w:r>
      <w:r w:rsidR="00201F2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e copertura anche ai fini IVA dagli accertamenti presuntivi 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>per il concordato e la riduzione dei termini di accertamento per l’adempimento collaborativo</w:t>
      </w:r>
      <w:r w:rsidR="00313EEA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35B8C278" w14:textId="77777777" w:rsidR="00313EEA" w:rsidRPr="00313EEA" w:rsidRDefault="00313EEA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DED8A14" w14:textId="61A4BE18" w:rsidR="00F849C3" w:rsidRDefault="00161BA4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Sugli </w:t>
      </w:r>
      <w:r w:rsidR="00F849C3" w:rsidRPr="00313EEA">
        <w:rPr>
          <w:rFonts w:ascii="Arial" w:hAnsi="Arial" w:cs="Arial"/>
          <w:b/>
          <w:bCs/>
          <w:color w:val="000000"/>
          <w:sz w:val="23"/>
          <w:szCs w:val="23"/>
        </w:rPr>
        <w:t>adempimenti</w:t>
      </w:r>
      <w:r w:rsidR="00EA4FBE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fiscali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chiest</w:t>
      </w:r>
      <w:r w:rsidR="00063A98" w:rsidRPr="00313EEA">
        <w:rPr>
          <w:rFonts w:ascii="Arial" w:hAnsi="Arial" w:cs="Arial"/>
          <w:b/>
          <w:bCs/>
          <w:color w:val="000000"/>
          <w:sz w:val="23"/>
          <w:szCs w:val="23"/>
        </w:rPr>
        <w:t>a la messa a regime per i titolari di partita IVA del termine del 31 luglio per i versamenti risultanti dalle dichiarazioni</w:t>
      </w:r>
      <w:r w:rsidR="00201F2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e l’ampliamento a 60 giorni del termine per la regolarizzazione degli avvisi bonari</w:t>
      </w:r>
    </w:p>
    <w:p w14:paraId="5D10BD4C" w14:textId="77777777" w:rsidR="00313EEA" w:rsidRPr="00313EEA" w:rsidRDefault="00313EEA" w:rsidP="00313EEA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CC2B0DE" w14:textId="504BBC18" w:rsidR="003C53CB" w:rsidRDefault="00F66666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313EEA">
        <w:rPr>
          <w:rFonts w:ascii="Arial" w:hAnsi="Arial" w:cs="Arial"/>
          <w:i/>
          <w:sz w:val="23"/>
          <w:szCs w:val="23"/>
        </w:rPr>
        <w:t xml:space="preserve">Roma, </w:t>
      </w:r>
      <w:r w:rsidR="00473862" w:rsidRPr="00313EEA">
        <w:rPr>
          <w:rFonts w:ascii="Arial" w:hAnsi="Arial" w:cs="Arial"/>
          <w:i/>
          <w:sz w:val="23"/>
          <w:szCs w:val="23"/>
        </w:rPr>
        <w:t>9</w:t>
      </w:r>
      <w:r w:rsidRPr="00313EEA">
        <w:rPr>
          <w:rFonts w:ascii="Arial" w:hAnsi="Arial" w:cs="Arial"/>
          <w:i/>
          <w:sz w:val="23"/>
          <w:szCs w:val="23"/>
        </w:rPr>
        <w:t xml:space="preserve"> </w:t>
      </w:r>
      <w:r w:rsidR="00473862" w:rsidRPr="00313EEA">
        <w:rPr>
          <w:rFonts w:ascii="Arial" w:hAnsi="Arial" w:cs="Arial"/>
          <w:i/>
          <w:sz w:val="23"/>
          <w:szCs w:val="23"/>
        </w:rPr>
        <w:t>lu</w:t>
      </w:r>
      <w:r w:rsidRPr="00313EEA">
        <w:rPr>
          <w:rFonts w:ascii="Arial" w:hAnsi="Arial" w:cs="Arial"/>
          <w:i/>
          <w:sz w:val="23"/>
          <w:szCs w:val="23"/>
        </w:rPr>
        <w:t>g</w:t>
      </w:r>
      <w:r w:rsidR="00473862" w:rsidRPr="00313EEA">
        <w:rPr>
          <w:rFonts w:ascii="Arial" w:hAnsi="Arial" w:cs="Arial"/>
          <w:i/>
          <w:sz w:val="23"/>
          <w:szCs w:val="23"/>
        </w:rPr>
        <w:t>li</w:t>
      </w:r>
      <w:r w:rsidRPr="00313EEA">
        <w:rPr>
          <w:rFonts w:ascii="Arial" w:hAnsi="Arial" w:cs="Arial"/>
          <w:i/>
          <w:sz w:val="23"/>
          <w:szCs w:val="23"/>
        </w:rPr>
        <w:t>o 2024</w:t>
      </w:r>
      <w:r w:rsidRPr="00313EEA">
        <w:rPr>
          <w:rFonts w:ascii="Arial" w:hAnsi="Arial" w:cs="Arial"/>
          <w:sz w:val="23"/>
          <w:szCs w:val="23"/>
        </w:rPr>
        <w:t xml:space="preserve"> – </w:t>
      </w:r>
      <w:r w:rsidR="00473862" w:rsidRPr="00313EEA">
        <w:rPr>
          <w:rFonts w:ascii="Arial" w:hAnsi="Arial" w:cs="Arial"/>
          <w:sz w:val="23"/>
          <w:szCs w:val="23"/>
        </w:rPr>
        <w:t xml:space="preserve">“Per </w:t>
      </w:r>
      <w:r w:rsidR="00473862" w:rsidRPr="00313EEA">
        <w:rPr>
          <w:rFonts w:ascii="Arial" w:hAnsi="Arial" w:cs="Arial"/>
          <w:b/>
          <w:sz w:val="23"/>
          <w:szCs w:val="23"/>
        </w:rPr>
        <w:t>incentivare l’adesione</w:t>
      </w:r>
      <w:r w:rsidR="00473862" w:rsidRPr="00313EEA">
        <w:rPr>
          <w:rFonts w:ascii="Arial" w:hAnsi="Arial" w:cs="Arial"/>
          <w:sz w:val="23"/>
          <w:szCs w:val="23"/>
        </w:rPr>
        <w:t xml:space="preserve"> dei contribuenti </w:t>
      </w:r>
      <w:r w:rsidR="00473862" w:rsidRPr="00313EEA">
        <w:rPr>
          <w:rFonts w:ascii="Arial" w:hAnsi="Arial" w:cs="Arial"/>
          <w:b/>
          <w:sz w:val="23"/>
          <w:szCs w:val="23"/>
        </w:rPr>
        <w:t>a</w:t>
      </w:r>
      <w:r w:rsidR="006D07BF" w:rsidRPr="00313EEA">
        <w:rPr>
          <w:rFonts w:ascii="Arial" w:hAnsi="Arial" w:cs="Arial"/>
          <w:sz w:val="23"/>
          <w:szCs w:val="23"/>
        </w:rPr>
        <w:t xml:space="preserve"> </w:t>
      </w:r>
      <w:r w:rsidR="006D07BF" w:rsidRPr="00313EEA">
        <w:rPr>
          <w:rFonts w:ascii="Arial" w:hAnsi="Arial" w:cs="Arial"/>
          <w:b/>
          <w:sz w:val="23"/>
          <w:szCs w:val="23"/>
        </w:rPr>
        <w:t>concordato preventivo</w:t>
      </w:r>
      <w:r w:rsidR="006D07BF" w:rsidRPr="00313EEA">
        <w:rPr>
          <w:rFonts w:ascii="Arial" w:hAnsi="Arial" w:cs="Arial"/>
          <w:sz w:val="23"/>
          <w:szCs w:val="23"/>
        </w:rPr>
        <w:t xml:space="preserve"> e </w:t>
      </w:r>
      <w:r w:rsidR="006D07BF" w:rsidRPr="00313EEA">
        <w:rPr>
          <w:rFonts w:ascii="Arial" w:hAnsi="Arial" w:cs="Arial"/>
          <w:b/>
          <w:i/>
          <w:sz w:val="23"/>
          <w:szCs w:val="23"/>
        </w:rPr>
        <w:t>cooperative compliance</w:t>
      </w:r>
      <w:r w:rsidR="006D07BF" w:rsidRPr="00313EEA">
        <w:rPr>
          <w:rFonts w:ascii="Arial" w:hAnsi="Arial" w:cs="Arial"/>
          <w:sz w:val="23"/>
          <w:szCs w:val="23"/>
        </w:rPr>
        <w:t xml:space="preserve"> </w:t>
      </w:r>
      <w:r w:rsidR="00473862" w:rsidRPr="00313EEA">
        <w:rPr>
          <w:rFonts w:ascii="Arial" w:hAnsi="Arial" w:cs="Arial"/>
          <w:sz w:val="23"/>
          <w:szCs w:val="23"/>
        </w:rPr>
        <w:t xml:space="preserve">occorrono </w:t>
      </w:r>
      <w:r w:rsidR="00E22B1F" w:rsidRPr="00313EEA">
        <w:rPr>
          <w:rFonts w:ascii="Arial" w:hAnsi="Arial" w:cs="Arial"/>
          <w:sz w:val="23"/>
          <w:szCs w:val="23"/>
        </w:rPr>
        <w:t xml:space="preserve">ulteriori </w:t>
      </w:r>
      <w:r w:rsidR="00473862" w:rsidRPr="00313EEA">
        <w:rPr>
          <w:rFonts w:ascii="Arial" w:hAnsi="Arial" w:cs="Arial"/>
          <w:b/>
          <w:sz w:val="23"/>
          <w:szCs w:val="23"/>
        </w:rPr>
        <w:t xml:space="preserve">misure che diano certezza </w:t>
      </w:r>
      <w:r w:rsidR="006D07BF" w:rsidRPr="00313EEA">
        <w:rPr>
          <w:rFonts w:ascii="Arial" w:hAnsi="Arial" w:cs="Arial"/>
          <w:b/>
          <w:sz w:val="23"/>
          <w:szCs w:val="23"/>
        </w:rPr>
        <w:t>sui benefici</w:t>
      </w:r>
      <w:r w:rsidR="006D07BF" w:rsidRPr="00313EEA">
        <w:rPr>
          <w:rFonts w:ascii="Arial" w:hAnsi="Arial" w:cs="Arial"/>
          <w:sz w:val="23"/>
          <w:szCs w:val="23"/>
        </w:rPr>
        <w:t xml:space="preserve"> riconosciuti a chi decide di avvalersi di tali nuovi strumenti di </w:t>
      </w:r>
      <w:r w:rsidR="006D07BF" w:rsidRPr="00313EEA">
        <w:rPr>
          <w:rFonts w:ascii="Arial" w:hAnsi="Arial" w:cs="Arial"/>
          <w:i/>
          <w:sz w:val="23"/>
          <w:szCs w:val="23"/>
        </w:rPr>
        <w:t>compliance</w:t>
      </w:r>
      <w:r w:rsidR="00B709EA" w:rsidRPr="00313EEA">
        <w:rPr>
          <w:rFonts w:ascii="Arial" w:hAnsi="Arial" w:cs="Arial"/>
          <w:sz w:val="23"/>
          <w:szCs w:val="23"/>
        </w:rPr>
        <w:t xml:space="preserve">, fortemente voluti dalla riforma fiscale, che favoriscono l’interlocuzione preventiva tra contribuenti e amministrazione finanziaria </w:t>
      </w:r>
      <w:r w:rsidR="00C10913" w:rsidRPr="00313EEA">
        <w:rPr>
          <w:rFonts w:ascii="Arial" w:hAnsi="Arial" w:cs="Arial"/>
          <w:sz w:val="23"/>
          <w:szCs w:val="23"/>
        </w:rPr>
        <w:t xml:space="preserve">con l’obiettivo di </w:t>
      </w:r>
      <w:r w:rsidR="00B709EA" w:rsidRPr="00313EEA">
        <w:rPr>
          <w:rFonts w:ascii="Arial" w:hAnsi="Arial" w:cs="Arial"/>
          <w:sz w:val="23"/>
          <w:szCs w:val="23"/>
        </w:rPr>
        <w:t>ridurre</w:t>
      </w:r>
      <w:r w:rsidR="003C53CB" w:rsidRPr="00313EEA">
        <w:rPr>
          <w:rFonts w:ascii="Arial" w:hAnsi="Arial" w:cs="Arial"/>
          <w:sz w:val="23"/>
          <w:szCs w:val="23"/>
        </w:rPr>
        <w:t>, se non di</w:t>
      </w:r>
      <w:r w:rsidR="00B709EA" w:rsidRPr="00313EEA">
        <w:rPr>
          <w:rFonts w:ascii="Arial" w:hAnsi="Arial" w:cs="Arial"/>
          <w:sz w:val="23"/>
          <w:szCs w:val="23"/>
        </w:rPr>
        <w:t xml:space="preserve"> eliminare del tutto, i </w:t>
      </w:r>
      <w:r w:rsidR="00B709EA" w:rsidRPr="00313EEA">
        <w:rPr>
          <w:rFonts w:ascii="Arial" w:hAnsi="Arial" w:cs="Arial"/>
          <w:b/>
          <w:bCs/>
          <w:sz w:val="23"/>
          <w:szCs w:val="23"/>
        </w:rPr>
        <w:t xml:space="preserve">controlli </w:t>
      </w:r>
      <w:r w:rsidR="00B709EA" w:rsidRPr="00313EEA">
        <w:rPr>
          <w:rFonts w:ascii="Arial" w:hAnsi="Arial" w:cs="Arial"/>
          <w:b/>
          <w:bCs/>
          <w:i/>
          <w:sz w:val="23"/>
          <w:szCs w:val="23"/>
        </w:rPr>
        <w:t>ex post</w:t>
      </w:r>
      <w:r w:rsidR="00E22B1F" w:rsidRPr="00313EEA">
        <w:rPr>
          <w:rFonts w:ascii="Arial" w:hAnsi="Arial" w:cs="Arial"/>
          <w:sz w:val="23"/>
          <w:szCs w:val="23"/>
        </w:rPr>
        <w:t xml:space="preserve"> e di favorire la certezza del diritto </w:t>
      </w:r>
      <w:r w:rsidR="00B709EA" w:rsidRPr="00313EEA">
        <w:rPr>
          <w:rFonts w:ascii="Arial" w:hAnsi="Arial" w:cs="Arial"/>
          <w:sz w:val="23"/>
          <w:szCs w:val="23"/>
        </w:rPr>
        <w:t>”</w:t>
      </w:r>
      <w:r w:rsidR="00FA750E" w:rsidRPr="00313EEA">
        <w:rPr>
          <w:rFonts w:ascii="Arial" w:hAnsi="Arial" w:cs="Arial"/>
          <w:sz w:val="23"/>
          <w:szCs w:val="23"/>
        </w:rPr>
        <w:t>.</w:t>
      </w:r>
      <w:r w:rsidR="003C53CB" w:rsidRPr="00313EEA">
        <w:rPr>
          <w:rFonts w:ascii="Arial" w:hAnsi="Arial" w:cs="Arial"/>
          <w:sz w:val="23"/>
          <w:szCs w:val="23"/>
        </w:rPr>
        <w:t xml:space="preserve"> </w:t>
      </w:r>
      <w:r w:rsidR="00473862" w:rsidRPr="00313EEA">
        <w:rPr>
          <w:rFonts w:ascii="Arial" w:hAnsi="Arial" w:cs="Arial"/>
          <w:sz w:val="23"/>
          <w:szCs w:val="23"/>
        </w:rPr>
        <w:t xml:space="preserve">È quanto affermato da </w:t>
      </w:r>
      <w:r w:rsidR="003C53CB" w:rsidRPr="00313EEA">
        <w:rPr>
          <w:rFonts w:ascii="Arial" w:hAnsi="Arial" w:cs="Arial"/>
          <w:b/>
          <w:bCs/>
          <w:sz w:val="23"/>
          <w:szCs w:val="23"/>
        </w:rPr>
        <w:t>Salvatore Regalbuto</w:t>
      </w:r>
      <w:r w:rsidR="003C53CB" w:rsidRPr="00313EEA">
        <w:rPr>
          <w:rFonts w:ascii="Arial" w:hAnsi="Arial" w:cs="Arial"/>
          <w:sz w:val="23"/>
          <w:szCs w:val="23"/>
        </w:rPr>
        <w:t xml:space="preserve">, </w:t>
      </w:r>
      <w:r w:rsidR="00E22B1F" w:rsidRPr="00313EEA">
        <w:rPr>
          <w:rFonts w:ascii="Arial" w:hAnsi="Arial" w:cs="Arial"/>
          <w:sz w:val="23"/>
          <w:szCs w:val="23"/>
        </w:rPr>
        <w:t xml:space="preserve">Tesoriere nazionale </w:t>
      </w:r>
      <w:r w:rsidR="00F528EF" w:rsidRPr="00313EEA">
        <w:rPr>
          <w:rFonts w:ascii="Arial" w:hAnsi="Arial" w:cs="Arial"/>
          <w:sz w:val="23"/>
          <w:szCs w:val="23"/>
        </w:rPr>
        <w:t xml:space="preserve">dei commercialisti </w:t>
      </w:r>
      <w:r w:rsidR="00E22B1F" w:rsidRPr="00313EEA">
        <w:rPr>
          <w:rFonts w:ascii="Arial" w:hAnsi="Arial" w:cs="Arial"/>
          <w:sz w:val="23"/>
          <w:szCs w:val="23"/>
        </w:rPr>
        <w:t>con delega alla fiscalità</w:t>
      </w:r>
      <w:r w:rsidR="003C53CB" w:rsidRPr="00313EEA">
        <w:rPr>
          <w:rFonts w:ascii="Arial" w:hAnsi="Arial" w:cs="Arial"/>
          <w:sz w:val="23"/>
          <w:szCs w:val="23"/>
        </w:rPr>
        <w:t xml:space="preserve">, </w:t>
      </w:r>
      <w:r w:rsidR="00F528EF" w:rsidRPr="00313EEA">
        <w:rPr>
          <w:rFonts w:ascii="Arial" w:hAnsi="Arial" w:cs="Arial"/>
          <w:sz w:val="23"/>
          <w:szCs w:val="23"/>
        </w:rPr>
        <w:t xml:space="preserve">che domani sarà in audizione parlamentare sul correttivo fiscale assieme a </w:t>
      </w:r>
      <w:r w:rsidR="003C53CB" w:rsidRPr="00313EEA">
        <w:rPr>
          <w:rFonts w:ascii="Arial" w:hAnsi="Arial" w:cs="Arial"/>
          <w:b/>
          <w:bCs/>
          <w:sz w:val="23"/>
          <w:szCs w:val="23"/>
        </w:rPr>
        <w:t>Pasquale Saggese</w:t>
      </w:r>
      <w:r w:rsidR="003C53CB" w:rsidRPr="00313EEA">
        <w:rPr>
          <w:rFonts w:ascii="Arial" w:hAnsi="Arial" w:cs="Arial"/>
          <w:sz w:val="23"/>
          <w:szCs w:val="23"/>
        </w:rPr>
        <w:t>, Coordinatore della Fondazione nazionale di ricerca della categoria.</w:t>
      </w:r>
    </w:p>
    <w:p w14:paraId="3AB79CE6" w14:textId="77777777" w:rsidR="00313EEA" w:rsidRPr="00313EEA" w:rsidRDefault="00313EEA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14:paraId="4D1776FD" w14:textId="3F975AFB" w:rsidR="009F5FCB" w:rsidRDefault="003C53CB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313EEA">
        <w:rPr>
          <w:rFonts w:ascii="Arial" w:hAnsi="Arial" w:cs="Arial"/>
          <w:sz w:val="23"/>
          <w:szCs w:val="23"/>
        </w:rPr>
        <w:t xml:space="preserve">“Sul </w:t>
      </w:r>
      <w:r w:rsidRPr="00313EEA">
        <w:rPr>
          <w:rFonts w:ascii="Arial" w:hAnsi="Arial" w:cs="Arial"/>
          <w:b/>
          <w:sz w:val="23"/>
          <w:szCs w:val="23"/>
        </w:rPr>
        <w:t>concordato preventivo</w:t>
      </w:r>
      <w:r w:rsidRPr="00313EEA">
        <w:rPr>
          <w:rFonts w:ascii="Arial" w:hAnsi="Arial" w:cs="Arial"/>
          <w:sz w:val="23"/>
          <w:szCs w:val="23"/>
        </w:rPr>
        <w:t xml:space="preserve"> </w:t>
      </w:r>
      <w:r w:rsidR="00C72E9D" w:rsidRPr="00313EEA">
        <w:rPr>
          <w:rFonts w:ascii="Arial" w:hAnsi="Arial" w:cs="Arial"/>
          <w:sz w:val="23"/>
          <w:szCs w:val="23"/>
        </w:rPr>
        <w:t xml:space="preserve">– </w:t>
      </w:r>
      <w:r w:rsidR="00F528EF" w:rsidRPr="00313EEA">
        <w:rPr>
          <w:rFonts w:ascii="Arial" w:hAnsi="Arial" w:cs="Arial"/>
          <w:sz w:val="23"/>
          <w:szCs w:val="23"/>
        </w:rPr>
        <w:t>spiega</w:t>
      </w:r>
      <w:r w:rsidR="00473862" w:rsidRPr="00313EEA">
        <w:rPr>
          <w:rFonts w:ascii="Arial" w:hAnsi="Arial" w:cs="Arial"/>
          <w:sz w:val="23"/>
          <w:szCs w:val="23"/>
        </w:rPr>
        <w:t xml:space="preserve"> </w:t>
      </w:r>
      <w:r w:rsidRPr="00313EEA">
        <w:rPr>
          <w:rFonts w:ascii="Arial" w:hAnsi="Arial" w:cs="Arial"/>
          <w:b/>
          <w:sz w:val="23"/>
          <w:szCs w:val="23"/>
        </w:rPr>
        <w:t>Regalbuto</w:t>
      </w:r>
      <w:r w:rsidRPr="00313EEA">
        <w:rPr>
          <w:rFonts w:ascii="Arial" w:hAnsi="Arial" w:cs="Arial"/>
          <w:sz w:val="23"/>
          <w:szCs w:val="23"/>
        </w:rPr>
        <w:t xml:space="preserve"> </w:t>
      </w:r>
      <w:r w:rsidR="00C72E9D" w:rsidRPr="00313EEA">
        <w:rPr>
          <w:rFonts w:ascii="Arial" w:hAnsi="Arial" w:cs="Arial"/>
          <w:sz w:val="23"/>
          <w:szCs w:val="23"/>
        </w:rPr>
        <w:t xml:space="preserve">– </w:t>
      </w:r>
      <w:r w:rsidR="00F528EF" w:rsidRPr="00313EEA">
        <w:rPr>
          <w:rFonts w:ascii="Arial" w:hAnsi="Arial" w:cs="Arial"/>
          <w:sz w:val="23"/>
          <w:szCs w:val="23"/>
        </w:rPr>
        <w:t>proponiamo</w:t>
      </w:r>
      <w:r w:rsidRPr="00313EEA">
        <w:rPr>
          <w:rFonts w:ascii="Arial" w:hAnsi="Arial" w:cs="Arial"/>
          <w:sz w:val="23"/>
          <w:szCs w:val="23"/>
        </w:rPr>
        <w:t xml:space="preserve"> una </w:t>
      </w:r>
      <w:r w:rsidR="00F66666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tassazione </w:t>
      </w:r>
      <w:proofErr w:type="spellStart"/>
      <w:r w:rsidRPr="00313EEA">
        <w:rPr>
          <w:rFonts w:ascii="Arial" w:hAnsi="Arial" w:cs="Arial"/>
          <w:b/>
          <w:bCs/>
          <w:i/>
          <w:color w:val="000000"/>
          <w:sz w:val="23"/>
          <w:szCs w:val="23"/>
        </w:rPr>
        <w:t>flat</w:t>
      </w:r>
      <w:proofErr w:type="spellEnd"/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F66666" w:rsidRPr="00313EEA">
        <w:rPr>
          <w:rFonts w:ascii="Arial" w:hAnsi="Arial" w:cs="Arial"/>
          <w:b/>
          <w:color w:val="000000"/>
          <w:sz w:val="23"/>
          <w:szCs w:val="23"/>
        </w:rPr>
        <w:t xml:space="preserve">sul reddito </w:t>
      </w:r>
      <w:r w:rsidR="000E3FEB" w:rsidRPr="00313EEA">
        <w:rPr>
          <w:rFonts w:ascii="Arial" w:hAnsi="Arial" w:cs="Arial"/>
          <w:b/>
          <w:color w:val="000000"/>
          <w:sz w:val="23"/>
          <w:szCs w:val="23"/>
        </w:rPr>
        <w:t>incrementale</w:t>
      </w:r>
      <w:r w:rsidR="000E3FEB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1B12F2" w:rsidRPr="00313EEA">
        <w:rPr>
          <w:rFonts w:ascii="Arial" w:hAnsi="Arial" w:cs="Arial"/>
          <w:b/>
          <w:color w:val="000000"/>
          <w:sz w:val="23"/>
          <w:szCs w:val="23"/>
        </w:rPr>
        <w:t>concordato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0E3FEB" w:rsidRPr="00313EEA">
        <w:rPr>
          <w:rFonts w:ascii="Arial" w:hAnsi="Arial" w:cs="Arial"/>
          <w:color w:val="000000"/>
          <w:sz w:val="23"/>
          <w:szCs w:val="23"/>
        </w:rPr>
        <w:t>rispetto a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 quanto </w:t>
      </w:r>
      <w:r w:rsidR="000E3FEB" w:rsidRPr="00313EEA">
        <w:rPr>
          <w:rFonts w:ascii="Arial" w:hAnsi="Arial" w:cs="Arial"/>
          <w:color w:val="000000"/>
          <w:sz w:val="23"/>
          <w:szCs w:val="23"/>
        </w:rPr>
        <w:t>dichiarato l’anno precedente all’ingresso nel regime. Si tratta di un’</w:t>
      </w:r>
      <w:r w:rsidR="000E3FEB" w:rsidRPr="00313EEA">
        <w:rPr>
          <w:rFonts w:ascii="Arial" w:hAnsi="Arial" w:cs="Arial"/>
          <w:b/>
          <w:color w:val="000000"/>
          <w:sz w:val="23"/>
          <w:szCs w:val="23"/>
        </w:rPr>
        <w:t>imposta sostitutiva</w:t>
      </w:r>
      <w:r w:rsidR="000E3FEB" w:rsidRPr="00313EEA">
        <w:rPr>
          <w:rFonts w:ascii="Arial" w:hAnsi="Arial" w:cs="Arial"/>
          <w:color w:val="000000"/>
          <w:sz w:val="23"/>
          <w:szCs w:val="23"/>
        </w:rPr>
        <w:t xml:space="preserve"> delle imposte sui redditi e relative addizionali, con </w:t>
      </w:r>
      <w:r w:rsidR="000E3FEB" w:rsidRPr="00313EEA">
        <w:rPr>
          <w:rFonts w:ascii="Arial" w:hAnsi="Arial" w:cs="Arial"/>
          <w:b/>
          <w:color w:val="000000"/>
          <w:sz w:val="23"/>
          <w:szCs w:val="23"/>
        </w:rPr>
        <w:t xml:space="preserve">aliquota </w:t>
      </w:r>
      <w:r w:rsidR="009F5FCB" w:rsidRPr="00313EEA">
        <w:rPr>
          <w:rFonts w:ascii="Arial" w:hAnsi="Arial" w:cs="Arial"/>
          <w:b/>
          <w:color w:val="000000"/>
          <w:sz w:val="23"/>
          <w:szCs w:val="23"/>
        </w:rPr>
        <w:t>del 10%</w:t>
      </w:r>
      <w:r w:rsidR="009F5FCB" w:rsidRPr="00313EEA">
        <w:rPr>
          <w:rFonts w:ascii="Arial" w:hAnsi="Arial" w:cs="Arial"/>
          <w:color w:val="000000"/>
          <w:sz w:val="23"/>
          <w:szCs w:val="23"/>
        </w:rPr>
        <w:t xml:space="preserve"> per i contribuenti “affidabili” fiscalmente, con </w:t>
      </w:r>
      <w:r w:rsidR="000E3FEB" w:rsidRPr="00313EEA">
        <w:rPr>
          <w:rFonts w:ascii="Arial" w:hAnsi="Arial" w:cs="Arial"/>
          <w:color w:val="000000"/>
          <w:sz w:val="23"/>
          <w:szCs w:val="23"/>
        </w:rPr>
        <w:t xml:space="preserve">punteggio ISA </w:t>
      </w:r>
      <w:r w:rsidR="009F5FCB" w:rsidRPr="00313EEA">
        <w:rPr>
          <w:rFonts w:ascii="Arial" w:hAnsi="Arial" w:cs="Arial"/>
          <w:color w:val="000000"/>
          <w:sz w:val="23"/>
          <w:szCs w:val="23"/>
        </w:rPr>
        <w:t xml:space="preserve">da 8 a 10, del </w:t>
      </w:r>
      <w:r w:rsidR="000E3FEB" w:rsidRPr="00313EEA">
        <w:rPr>
          <w:rFonts w:ascii="Arial" w:hAnsi="Arial" w:cs="Arial"/>
          <w:b/>
          <w:color w:val="000000"/>
          <w:sz w:val="23"/>
          <w:szCs w:val="23"/>
        </w:rPr>
        <w:t>12</w:t>
      </w:r>
      <w:r w:rsidR="009F5FCB" w:rsidRPr="00313EEA">
        <w:rPr>
          <w:rFonts w:ascii="Arial" w:hAnsi="Arial" w:cs="Arial"/>
          <w:b/>
          <w:color w:val="000000"/>
          <w:sz w:val="23"/>
          <w:szCs w:val="23"/>
        </w:rPr>
        <w:t>%</w:t>
      </w:r>
      <w:r w:rsidR="009F5FCB" w:rsidRPr="00313EEA">
        <w:rPr>
          <w:rFonts w:ascii="Arial" w:hAnsi="Arial" w:cs="Arial"/>
          <w:color w:val="000000"/>
          <w:sz w:val="23"/>
          <w:szCs w:val="23"/>
        </w:rPr>
        <w:t xml:space="preserve"> per i soggetti con “pagella” tra il 6 e l’8 e del </w:t>
      </w:r>
      <w:r w:rsidR="009F5FCB" w:rsidRPr="00313EEA">
        <w:rPr>
          <w:rFonts w:ascii="Arial" w:hAnsi="Arial" w:cs="Arial"/>
          <w:b/>
          <w:color w:val="000000"/>
          <w:sz w:val="23"/>
          <w:szCs w:val="23"/>
        </w:rPr>
        <w:t>15%</w:t>
      </w:r>
      <w:r w:rsidR="009F5FCB" w:rsidRPr="00313EEA">
        <w:rPr>
          <w:rFonts w:ascii="Arial" w:hAnsi="Arial" w:cs="Arial"/>
          <w:color w:val="000000"/>
          <w:sz w:val="23"/>
          <w:szCs w:val="23"/>
        </w:rPr>
        <w:t xml:space="preserve"> per i soggetti </w:t>
      </w:r>
      <w:r w:rsidR="009F5FCB" w:rsidRPr="00313EEA">
        <w:rPr>
          <w:rFonts w:ascii="Arial" w:hAnsi="Arial" w:cs="Arial"/>
          <w:bCs/>
          <w:color w:val="000000"/>
          <w:sz w:val="23"/>
          <w:szCs w:val="23"/>
        </w:rPr>
        <w:t>meno “affidabili”, con voto inferiore a 6</w:t>
      </w:r>
      <w:r w:rsidR="0066606F" w:rsidRPr="00313EEA">
        <w:rPr>
          <w:rFonts w:ascii="Arial" w:hAnsi="Arial" w:cs="Arial"/>
          <w:bCs/>
          <w:color w:val="000000"/>
          <w:sz w:val="23"/>
          <w:szCs w:val="23"/>
        </w:rPr>
        <w:t>”</w:t>
      </w:r>
      <w:r w:rsidR="009F5FCB" w:rsidRPr="00313EEA">
        <w:rPr>
          <w:rFonts w:ascii="Arial" w:hAnsi="Arial" w:cs="Arial"/>
          <w:bCs/>
          <w:color w:val="000000"/>
          <w:sz w:val="23"/>
          <w:szCs w:val="23"/>
        </w:rPr>
        <w:t>.</w:t>
      </w:r>
    </w:p>
    <w:p w14:paraId="0EDB6F87" w14:textId="77777777" w:rsidR="00313EEA" w:rsidRPr="00313EEA" w:rsidRDefault="00313EEA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</w:rPr>
      </w:pPr>
    </w:p>
    <w:p w14:paraId="46589E70" w14:textId="333C28A4" w:rsidR="0066606F" w:rsidRDefault="0066606F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313EEA">
        <w:rPr>
          <w:rFonts w:ascii="Arial" w:hAnsi="Arial" w:cs="Arial"/>
          <w:color w:val="000000"/>
          <w:sz w:val="23"/>
          <w:szCs w:val="23"/>
        </w:rPr>
        <w:t xml:space="preserve">“La “tassa piatta” 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incrementale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 xml:space="preserve">– prosegue 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– </w:t>
      </w:r>
      <w:r w:rsidR="009C5A2D" w:rsidRPr="00313EEA">
        <w:rPr>
          <w:rFonts w:ascii="Arial" w:hAnsi="Arial" w:cs="Arial"/>
          <w:color w:val="000000"/>
          <w:sz w:val="23"/>
          <w:szCs w:val="23"/>
        </w:rPr>
        <w:t xml:space="preserve">può consentire 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di aderire al concordato 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anche 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a 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chi 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riceve proposte con 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redditi </w:t>
      </w:r>
      <w:r w:rsidR="00E22B1F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concordatari </w:t>
      </w:r>
      <w:r w:rsidRPr="00313EEA">
        <w:rPr>
          <w:rFonts w:ascii="Arial" w:hAnsi="Arial" w:cs="Arial"/>
          <w:b/>
          <w:bCs/>
          <w:color w:val="000000"/>
          <w:sz w:val="23"/>
          <w:szCs w:val="23"/>
        </w:rPr>
        <w:t>consistenti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, come accade in particolare ai contribuenti </w:t>
      </w:r>
      <w:r w:rsidR="001B12F2" w:rsidRPr="00313EEA">
        <w:rPr>
          <w:rFonts w:ascii="Arial" w:hAnsi="Arial" w:cs="Arial"/>
          <w:b/>
          <w:color w:val="000000"/>
          <w:sz w:val="23"/>
          <w:szCs w:val="23"/>
        </w:rPr>
        <w:t xml:space="preserve">meno “affidabili” </w:t>
      </w:r>
      <w:r w:rsidRPr="00313EEA">
        <w:rPr>
          <w:rFonts w:ascii="Arial" w:hAnsi="Arial" w:cs="Arial"/>
          <w:b/>
          <w:color w:val="000000"/>
          <w:sz w:val="23"/>
          <w:szCs w:val="23"/>
        </w:rPr>
        <w:t>fiscal</w:t>
      </w:r>
      <w:r w:rsidR="001B12F2" w:rsidRPr="00313EEA">
        <w:rPr>
          <w:rFonts w:ascii="Arial" w:hAnsi="Arial" w:cs="Arial"/>
          <w:b/>
          <w:color w:val="000000"/>
          <w:sz w:val="23"/>
          <w:szCs w:val="23"/>
        </w:rPr>
        <w:t>ment</w:t>
      </w:r>
      <w:r w:rsidRPr="00313EEA">
        <w:rPr>
          <w:rFonts w:ascii="Arial" w:hAnsi="Arial" w:cs="Arial"/>
          <w:b/>
          <w:color w:val="000000"/>
          <w:sz w:val="23"/>
          <w:szCs w:val="23"/>
        </w:rPr>
        <w:t>e</w:t>
      </w:r>
      <w:r w:rsidR="009C5A2D" w:rsidRPr="00313EEA">
        <w:rPr>
          <w:rFonts w:ascii="Arial" w:hAnsi="Arial" w:cs="Arial"/>
          <w:color w:val="000000"/>
          <w:sz w:val="23"/>
          <w:szCs w:val="23"/>
        </w:rPr>
        <w:t xml:space="preserve">, mitigando così gli esiti degli ISA che, per loro natura, 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essendo basati su elaborazioni statistiche di larga scala, </w:t>
      </w:r>
      <w:r w:rsidR="009C5A2D" w:rsidRPr="00313EEA">
        <w:rPr>
          <w:rFonts w:ascii="Arial" w:hAnsi="Arial" w:cs="Arial"/>
          <w:color w:val="000000"/>
          <w:sz w:val="23"/>
          <w:szCs w:val="23"/>
        </w:rPr>
        <w:t>talvolta non colgono pienamente le peculiarità dell’attività del contribuente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.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>Proponiamo anche la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 previsione di una soglia in valore assoluto di 25mila</w:t>
      </w:r>
      <w:r w:rsidR="00906CD6" w:rsidRPr="00313EEA">
        <w:rPr>
          <w:rFonts w:ascii="Arial" w:hAnsi="Arial" w:cs="Arial"/>
          <w:color w:val="000000"/>
          <w:sz w:val="23"/>
          <w:szCs w:val="23"/>
        </w:rPr>
        <w:t xml:space="preserve"> euro,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 al di sotto della quale non sia possibile l’attività accertativa</w:t>
      </w:r>
      <w:r w:rsidR="00906CD6" w:rsidRPr="00313EEA">
        <w:rPr>
          <w:rFonts w:ascii="Arial" w:hAnsi="Arial" w:cs="Arial"/>
          <w:color w:val="000000"/>
          <w:sz w:val="23"/>
          <w:szCs w:val="23"/>
        </w:rPr>
        <w:t>,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 e 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>l’</w:t>
      </w:r>
      <w:r w:rsidR="001B12F2" w:rsidRPr="00313EEA">
        <w:rPr>
          <w:rFonts w:ascii="Arial" w:hAnsi="Arial" w:cs="Arial"/>
          <w:b/>
          <w:color w:val="000000"/>
          <w:sz w:val="23"/>
          <w:szCs w:val="23"/>
        </w:rPr>
        <w:t>estensione ai forfetari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 xml:space="preserve"> della </w:t>
      </w:r>
      <w:r w:rsidR="001B12F2" w:rsidRPr="00313EEA">
        <w:rPr>
          <w:rFonts w:ascii="Arial" w:hAnsi="Arial" w:cs="Arial"/>
          <w:b/>
          <w:bCs/>
          <w:color w:val="000000"/>
          <w:sz w:val="23"/>
          <w:szCs w:val="23"/>
        </w:rPr>
        <w:t>copertura integrale dagli accertamenti presuntivi</w:t>
      </w:r>
      <w:r w:rsidR="001B12F2" w:rsidRPr="00313EEA">
        <w:rPr>
          <w:rFonts w:ascii="Arial" w:hAnsi="Arial" w:cs="Arial"/>
          <w:bCs/>
          <w:color w:val="000000"/>
          <w:sz w:val="23"/>
          <w:szCs w:val="23"/>
        </w:rPr>
        <w:t xml:space="preserve"> già riconosciuta ai soggetti che applicano gli ISA. Copertura che peraltro, per i soggetti ISA, deve valere </w:t>
      </w:r>
      <w:r w:rsidR="001B12F2" w:rsidRPr="00313EEA">
        <w:rPr>
          <w:rFonts w:ascii="Arial" w:hAnsi="Arial" w:cs="Arial"/>
          <w:b/>
          <w:bCs/>
          <w:color w:val="000000"/>
          <w:sz w:val="23"/>
          <w:szCs w:val="23"/>
        </w:rPr>
        <w:t>anche ai fini IVA</w:t>
      </w:r>
      <w:r w:rsidR="001B12F2" w:rsidRPr="00313EEA">
        <w:rPr>
          <w:rFonts w:ascii="Arial" w:hAnsi="Arial" w:cs="Arial"/>
          <w:bCs/>
          <w:color w:val="000000"/>
          <w:sz w:val="23"/>
          <w:szCs w:val="23"/>
        </w:rPr>
        <w:t xml:space="preserve"> e </w:t>
      </w:r>
      <w:r w:rsidR="001B12F2" w:rsidRPr="00313EEA">
        <w:rPr>
          <w:rFonts w:ascii="Arial" w:hAnsi="Arial" w:cs="Arial"/>
          <w:b/>
          <w:bCs/>
          <w:color w:val="000000"/>
          <w:sz w:val="23"/>
          <w:szCs w:val="23"/>
        </w:rPr>
        <w:t>a prescindere dal punteggio ISA</w:t>
      </w:r>
      <w:r w:rsidR="001B12F2" w:rsidRPr="00313EEA">
        <w:rPr>
          <w:rFonts w:ascii="Arial" w:hAnsi="Arial" w:cs="Arial"/>
          <w:bCs/>
          <w:color w:val="000000"/>
          <w:sz w:val="23"/>
          <w:szCs w:val="23"/>
        </w:rPr>
        <w:t xml:space="preserve"> ottenuto negli anni di vigenza del concordato</w:t>
      </w:r>
      <w:r w:rsidRPr="00313EEA">
        <w:rPr>
          <w:rFonts w:ascii="Arial" w:hAnsi="Arial" w:cs="Arial"/>
          <w:color w:val="000000"/>
          <w:sz w:val="23"/>
          <w:szCs w:val="23"/>
        </w:rPr>
        <w:t>”</w:t>
      </w:r>
      <w:r w:rsidR="001B12F2" w:rsidRPr="00313EEA">
        <w:rPr>
          <w:rFonts w:ascii="Arial" w:hAnsi="Arial" w:cs="Arial"/>
          <w:color w:val="000000"/>
          <w:sz w:val="23"/>
          <w:szCs w:val="23"/>
        </w:rPr>
        <w:t>.</w:t>
      </w:r>
    </w:p>
    <w:p w14:paraId="0DB26564" w14:textId="77777777" w:rsidR="00313EEA" w:rsidRPr="00313EEA" w:rsidRDefault="00313EEA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37E0B8CF" w14:textId="0FE85DBD" w:rsidR="00F66666" w:rsidRDefault="009C5A2D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313EEA">
        <w:rPr>
          <w:rFonts w:ascii="Arial" w:hAnsi="Arial" w:cs="Arial"/>
          <w:color w:val="000000"/>
          <w:sz w:val="23"/>
          <w:szCs w:val="23"/>
        </w:rPr>
        <w:t xml:space="preserve">“Per quanto concerne gli </w:t>
      </w:r>
      <w:r w:rsidRPr="00313EEA">
        <w:rPr>
          <w:rFonts w:ascii="Arial" w:hAnsi="Arial" w:cs="Arial"/>
          <w:b/>
          <w:color w:val="000000"/>
          <w:sz w:val="23"/>
          <w:szCs w:val="23"/>
        </w:rPr>
        <w:t>adempimenti fiscali</w:t>
      </w:r>
      <w:r w:rsidR="00C72E9D" w:rsidRPr="00313EEA">
        <w:rPr>
          <w:rFonts w:ascii="Arial" w:hAnsi="Arial" w:cs="Arial"/>
          <w:color w:val="000000"/>
          <w:sz w:val="23"/>
          <w:szCs w:val="23"/>
        </w:rPr>
        <w:t xml:space="preserve"> – aggiunge –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>proponiamo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Pr="00313EEA">
        <w:rPr>
          <w:rFonts w:ascii="Arial" w:hAnsi="Arial" w:cs="Arial"/>
          <w:b/>
          <w:color w:val="000000"/>
          <w:sz w:val="23"/>
          <w:szCs w:val="23"/>
        </w:rPr>
        <w:t>per i titolari di partita IVA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 la </w:t>
      </w:r>
      <w:r w:rsidRPr="00313EEA">
        <w:rPr>
          <w:rFonts w:ascii="Arial" w:hAnsi="Arial" w:cs="Arial"/>
          <w:b/>
          <w:color w:val="000000"/>
          <w:sz w:val="23"/>
          <w:szCs w:val="23"/>
        </w:rPr>
        <w:t>messa a regime del termine del 31 luglio per i versamenti risultanti dalle dichiarazioni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, in modo da evitare, una volta per tutte, l’incertezza di proroghe concesse, solitamente, a ridosso della scadenza del 30 giugno. </w:t>
      </w:r>
      <w:r w:rsidR="00EE1268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Per </w:t>
      </w:r>
      <w:r w:rsidR="006B21DE" w:rsidRPr="00313EEA">
        <w:rPr>
          <w:rFonts w:ascii="Arial" w:hAnsi="Arial" w:cs="Arial"/>
          <w:b/>
          <w:bCs/>
          <w:color w:val="000000"/>
          <w:sz w:val="23"/>
          <w:szCs w:val="23"/>
        </w:rPr>
        <w:t>migliorare</w:t>
      </w:r>
      <w:r w:rsidR="00EE1268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6B21DE" w:rsidRPr="00313EEA">
        <w:rPr>
          <w:rFonts w:ascii="Arial" w:hAnsi="Arial" w:cs="Arial"/>
          <w:b/>
          <w:bCs/>
          <w:color w:val="000000"/>
          <w:sz w:val="23"/>
          <w:szCs w:val="23"/>
        </w:rPr>
        <w:t>la “gestione” degli avvisi bonari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, 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con impatto positivo anche sull’attività di assistenza dell’Agenzia delle Entrate,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>proponiamo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Pr="00313EEA">
        <w:rPr>
          <w:rFonts w:ascii="Arial" w:hAnsi="Arial" w:cs="Arial"/>
          <w:color w:val="000000"/>
          <w:sz w:val="23"/>
          <w:szCs w:val="23"/>
        </w:rPr>
        <w:t>l’</w:t>
      </w:r>
      <w:r w:rsidRPr="00313EEA">
        <w:rPr>
          <w:rFonts w:ascii="Arial" w:hAnsi="Arial" w:cs="Arial"/>
          <w:b/>
          <w:color w:val="000000"/>
          <w:sz w:val="23"/>
          <w:szCs w:val="23"/>
        </w:rPr>
        <w:t>ampliamento a 60 giorni</w:t>
      </w:r>
      <w:r w:rsidRPr="00313EEA">
        <w:rPr>
          <w:rFonts w:ascii="Arial" w:hAnsi="Arial" w:cs="Arial"/>
          <w:color w:val="000000"/>
          <w:sz w:val="23"/>
          <w:szCs w:val="23"/>
        </w:rPr>
        <w:t xml:space="preserve"> del 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termine per il </w:t>
      </w:r>
      <w:r w:rsidR="00EE1268" w:rsidRPr="00313EEA">
        <w:rPr>
          <w:rFonts w:ascii="Arial" w:hAnsi="Arial" w:cs="Arial"/>
          <w:b/>
          <w:color w:val="000000"/>
          <w:sz w:val="23"/>
          <w:szCs w:val="23"/>
        </w:rPr>
        <w:t>versamento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 delle </w:t>
      </w:r>
      <w:r w:rsidR="00EE1268" w:rsidRPr="00313EEA">
        <w:rPr>
          <w:rFonts w:ascii="Arial" w:hAnsi="Arial" w:cs="Arial"/>
          <w:b/>
          <w:color w:val="000000"/>
          <w:sz w:val="23"/>
          <w:szCs w:val="23"/>
        </w:rPr>
        <w:t>somme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 richieste a seguito del </w:t>
      </w:r>
      <w:r w:rsidR="00EE1268" w:rsidRPr="00313EEA">
        <w:rPr>
          <w:rFonts w:ascii="Arial" w:hAnsi="Arial" w:cs="Arial"/>
          <w:b/>
          <w:color w:val="000000"/>
          <w:sz w:val="23"/>
          <w:szCs w:val="23"/>
        </w:rPr>
        <w:t>controllo automatizzato e formale delle dichiarazioni</w:t>
      </w:r>
      <w:r w:rsidR="00EE1268" w:rsidRPr="00313EEA">
        <w:rPr>
          <w:rFonts w:ascii="Arial" w:hAnsi="Arial" w:cs="Arial"/>
          <w:color w:val="000000"/>
          <w:sz w:val="23"/>
          <w:szCs w:val="23"/>
        </w:rPr>
        <w:t xml:space="preserve"> e della liquidazione dei redditi soggetti a tassazione separata</w:t>
      </w:r>
      <w:r w:rsidR="00F849C3" w:rsidRPr="00313EEA">
        <w:rPr>
          <w:rFonts w:ascii="Arial" w:hAnsi="Arial" w:cs="Arial"/>
          <w:color w:val="000000"/>
          <w:sz w:val="23"/>
          <w:szCs w:val="23"/>
        </w:rPr>
        <w:t>.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 Ulteriori proposte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 xml:space="preserve">riguardano 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i versamenti dell’Iva dovuta </w:t>
      </w:r>
      <w:r w:rsidR="00E22B1F" w:rsidRPr="00313EEA">
        <w:rPr>
          <w:rFonts w:ascii="Arial" w:hAnsi="Arial" w:cs="Arial"/>
          <w:color w:val="000000"/>
          <w:sz w:val="23"/>
          <w:szCs w:val="23"/>
        </w:rPr>
        <w:lastRenderedPageBreak/>
        <w:t xml:space="preserve">dai forfettari per le operazioni in </w:t>
      </w:r>
      <w:r w:rsidR="00E22B1F" w:rsidRPr="00313EEA">
        <w:rPr>
          <w:rFonts w:ascii="Arial" w:hAnsi="Arial" w:cs="Arial"/>
          <w:i/>
          <w:iCs/>
          <w:color w:val="000000"/>
          <w:sz w:val="23"/>
          <w:szCs w:val="23"/>
        </w:rPr>
        <w:t xml:space="preserve">reverse </w:t>
      </w:r>
      <w:proofErr w:type="spellStart"/>
      <w:r w:rsidR="00E22B1F" w:rsidRPr="00313EEA">
        <w:rPr>
          <w:rFonts w:ascii="Arial" w:hAnsi="Arial" w:cs="Arial"/>
          <w:i/>
          <w:iCs/>
          <w:color w:val="000000"/>
          <w:sz w:val="23"/>
          <w:szCs w:val="23"/>
        </w:rPr>
        <w:t>charge</w:t>
      </w:r>
      <w:proofErr w:type="spellEnd"/>
      <w:r w:rsidR="00E22B1F" w:rsidRPr="00313EEA">
        <w:rPr>
          <w:rFonts w:ascii="Arial" w:hAnsi="Arial" w:cs="Arial"/>
          <w:color w:val="000000"/>
          <w:sz w:val="23"/>
          <w:szCs w:val="23"/>
        </w:rPr>
        <w:t xml:space="preserve"> e per la trasmissione telematica delle autofatture/integrazioni per le operazioni con soggetti esteri”.</w:t>
      </w:r>
    </w:p>
    <w:p w14:paraId="7C9E2764" w14:textId="77777777" w:rsidR="00313EEA" w:rsidRPr="00313EEA" w:rsidRDefault="00313EEA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94A1D5D" w14:textId="41804B81" w:rsidR="006D07BF" w:rsidRPr="00313EEA" w:rsidRDefault="00F849C3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313EEA">
        <w:rPr>
          <w:rFonts w:ascii="Arial" w:hAnsi="Arial" w:cs="Arial"/>
          <w:color w:val="000000"/>
          <w:sz w:val="23"/>
          <w:szCs w:val="23"/>
        </w:rPr>
        <w:t>“</w:t>
      </w:r>
      <w:r w:rsidR="00C72E9D" w:rsidRPr="00313EEA">
        <w:rPr>
          <w:rFonts w:ascii="Arial" w:hAnsi="Arial" w:cs="Arial"/>
          <w:color w:val="000000"/>
          <w:sz w:val="23"/>
          <w:szCs w:val="23"/>
        </w:rPr>
        <w:t xml:space="preserve">In materia di </w:t>
      </w:r>
      <w:r w:rsidR="00C72E9D" w:rsidRPr="00313EEA">
        <w:rPr>
          <w:rFonts w:ascii="Arial" w:hAnsi="Arial" w:cs="Arial"/>
          <w:b/>
          <w:i/>
          <w:color w:val="000000"/>
          <w:sz w:val="23"/>
          <w:szCs w:val="23"/>
        </w:rPr>
        <w:t>cooperative compliance</w:t>
      </w:r>
      <w:r w:rsidR="002961F3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C72E9D" w:rsidRPr="00313EEA">
        <w:rPr>
          <w:rFonts w:ascii="Arial" w:hAnsi="Arial" w:cs="Arial"/>
          <w:color w:val="000000"/>
          <w:sz w:val="23"/>
          <w:szCs w:val="23"/>
        </w:rPr>
        <w:t xml:space="preserve">–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>sottolinea</w:t>
      </w:r>
      <w:r w:rsidR="00C72E9D" w:rsidRPr="00313EEA">
        <w:rPr>
          <w:rFonts w:ascii="Arial" w:hAnsi="Arial" w:cs="Arial"/>
          <w:color w:val="000000"/>
          <w:sz w:val="23"/>
          <w:szCs w:val="23"/>
        </w:rPr>
        <w:t xml:space="preserve"> Saggese –</w:t>
      </w:r>
      <w:r w:rsidR="002961F3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>avanziamo</w:t>
      </w:r>
      <w:r w:rsidR="002961F3" w:rsidRPr="00313EEA">
        <w:rPr>
          <w:rFonts w:ascii="Arial" w:hAnsi="Arial" w:cs="Arial"/>
          <w:color w:val="000000"/>
          <w:sz w:val="23"/>
          <w:szCs w:val="23"/>
        </w:rPr>
        <w:t xml:space="preserve"> misure volte a rendere </w:t>
      </w:r>
      <w:r w:rsidR="002961F3" w:rsidRPr="00313EEA">
        <w:rPr>
          <w:rFonts w:ascii="Arial" w:hAnsi="Arial" w:cs="Arial"/>
          <w:b/>
          <w:bCs/>
          <w:color w:val="000000"/>
          <w:sz w:val="23"/>
          <w:szCs w:val="23"/>
        </w:rPr>
        <w:t>maggiormente coerente</w:t>
      </w:r>
      <w:r w:rsidR="002961F3" w:rsidRPr="00313EEA">
        <w:rPr>
          <w:rFonts w:ascii="Arial" w:hAnsi="Arial" w:cs="Arial"/>
          <w:color w:val="000000"/>
          <w:sz w:val="23"/>
          <w:szCs w:val="23"/>
        </w:rPr>
        <w:t xml:space="preserve"> il quadro dei </w:t>
      </w:r>
      <w:r w:rsidR="002961F3" w:rsidRPr="00313EEA">
        <w:rPr>
          <w:rFonts w:ascii="Arial" w:hAnsi="Arial" w:cs="Arial"/>
          <w:b/>
          <w:bCs/>
          <w:color w:val="000000"/>
          <w:sz w:val="23"/>
          <w:szCs w:val="23"/>
        </w:rPr>
        <w:t>benefici riconosciuti</w:t>
      </w:r>
      <w:r w:rsidR="002961F3" w:rsidRPr="00313EEA">
        <w:rPr>
          <w:rFonts w:ascii="Arial" w:hAnsi="Arial" w:cs="Arial"/>
          <w:color w:val="000000"/>
          <w:sz w:val="23"/>
          <w:szCs w:val="23"/>
        </w:rPr>
        <w:t xml:space="preserve"> a chi si avvale del regime con la </w:t>
      </w:r>
      <w:r w:rsidR="006D07BF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totale </w:t>
      </w:r>
      <w:r w:rsidR="006D07BF" w:rsidRPr="00313EEA">
        <w:rPr>
          <w:rFonts w:ascii="Arial" w:hAnsi="Arial" w:cs="Arial"/>
          <w:b/>
          <w:bCs/>
          <w:i/>
          <w:color w:val="000000"/>
          <w:sz w:val="23"/>
          <w:szCs w:val="23"/>
        </w:rPr>
        <w:t>disclosure</w:t>
      </w:r>
      <w:r w:rsidR="006D07BF" w:rsidRPr="00313EEA">
        <w:rPr>
          <w:rFonts w:ascii="Arial" w:hAnsi="Arial" w:cs="Arial"/>
          <w:b/>
          <w:bCs/>
          <w:color w:val="000000"/>
          <w:sz w:val="23"/>
          <w:szCs w:val="23"/>
        </w:rPr>
        <w:t xml:space="preserve"> preventiva</w:t>
      </w:r>
      <w:r w:rsidR="006D07BF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001242" w:rsidRPr="00313EEA">
        <w:rPr>
          <w:rFonts w:ascii="Arial" w:hAnsi="Arial" w:cs="Arial"/>
          <w:color w:val="000000"/>
          <w:sz w:val="23"/>
          <w:szCs w:val="23"/>
        </w:rPr>
        <w:t xml:space="preserve">della posizione fiscale del contribuente nei confronti dell’Amministrazione finanziaria. Innanzitutto, occorre portare </w:t>
      </w:r>
      <w:r w:rsidR="00001242" w:rsidRPr="00313EEA">
        <w:rPr>
          <w:rFonts w:ascii="Arial" w:hAnsi="Arial" w:cs="Arial"/>
          <w:b/>
          <w:bCs/>
          <w:color w:val="000000"/>
          <w:sz w:val="23"/>
          <w:szCs w:val="23"/>
        </w:rPr>
        <w:t>da due a tre anni</w:t>
      </w:r>
      <w:r w:rsidR="00001242" w:rsidRPr="00313EEA">
        <w:rPr>
          <w:rFonts w:ascii="Arial" w:hAnsi="Arial" w:cs="Arial"/>
          <w:color w:val="000000"/>
          <w:sz w:val="23"/>
          <w:szCs w:val="23"/>
        </w:rPr>
        <w:t xml:space="preserve"> la </w:t>
      </w:r>
      <w:r w:rsidR="00001242" w:rsidRPr="00313EEA">
        <w:rPr>
          <w:rFonts w:ascii="Arial" w:hAnsi="Arial" w:cs="Arial"/>
          <w:b/>
          <w:bCs/>
          <w:color w:val="000000"/>
          <w:sz w:val="23"/>
          <w:szCs w:val="23"/>
        </w:rPr>
        <w:t>riduzione dei termini di accertamento</w:t>
      </w:r>
      <w:r w:rsidR="00001242" w:rsidRPr="00313EEA">
        <w:rPr>
          <w:rFonts w:ascii="Arial" w:hAnsi="Arial" w:cs="Arial"/>
          <w:color w:val="000000"/>
          <w:sz w:val="23"/>
          <w:szCs w:val="23"/>
        </w:rPr>
        <w:t xml:space="preserve">, anche a coloro che decidono di dotarsi volontariamente del </w:t>
      </w:r>
      <w:r w:rsidR="00001242" w:rsidRPr="00313EEA">
        <w:rPr>
          <w:rFonts w:ascii="Arial" w:hAnsi="Arial" w:cs="Arial"/>
          <w:b/>
          <w:bCs/>
          <w:color w:val="000000"/>
          <w:sz w:val="23"/>
          <w:szCs w:val="23"/>
        </w:rPr>
        <w:t>Tax Control Framework certificato dal professionista</w:t>
      </w:r>
      <w:r w:rsidR="00826026" w:rsidRPr="00313EEA">
        <w:rPr>
          <w:rFonts w:ascii="Arial" w:hAnsi="Arial" w:cs="Arial"/>
          <w:color w:val="000000"/>
          <w:sz w:val="23"/>
          <w:szCs w:val="23"/>
        </w:rPr>
        <w:t xml:space="preserve">, se si tiene conto che la riduzione di due anni di tali termini è 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attualmente già </w:t>
      </w:r>
      <w:r w:rsidR="00826026" w:rsidRPr="00313EEA">
        <w:rPr>
          <w:rFonts w:ascii="Arial" w:hAnsi="Arial" w:cs="Arial"/>
          <w:color w:val="000000"/>
          <w:sz w:val="23"/>
          <w:szCs w:val="23"/>
        </w:rPr>
        <w:t xml:space="preserve">riconosciuta a coloro che tracciano le operazioni di 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importo </w:t>
      </w:r>
      <w:r w:rsidR="00826026" w:rsidRPr="00313EEA">
        <w:rPr>
          <w:rFonts w:ascii="Arial" w:hAnsi="Arial" w:cs="Arial"/>
          <w:color w:val="000000"/>
          <w:sz w:val="23"/>
          <w:szCs w:val="23"/>
        </w:rPr>
        <w:t>superiore a 500 euro</w:t>
      </w:r>
      <w:r w:rsidR="00001242" w:rsidRPr="00313EEA">
        <w:rPr>
          <w:rFonts w:ascii="Arial" w:hAnsi="Arial" w:cs="Arial"/>
          <w:color w:val="000000"/>
          <w:sz w:val="23"/>
          <w:szCs w:val="23"/>
        </w:rPr>
        <w:t>”</w:t>
      </w:r>
      <w:r w:rsidR="00E22B1F" w:rsidRPr="00313EEA">
        <w:rPr>
          <w:rFonts w:ascii="Arial" w:hAnsi="Arial" w:cs="Arial"/>
          <w:color w:val="000000"/>
          <w:sz w:val="23"/>
          <w:szCs w:val="23"/>
        </w:rPr>
        <w:t>.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 xml:space="preserve">“Proponiamo </w:t>
      </w:r>
      <w:r w:rsidR="00A03B94" w:rsidRPr="00313EEA">
        <w:rPr>
          <w:rFonts w:ascii="Arial" w:hAnsi="Arial" w:cs="Arial"/>
          <w:color w:val="000000"/>
          <w:sz w:val="23"/>
          <w:szCs w:val="23"/>
        </w:rPr>
        <w:t xml:space="preserve">inoltre 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 xml:space="preserve">– conclude </w:t>
      </w:r>
      <w:r w:rsidR="00906CD6" w:rsidRPr="00313EEA">
        <w:rPr>
          <w:rFonts w:ascii="Arial" w:hAnsi="Arial" w:cs="Arial"/>
          <w:color w:val="000000"/>
          <w:sz w:val="23"/>
          <w:szCs w:val="23"/>
        </w:rPr>
        <w:t>- che</w:t>
      </w:r>
      <w:r w:rsidR="00F528EF" w:rsidRPr="00313EEA">
        <w:rPr>
          <w:rFonts w:ascii="Arial" w:hAnsi="Arial" w:cs="Arial"/>
          <w:color w:val="000000"/>
          <w:sz w:val="23"/>
          <w:szCs w:val="23"/>
        </w:rPr>
        <w:t xml:space="preserve"> 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l’estensione della certificazione del Tax control framework anche </w:t>
      </w:r>
      <w:r w:rsidR="00A03B94" w:rsidRPr="00313EEA">
        <w:rPr>
          <w:rFonts w:ascii="Arial" w:hAnsi="Arial" w:cs="Arial"/>
          <w:color w:val="000000"/>
          <w:sz w:val="23"/>
          <w:szCs w:val="23"/>
        </w:rPr>
        <w:t xml:space="preserve">in ordine 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alla conformità ai principi contabili sia prevista </w:t>
      </w:r>
      <w:r w:rsidR="00C27980" w:rsidRPr="00313EEA">
        <w:rPr>
          <w:rFonts w:ascii="Arial" w:hAnsi="Arial" w:cs="Arial"/>
          <w:b/>
          <w:bCs/>
          <w:color w:val="000000"/>
          <w:sz w:val="23"/>
          <w:szCs w:val="23"/>
        </w:rPr>
        <w:t>soltanto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 per le imprese </w:t>
      </w:r>
      <w:r w:rsidR="00C27980" w:rsidRPr="00313EEA">
        <w:rPr>
          <w:rFonts w:ascii="Arial" w:hAnsi="Arial" w:cs="Arial"/>
          <w:b/>
          <w:bCs/>
          <w:color w:val="000000"/>
          <w:sz w:val="23"/>
          <w:szCs w:val="23"/>
        </w:rPr>
        <w:t>non obbligate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 per legge alla revisione legale dei conti. Ciò al fine di evitare una </w:t>
      </w:r>
      <w:r w:rsidR="00C27980" w:rsidRPr="00313EEA">
        <w:rPr>
          <w:rFonts w:ascii="Arial" w:hAnsi="Arial" w:cs="Arial"/>
          <w:b/>
          <w:bCs/>
          <w:color w:val="000000"/>
          <w:sz w:val="23"/>
          <w:szCs w:val="23"/>
        </w:rPr>
        <w:t>sovrapposizione di ruoli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 per quelle società che hanno presidi di controlli contabili evoluti e che già sottopongono il loro bilancio a </w:t>
      </w:r>
      <w:r w:rsidR="00A03B94" w:rsidRPr="00313EEA">
        <w:rPr>
          <w:rFonts w:ascii="Arial" w:hAnsi="Arial" w:cs="Arial"/>
          <w:color w:val="000000"/>
          <w:sz w:val="23"/>
          <w:szCs w:val="23"/>
        </w:rPr>
        <w:t>revisione</w:t>
      </w:r>
      <w:r w:rsidR="00C27980" w:rsidRPr="00313EEA">
        <w:rPr>
          <w:rFonts w:ascii="Arial" w:hAnsi="Arial" w:cs="Arial"/>
          <w:color w:val="000000"/>
          <w:sz w:val="23"/>
          <w:szCs w:val="23"/>
        </w:rPr>
        <w:t xml:space="preserve">”. </w:t>
      </w:r>
    </w:p>
    <w:p w14:paraId="6F7B1B4B" w14:textId="77777777" w:rsidR="00826026" w:rsidRPr="00313EEA" w:rsidRDefault="00826026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14:paraId="24913EB6" w14:textId="77777777" w:rsidR="003C53CB" w:rsidRPr="00313EEA" w:rsidRDefault="003C53CB" w:rsidP="00313EE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sectPr w:rsidR="003C53CB" w:rsidRPr="00313EEA" w:rsidSect="00A020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AACC" w14:textId="77777777" w:rsidR="00A42AA2" w:rsidRDefault="00A42AA2">
      <w:pPr>
        <w:spacing w:after="0" w:line="240" w:lineRule="auto"/>
      </w:pPr>
      <w:r>
        <w:separator/>
      </w:r>
    </w:p>
  </w:endnote>
  <w:endnote w:type="continuationSeparator" w:id="0">
    <w:p w14:paraId="28856004" w14:textId="77777777" w:rsidR="00A42AA2" w:rsidRDefault="00A4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9451" w14:textId="77777777" w:rsidR="00A42AA2" w:rsidRDefault="00A42AA2">
      <w:pPr>
        <w:spacing w:after="0" w:line="240" w:lineRule="auto"/>
      </w:pPr>
      <w:r>
        <w:separator/>
      </w:r>
    </w:p>
  </w:footnote>
  <w:footnote w:type="continuationSeparator" w:id="0">
    <w:p w14:paraId="63F15855" w14:textId="77777777" w:rsidR="00A42AA2" w:rsidRDefault="00A4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A57" w14:textId="14F18B36" w:rsidR="007548C5" w:rsidRDefault="00A0201D" w:rsidP="002529AE">
    <w:pPr>
      <w:pStyle w:val="Intestazione"/>
      <w:jc w:val="center"/>
    </w:pPr>
    <w:r w:rsidRPr="00C94372">
      <w:rPr>
        <w:noProof/>
        <w:lang w:eastAsia="it-IT"/>
      </w:rPr>
      <w:drawing>
        <wp:inline distT="0" distB="0" distL="0" distR="0" wp14:anchorId="30C4D634" wp14:editId="3CE76A9B">
          <wp:extent cx="2240280" cy="762000"/>
          <wp:effectExtent l="0" t="0" r="0" b="0"/>
          <wp:docPr id="462794898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1D"/>
    <w:rsid w:val="00001242"/>
    <w:rsid w:val="00063A98"/>
    <w:rsid w:val="000D1527"/>
    <w:rsid w:val="000E3FEB"/>
    <w:rsid w:val="00161BA4"/>
    <w:rsid w:val="001B12F2"/>
    <w:rsid w:val="00201F26"/>
    <w:rsid w:val="002961F3"/>
    <w:rsid w:val="002B509A"/>
    <w:rsid w:val="00313EEA"/>
    <w:rsid w:val="00332C95"/>
    <w:rsid w:val="0034603B"/>
    <w:rsid w:val="003C53CB"/>
    <w:rsid w:val="00473862"/>
    <w:rsid w:val="004A2FA4"/>
    <w:rsid w:val="004B3618"/>
    <w:rsid w:val="004E7C4F"/>
    <w:rsid w:val="00565F62"/>
    <w:rsid w:val="005871BB"/>
    <w:rsid w:val="005C6C3C"/>
    <w:rsid w:val="005F2D9B"/>
    <w:rsid w:val="00607512"/>
    <w:rsid w:val="0066606F"/>
    <w:rsid w:val="006B21DE"/>
    <w:rsid w:val="006D07BF"/>
    <w:rsid w:val="007548C5"/>
    <w:rsid w:val="00826026"/>
    <w:rsid w:val="00867136"/>
    <w:rsid w:val="00906CD6"/>
    <w:rsid w:val="009C501B"/>
    <w:rsid w:val="009C5A2D"/>
    <w:rsid w:val="009F5FCB"/>
    <w:rsid w:val="00A0201D"/>
    <w:rsid w:val="00A03B94"/>
    <w:rsid w:val="00A42AA2"/>
    <w:rsid w:val="00B61EB7"/>
    <w:rsid w:val="00B709EA"/>
    <w:rsid w:val="00BD0D0C"/>
    <w:rsid w:val="00C10913"/>
    <w:rsid w:val="00C15545"/>
    <w:rsid w:val="00C27980"/>
    <w:rsid w:val="00C72E9D"/>
    <w:rsid w:val="00CF112B"/>
    <w:rsid w:val="00D05847"/>
    <w:rsid w:val="00D459CE"/>
    <w:rsid w:val="00D50684"/>
    <w:rsid w:val="00E213F4"/>
    <w:rsid w:val="00E22B1F"/>
    <w:rsid w:val="00E41716"/>
    <w:rsid w:val="00EA4FBE"/>
    <w:rsid w:val="00EE1268"/>
    <w:rsid w:val="00F528EF"/>
    <w:rsid w:val="00F66666"/>
    <w:rsid w:val="00F849C3"/>
    <w:rsid w:val="00FA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2A7BA"/>
  <w15:docId w15:val="{E662B233-E154-4423-BFBE-72370624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2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2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0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0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0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0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0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0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2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2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0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20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20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0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201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201D"/>
    <w:pPr>
      <w:tabs>
        <w:tab w:val="center" w:pos="4819"/>
        <w:tab w:val="right" w:pos="9638"/>
      </w:tabs>
      <w:spacing w:after="0" w:line="240" w:lineRule="auto"/>
    </w:pPr>
    <w:rPr>
      <w:rFonts w:eastAsia="Times New Roman" w:cs="Times New Roman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01D"/>
    <w:rPr>
      <w:rFonts w:eastAsia="Times New Roman" w:cs="Times New Roman"/>
      <w14:ligatures w14:val="none"/>
    </w:rPr>
  </w:style>
  <w:style w:type="paragraph" w:styleId="NormaleWeb">
    <w:name w:val="Normal (Web)"/>
    <w:basedOn w:val="Normale"/>
    <w:uiPriority w:val="99"/>
    <w:unhideWhenUsed/>
    <w:rsid w:val="00F6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Mastrogiacomo Tiziana</dc:creator>
  <cp:lastModifiedBy>Tiziana</cp:lastModifiedBy>
  <cp:revision>4</cp:revision>
  <cp:lastPrinted>2024-07-09T10:33:00Z</cp:lastPrinted>
  <dcterms:created xsi:type="dcterms:W3CDTF">2024-07-09T13:13:00Z</dcterms:created>
  <dcterms:modified xsi:type="dcterms:W3CDTF">2024-07-09T13:34:00Z</dcterms:modified>
</cp:coreProperties>
</file>