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620C9" w14:textId="77777777" w:rsidR="004B1B08" w:rsidRPr="00C175FF" w:rsidRDefault="004B1B08" w:rsidP="00C175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EE843A" w14:textId="77777777" w:rsidR="002C3934" w:rsidRPr="006146A3" w:rsidRDefault="002C3934" w:rsidP="006146A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4EC92607" w14:textId="3F3BF9DF" w:rsidR="006146A3" w:rsidRPr="006146A3" w:rsidRDefault="006146A3" w:rsidP="006146A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6146A3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C</w:t>
      </w:r>
      <w:r w:rsidRPr="006146A3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omunicato stampa</w:t>
      </w:r>
    </w:p>
    <w:p w14:paraId="37E03420" w14:textId="77777777" w:rsidR="006146A3" w:rsidRPr="006146A3" w:rsidRDefault="006146A3" w:rsidP="006146A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15C4B9C8" w14:textId="77777777" w:rsidR="006146A3" w:rsidRDefault="006146A3" w:rsidP="006146A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 CRISI D’IMPRESA, FOCUS DEI COMMERCIALISTI SUL FALSO IN ATTESTAZIONI</w:t>
      </w:r>
    </w:p>
    <w:p w14:paraId="0FEED871" w14:textId="77777777" w:rsidR="006146A3" w:rsidRPr="006146A3" w:rsidRDefault="006146A3" w:rsidP="006146A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717DBF6" w14:textId="77777777" w:rsidR="006146A3" w:rsidRDefault="006146A3" w:rsidP="006146A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Prosegue la pubblicazione di documenti interpretativi di Consiglio e Fondazione nazionali della categoria a supporto dell’attività dei professionisti nello svolgimento delle funzioni di attestatore o di gestore della crisi</w:t>
      </w:r>
    </w:p>
    <w:p w14:paraId="1FB2EC8F" w14:textId="77777777" w:rsidR="004A4C97" w:rsidRPr="004A4C97" w:rsidRDefault="004A4C97" w:rsidP="006146A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5A1BC849" w14:textId="77777777" w:rsidR="006146A3" w:rsidRPr="006146A3" w:rsidRDefault="006146A3" w:rsidP="006146A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74D7093B" w14:textId="77777777" w:rsidR="006146A3" w:rsidRDefault="006146A3" w:rsidP="006146A3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146A3">
        <w:rPr>
          <w:rFonts w:ascii="Arial" w:hAnsi="Arial" w:cs="Arial"/>
          <w:i/>
          <w:iCs/>
          <w:color w:val="000000"/>
          <w:sz w:val="23"/>
          <w:szCs w:val="23"/>
        </w:rPr>
        <w:t>Roma, 25 giugno 2024 –</w:t>
      </w:r>
      <w:r w:rsidRPr="006146A3">
        <w:rPr>
          <w:rFonts w:ascii="Arial" w:hAnsi="Arial" w:cs="Arial"/>
          <w:color w:val="000000"/>
          <w:sz w:val="23"/>
          <w:szCs w:val="23"/>
        </w:rPr>
        <w:t> “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Falso in attestazioni e relazioni nel codice della crisi di impresa e dell’insolvenza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” è il titolo di un nuovo documento pubblicato da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 xml:space="preserve">Consiglio nazionale e Fondazione nazionale di ricerca dei commercialisti 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nell’ambito dell’attività delle aree “Funzioni giudiziarie” e “Gestione della crisi d’impresa e procedure concorsuali”, alle quali sono delegati il segretario e i consiglieri nazionali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Giovanna Greco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,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Cristina Marrone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 e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Pierpaolo Sanna</w:t>
      </w:r>
      <w:r w:rsidRPr="006146A3">
        <w:rPr>
          <w:rFonts w:ascii="Arial" w:hAnsi="Arial" w:cs="Arial"/>
          <w:color w:val="000000"/>
          <w:sz w:val="23"/>
          <w:szCs w:val="23"/>
        </w:rPr>
        <w:t>.</w:t>
      </w:r>
    </w:p>
    <w:p w14:paraId="295E4FF3" w14:textId="788A06C1" w:rsidR="006146A3" w:rsidRPr="006146A3" w:rsidRDefault="006146A3" w:rsidP="006146A3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22DE01E" w14:textId="1BB0EB09" w:rsidR="006146A3" w:rsidRPr="006146A3" w:rsidRDefault="006146A3" w:rsidP="006146A3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146A3">
        <w:rPr>
          <w:rFonts w:ascii="Arial" w:hAnsi="Arial" w:cs="Arial"/>
          <w:color w:val="000000"/>
          <w:sz w:val="23"/>
          <w:szCs w:val="23"/>
        </w:rPr>
        <w:t xml:space="preserve">Nell’introduzione al documento, realizzato da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Cristina Bauco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 e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Roberto Eustachio Sisto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, i tre esponenti del Consiglio nazionale sottolineano come “la riforma della crisi di impresa conferma la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centralità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 del ruolo svolto dal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professionista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 per il risanamento delle imprese in crisi. La valorizzazione delle competenze tecniche dell’aziendalista viene affermata anche nello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schema di decreto correttivo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 del Codice della crisi, approvato lo scorso 10 giugno dal </w:t>
      </w:r>
      <w:r w:rsidRPr="006146A3">
        <w:rPr>
          <w:rFonts w:ascii="Arial" w:hAnsi="Arial" w:cs="Arial"/>
          <w:color w:val="000000"/>
          <w:sz w:val="23"/>
          <w:szCs w:val="23"/>
        </w:rPr>
        <w:t>Consiglio dei ministri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, dove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aggiuntive prerogative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 sono assegnate al professionista indipendente chiamato a rilasciare le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attestazioni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 secondo le indicazioni della novella”. Al contempo, per quanto attiene alle crisi dei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 xml:space="preserve">soggetti </w:t>
      </w:r>
      <w:proofErr w:type="spellStart"/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sovraindebitati</w:t>
      </w:r>
      <w:proofErr w:type="spellEnd"/>
      <w:r w:rsidRPr="006146A3">
        <w:rPr>
          <w:rFonts w:ascii="Arial" w:hAnsi="Arial" w:cs="Arial"/>
          <w:color w:val="000000"/>
          <w:sz w:val="23"/>
          <w:szCs w:val="23"/>
        </w:rPr>
        <w:t xml:space="preserve">, “il Codice conferma la centralità degli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organismi di composizione</w:t>
      </w:r>
      <w:r w:rsidRPr="006146A3">
        <w:rPr>
          <w:rFonts w:ascii="Arial" w:hAnsi="Arial" w:cs="Arial"/>
          <w:color w:val="000000"/>
          <w:sz w:val="23"/>
          <w:szCs w:val="23"/>
        </w:rPr>
        <w:t> della crisi istituiti anche presso gli Ordini professionali”.</w:t>
      </w:r>
    </w:p>
    <w:p w14:paraId="35B877BA" w14:textId="77777777" w:rsidR="006146A3" w:rsidRDefault="006146A3" w:rsidP="006146A3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4FB9346" w14:textId="623210B9" w:rsidR="006146A3" w:rsidRPr="006146A3" w:rsidRDefault="006146A3" w:rsidP="006146A3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146A3">
        <w:rPr>
          <w:rFonts w:ascii="Arial" w:hAnsi="Arial" w:cs="Arial"/>
          <w:color w:val="000000"/>
          <w:sz w:val="23"/>
          <w:szCs w:val="23"/>
        </w:rPr>
        <w:t xml:space="preserve">Il Consiglio Nazionale, aggiungono Greco, Marrone e Sanna, “dedica a queste tematiche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specifica attenzione</w:t>
      </w:r>
      <w:r w:rsidRPr="006146A3">
        <w:rPr>
          <w:rFonts w:ascii="Arial" w:hAnsi="Arial" w:cs="Arial"/>
          <w:color w:val="000000"/>
          <w:sz w:val="23"/>
          <w:szCs w:val="23"/>
        </w:rPr>
        <w:t> curando la pubblicazione di documenti interpretativi e linee guida finalizzati a indirizzare l’attività dei Professionisti nello svolgimento delle funzioni di attestatore o di gestore della crisi. La recente pubblicazione dei “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Principi di attestazione dei piani di risanamento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”, con l’obiettivo di individuare utili modelli operativi e standard di relazione o di attestazione per i professionisti indipendenti – attestatori della veridicità e fattibilità dei piani di risanamento, nonché autori degli altri peculiari giudizi previsti nel Codice della crisi d’impresa e dell’insolvenza – si sofferma anche sull’individuazione delle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responsabilità civili e penali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 dell’attestatore, dedicando a queste tematiche i Principi della sezione 11”.</w:t>
      </w:r>
    </w:p>
    <w:p w14:paraId="2A98571F" w14:textId="77777777" w:rsidR="006146A3" w:rsidRDefault="006146A3" w:rsidP="006146A3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24DBCFE" w14:textId="00D5F157" w:rsidR="006146A3" w:rsidRPr="006146A3" w:rsidRDefault="006146A3" w:rsidP="006146A3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146A3">
        <w:rPr>
          <w:rFonts w:ascii="Arial" w:hAnsi="Arial" w:cs="Arial"/>
          <w:color w:val="000000"/>
          <w:sz w:val="23"/>
          <w:szCs w:val="23"/>
        </w:rPr>
        <w:t>“Le novità segnalate nei Principi – proseguono - unitamente alle modifiche apportate dall’art. 342 del Codice della crisi in ordine al reato di “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Falso in attestazioni e relazioni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”, hanno suggerito l’idea di dedicare, con questo documento, particolare attenzione all’esame della fattispecie disciplinata nel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capo III del titolo IX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 del medesimo Codice. Inoltre, considerata la </w:t>
      </w:r>
      <w:r w:rsidRPr="006146A3">
        <w:rPr>
          <w:rFonts w:ascii="Arial" w:hAnsi="Arial" w:cs="Arial"/>
          <w:i/>
          <w:iCs/>
          <w:color w:val="000000"/>
          <w:sz w:val="23"/>
          <w:szCs w:val="23"/>
        </w:rPr>
        <w:t xml:space="preserve">reductio ad </w:t>
      </w:r>
      <w:proofErr w:type="spellStart"/>
      <w:r w:rsidRPr="006146A3">
        <w:rPr>
          <w:rFonts w:ascii="Arial" w:hAnsi="Arial" w:cs="Arial"/>
          <w:i/>
          <w:iCs/>
          <w:color w:val="000000"/>
          <w:sz w:val="23"/>
          <w:szCs w:val="23"/>
        </w:rPr>
        <w:t>unitatem</w:t>
      </w:r>
      <w:proofErr w:type="spellEnd"/>
      <w:r w:rsidRPr="006146A3">
        <w:rPr>
          <w:rFonts w:ascii="Arial" w:hAnsi="Arial" w:cs="Arial"/>
          <w:color w:val="000000"/>
          <w:sz w:val="23"/>
          <w:szCs w:val="23"/>
        </w:rPr>
        <w:t xml:space="preserve"> effettuata con riferimento alle procedure di composizione delle crisi da sovraindebitamento e alla liquidazione controllata del </w:t>
      </w:r>
      <w:proofErr w:type="spellStart"/>
      <w:r w:rsidRPr="006146A3">
        <w:rPr>
          <w:rFonts w:ascii="Arial" w:hAnsi="Arial" w:cs="Arial"/>
          <w:color w:val="000000"/>
          <w:sz w:val="23"/>
          <w:szCs w:val="23"/>
        </w:rPr>
        <w:t>sovraindebitato</w:t>
      </w:r>
      <w:proofErr w:type="spellEnd"/>
      <w:r w:rsidRPr="006146A3">
        <w:rPr>
          <w:rFonts w:ascii="Arial" w:hAnsi="Arial" w:cs="Arial"/>
          <w:color w:val="000000"/>
          <w:sz w:val="23"/>
          <w:szCs w:val="23"/>
        </w:rPr>
        <w:t xml:space="preserve"> che, già regolate dalla legge n. 27 gennaio 2012, n. 3, trovano attualmente compiuta disciplina nel Codice della crisi d’impresa e dell’insolvenza, e preso atto delle pressoché simmetriche previsioni che disciplinano il reato di falso in attestazioni commesso dal componente dell’organismo di composizione della crisi, nel documento vengono svolte alcune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generali considerazioni</w:t>
      </w:r>
      <w:r w:rsidRPr="006146A3">
        <w:rPr>
          <w:rFonts w:ascii="Arial" w:hAnsi="Arial" w:cs="Arial"/>
          <w:color w:val="000000"/>
          <w:sz w:val="23"/>
          <w:szCs w:val="23"/>
        </w:rPr>
        <w:t xml:space="preserve"> in ordine alla </w:t>
      </w:r>
      <w:r w:rsidRPr="006146A3">
        <w:rPr>
          <w:rFonts w:ascii="Arial" w:hAnsi="Arial" w:cs="Arial"/>
          <w:b/>
          <w:bCs/>
          <w:color w:val="000000"/>
          <w:sz w:val="23"/>
          <w:szCs w:val="23"/>
        </w:rPr>
        <w:t>portata applicativa</w:t>
      </w:r>
      <w:r w:rsidRPr="006146A3">
        <w:rPr>
          <w:rFonts w:ascii="Arial" w:hAnsi="Arial" w:cs="Arial"/>
          <w:color w:val="000000"/>
          <w:sz w:val="23"/>
          <w:szCs w:val="23"/>
        </w:rPr>
        <w:t> dell’art. 344, commi terzo e quarto, del Codice della crisi d’impresa e dell’insolvenza”.</w:t>
      </w:r>
    </w:p>
    <w:p w14:paraId="59372E5D" w14:textId="73D1B2E6" w:rsidR="00585AA7" w:rsidRPr="006146A3" w:rsidRDefault="00585AA7" w:rsidP="006146A3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sectPr w:rsidR="00585AA7" w:rsidRPr="006146A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309F8" w14:textId="77777777" w:rsidR="002D047D" w:rsidRDefault="002D047D" w:rsidP="002529AE">
      <w:pPr>
        <w:spacing w:after="0" w:line="240" w:lineRule="auto"/>
      </w:pPr>
      <w:r>
        <w:separator/>
      </w:r>
    </w:p>
  </w:endnote>
  <w:endnote w:type="continuationSeparator" w:id="0">
    <w:p w14:paraId="5E21DBF8" w14:textId="77777777" w:rsidR="002D047D" w:rsidRDefault="002D047D" w:rsidP="002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EDBA3" w14:textId="77777777" w:rsidR="002D047D" w:rsidRDefault="002D047D" w:rsidP="002529AE">
      <w:pPr>
        <w:spacing w:after="0" w:line="240" w:lineRule="auto"/>
      </w:pPr>
      <w:r>
        <w:separator/>
      </w:r>
    </w:p>
  </w:footnote>
  <w:footnote w:type="continuationSeparator" w:id="0">
    <w:p w14:paraId="2317D760" w14:textId="77777777" w:rsidR="002D047D" w:rsidRDefault="002D047D" w:rsidP="002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7D05D" w14:textId="1D394E81" w:rsidR="002529AE" w:rsidRDefault="004B1B08" w:rsidP="002529AE">
    <w:pPr>
      <w:pStyle w:val="Intestazione"/>
      <w:jc w:val="center"/>
    </w:pPr>
    <w:r>
      <w:rPr>
        <w:noProof/>
      </w:rPr>
      <w:drawing>
        <wp:inline distT="0" distB="0" distL="0" distR="0" wp14:anchorId="3A85769E" wp14:editId="2D245761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55070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E"/>
    <w:rsid w:val="00014440"/>
    <w:rsid w:val="00020733"/>
    <w:rsid w:val="00023E2E"/>
    <w:rsid w:val="000C30EB"/>
    <w:rsid w:val="001239B8"/>
    <w:rsid w:val="00135D97"/>
    <w:rsid w:val="00137172"/>
    <w:rsid w:val="0017242B"/>
    <w:rsid w:val="001F119D"/>
    <w:rsid w:val="001F7FB0"/>
    <w:rsid w:val="00207194"/>
    <w:rsid w:val="00212B7E"/>
    <w:rsid w:val="00212F79"/>
    <w:rsid w:val="002529AE"/>
    <w:rsid w:val="002647A9"/>
    <w:rsid w:val="002B6582"/>
    <w:rsid w:val="002B73EA"/>
    <w:rsid w:val="002C0792"/>
    <w:rsid w:val="002C3934"/>
    <w:rsid w:val="002D047D"/>
    <w:rsid w:val="002D148F"/>
    <w:rsid w:val="002D288D"/>
    <w:rsid w:val="002D2B48"/>
    <w:rsid w:val="002D7FB3"/>
    <w:rsid w:val="002F3818"/>
    <w:rsid w:val="002F46E3"/>
    <w:rsid w:val="00304F0C"/>
    <w:rsid w:val="0031757C"/>
    <w:rsid w:val="00321757"/>
    <w:rsid w:val="00332481"/>
    <w:rsid w:val="00337292"/>
    <w:rsid w:val="003671AE"/>
    <w:rsid w:val="00367390"/>
    <w:rsid w:val="003E3515"/>
    <w:rsid w:val="003F7109"/>
    <w:rsid w:val="004272DD"/>
    <w:rsid w:val="00440355"/>
    <w:rsid w:val="00473F0F"/>
    <w:rsid w:val="004777EC"/>
    <w:rsid w:val="00490712"/>
    <w:rsid w:val="00496C7E"/>
    <w:rsid w:val="004A3510"/>
    <w:rsid w:val="004A4C97"/>
    <w:rsid w:val="004B1B08"/>
    <w:rsid w:val="004B6C7E"/>
    <w:rsid w:val="004D05DC"/>
    <w:rsid w:val="00515B0A"/>
    <w:rsid w:val="0053398A"/>
    <w:rsid w:val="00535204"/>
    <w:rsid w:val="00561A59"/>
    <w:rsid w:val="00570CD9"/>
    <w:rsid w:val="00573006"/>
    <w:rsid w:val="00585AA7"/>
    <w:rsid w:val="0059205B"/>
    <w:rsid w:val="005A68D3"/>
    <w:rsid w:val="005A6DA4"/>
    <w:rsid w:val="005B6FD8"/>
    <w:rsid w:val="005C2AE5"/>
    <w:rsid w:val="005C6A24"/>
    <w:rsid w:val="006146A3"/>
    <w:rsid w:val="00645A7C"/>
    <w:rsid w:val="00675640"/>
    <w:rsid w:val="00676DAD"/>
    <w:rsid w:val="00676E3C"/>
    <w:rsid w:val="006826FC"/>
    <w:rsid w:val="00687BE6"/>
    <w:rsid w:val="006A67DC"/>
    <w:rsid w:val="006D4C12"/>
    <w:rsid w:val="006D6FFA"/>
    <w:rsid w:val="007057A4"/>
    <w:rsid w:val="00721BD0"/>
    <w:rsid w:val="0073207F"/>
    <w:rsid w:val="00773A2F"/>
    <w:rsid w:val="00790E58"/>
    <w:rsid w:val="00797335"/>
    <w:rsid w:val="007C27B9"/>
    <w:rsid w:val="00847807"/>
    <w:rsid w:val="0087211F"/>
    <w:rsid w:val="00896A68"/>
    <w:rsid w:val="008D2CB5"/>
    <w:rsid w:val="008D4220"/>
    <w:rsid w:val="008E045B"/>
    <w:rsid w:val="008E2699"/>
    <w:rsid w:val="0091474D"/>
    <w:rsid w:val="00926E20"/>
    <w:rsid w:val="009737DD"/>
    <w:rsid w:val="00973C1F"/>
    <w:rsid w:val="009777F2"/>
    <w:rsid w:val="00987A16"/>
    <w:rsid w:val="009D2894"/>
    <w:rsid w:val="009E0269"/>
    <w:rsid w:val="009F43A0"/>
    <w:rsid w:val="00A05DD5"/>
    <w:rsid w:val="00A43F5F"/>
    <w:rsid w:val="00A852D9"/>
    <w:rsid w:val="00A863D4"/>
    <w:rsid w:val="00AA21B0"/>
    <w:rsid w:val="00B472D1"/>
    <w:rsid w:val="00B516AE"/>
    <w:rsid w:val="00B552D6"/>
    <w:rsid w:val="00B73FE1"/>
    <w:rsid w:val="00BB6502"/>
    <w:rsid w:val="00BD6570"/>
    <w:rsid w:val="00C17110"/>
    <w:rsid w:val="00C175FF"/>
    <w:rsid w:val="00C379E9"/>
    <w:rsid w:val="00C4088C"/>
    <w:rsid w:val="00C7020F"/>
    <w:rsid w:val="00CB65C5"/>
    <w:rsid w:val="00D02E2F"/>
    <w:rsid w:val="00D95618"/>
    <w:rsid w:val="00E1622E"/>
    <w:rsid w:val="00E81F50"/>
    <w:rsid w:val="00E86DFF"/>
    <w:rsid w:val="00EA3FE2"/>
    <w:rsid w:val="00EB0DAF"/>
    <w:rsid w:val="00EC1E8F"/>
    <w:rsid w:val="00ED395F"/>
    <w:rsid w:val="00F05FD7"/>
    <w:rsid w:val="00F33E9E"/>
    <w:rsid w:val="00F3758A"/>
    <w:rsid w:val="00F40C7D"/>
    <w:rsid w:val="00F51BA3"/>
    <w:rsid w:val="00F91CC8"/>
    <w:rsid w:val="00FC7EFE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44A2"/>
  <w15:chartTrackingRefBased/>
  <w15:docId w15:val="{AF4F9998-FCF1-4FCB-BA04-5FFB7E8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9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9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9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9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9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9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9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9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9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9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9A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AE"/>
  </w:style>
  <w:style w:type="paragraph" w:styleId="Pidipagina">
    <w:name w:val="footer"/>
    <w:basedOn w:val="Normale"/>
    <w:link w:val="Pidipagina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AE"/>
  </w:style>
  <w:style w:type="character" w:styleId="Collegamentoipertestuale">
    <w:name w:val="Hyperlink"/>
    <w:basedOn w:val="Carpredefinitoparagrafo"/>
    <w:uiPriority w:val="99"/>
    <w:unhideWhenUsed/>
    <w:rsid w:val="002529A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8D3"/>
    <w:rPr>
      <w:color w:val="96607D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014440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semiHidden/>
    <w:unhideWhenUsed/>
    <w:rsid w:val="0084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43F5F"/>
    <w:rPr>
      <w:b/>
      <w:bCs/>
    </w:rPr>
  </w:style>
  <w:style w:type="paragraph" w:styleId="Testonotaapidipagina">
    <w:name w:val="footnote text"/>
    <w:aliases w:val="Nota_2,Testo nota a piè di pagina Carattere Carattere,Testo nota a piè di pagina Carattere1 Carattere Carattere,Testo nota a piè di pagina Carattere2 Carattere Carattere,note,o,stile 1,f"/>
    <w:basedOn w:val="Normale"/>
    <w:link w:val="TestonotaapidipaginaCarattere"/>
    <w:uiPriority w:val="99"/>
    <w:unhideWhenUsed/>
    <w:qFormat/>
    <w:rsid w:val="002C3934"/>
    <w:pPr>
      <w:spacing w:after="0" w:line="240" w:lineRule="auto"/>
      <w:jc w:val="both"/>
    </w:pPr>
    <w:rPr>
      <w:rFonts w:eastAsiaTheme="minorEastAsia"/>
      <w:color w:val="595959" w:themeColor="text1" w:themeTint="A6"/>
      <w:kern w:val="0"/>
      <w:sz w:val="20"/>
      <w:szCs w:val="20"/>
      <w14:ligatures w14:val="none"/>
    </w:rPr>
  </w:style>
  <w:style w:type="character" w:customStyle="1" w:styleId="TestonotaapidipaginaCarattere">
    <w:name w:val="Testo nota a piè di pagina Carattere"/>
    <w:aliases w:val="Nota_2 Carattere,Testo nota a piè di pagina Carattere Carattere Carattere,Testo nota a piè di pagina Carattere1 Carattere Carattere Carattere,Testo nota a piè di pagina Carattere2 Carattere Carattere Carattere"/>
    <w:basedOn w:val="Carpredefinitoparagrafo"/>
    <w:link w:val="Testonotaapidipagina"/>
    <w:uiPriority w:val="99"/>
    <w:rsid w:val="002C3934"/>
    <w:rPr>
      <w:rFonts w:eastAsiaTheme="minorEastAsia"/>
      <w:color w:val="595959" w:themeColor="text1" w:themeTint="A6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6C-4D41-4A1D-8EB4-252716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Mastrogiacomo Tiziana</cp:lastModifiedBy>
  <cp:revision>8</cp:revision>
  <dcterms:created xsi:type="dcterms:W3CDTF">2024-06-24T08:15:00Z</dcterms:created>
  <dcterms:modified xsi:type="dcterms:W3CDTF">2024-06-26T08:42:00Z</dcterms:modified>
</cp:coreProperties>
</file>