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E59DA" w14:textId="77777777" w:rsidR="00A0201D" w:rsidRPr="003C7018" w:rsidRDefault="00A0201D" w:rsidP="003C70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14:ligatures w14:val="none"/>
        </w:rPr>
      </w:pPr>
    </w:p>
    <w:p w14:paraId="3D8B0449" w14:textId="77777777" w:rsidR="004B3618" w:rsidRPr="003C7018" w:rsidRDefault="004B3618" w:rsidP="003C70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14:ligatures w14:val="none"/>
        </w:rPr>
      </w:pPr>
    </w:p>
    <w:p w14:paraId="5A2C727C" w14:textId="167FB471" w:rsidR="00A0201D" w:rsidRPr="003C7018" w:rsidRDefault="00A0201D" w:rsidP="003C70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u w:val="single"/>
          <w14:ligatures w14:val="none"/>
        </w:rPr>
      </w:pPr>
      <w:r w:rsidRPr="003C7018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14:ligatures w14:val="none"/>
        </w:rPr>
        <w:t>C</w:t>
      </w:r>
      <w:r w:rsidR="00470B8C" w:rsidRPr="003C7018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14:ligatures w14:val="none"/>
        </w:rPr>
        <w:t>omunicato stampa</w:t>
      </w:r>
    </w:p>
    <w:p w14:paraId="7630E28C" w14:textId="77777777" w:rsidR="00A0201D" w:rsidRPr="003C7018" w:rsidRDefault="00A0201D" w:rsidP="003C7018">
      <w:pPr>
        <w:spacing w:after="0" w:line="240" w:lineRule="auto"/>
        <w:jc w:val="center"/>
        <w:rPr>
          <w:rFonts w:ascii="Aptos" w:eastAsia="Times New Roman" w:hAnsi="Aptos" w:cs="Aptos"/>
          <w:b/>
          <w:bCs/>
          <w:sz w:val="23"/>
          <w:szCs w:val="23"/>
          <w:u w:val="single"/>
          <w14:ligatures w14:val="none"/>
        </w:rPr>
      </w:pPr>
    </w:p>
    <w:p w14:paraId="40D31BE8" w14:textId="77777777" w:rsidR="003C7018" w:rsidRDefault="003C7018" w:rsidP="003C701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FISCO: COMMERCIALISTI, NEL CORRETTIVO APPROVATO IN CDM MISURE APPREZZABILI</w:t>
      </w:r>
    </w:p>
    <w:p w14:paraId="3363916A" w14:textId="77777777" w:rsidR="003C7018" w:rsidRPr="003C7018" w:rsidRDefault="003C7018" w:rsidP="003C7018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7DE26E9E" w14:textId="77777777" w:rsidR="003C7018" w:rsidRDefault="003C7018" w:rsidP="003C701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De Nuccio e Regalbuto: “Accolte diverse richieste del Consiglio nazionale. Passi avanti su cooperative, concordato e adempimenti”</w:t>
      </w:r>
    </w:p>
    <w:p w14:paraId="436164DB" w14:textId="77777777" w:rsidR="003C7018" w:rsidRDefault="003C7018" w:rsidP="003C701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DA58F1D" w14:textId="77777777" w:rsidR="003C7018" w:rsidRPr="003C7018" w:rsidRDefault="003C7018" w:rsidP="003C7018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72BA8D58" w14:textId="77777777" w:rsidR="003C7018" w:rsidRDefault="003C7018" w:rsidP="003C7018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C7018">
        <w:rPr>
          <w:rFonts w:ascii="Arial" w:hAnsi="Arial" w:cs="Arial"/>
          <w:i/>
          <w:iCs/>
          <w:color w:val="000000"/>
          <w:sz w:val="23"/>
          <w:szCs w:val="23"/>
        </w:rPr>
        <w:t>Roma, 20 giugno 2024 –</w:t>
      </w:r>
      <w:r w:rsidRPr="003C7018">
        <w:rPr>
          <w:rFonts w:ascii="Arial" w:hAnsi="Arial" w:cs="Arial"/>
          <w:color w:val="000000"/>
          <w:sz w:val="23"/>
          <w:szCs w:val="23"/>
        </w:rPr>
        <w:t> Misure “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apprezzabili</w:t>
      </w:r>
      <w:r w:rsidRPr="003C7018">
        <w:rPr>
          <w:rFonts w:ascii="Arial" w:hAnsi="Arial" w:cs="Arial"/>
          <w:color w:val="000000"/>
          <w:sz w:val="23"/>
          <w:szCs w:val="23"/>
        </w:rPr>
        <w:t xml:space="preserve">” su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cooperative compliance</w:t>
      </w:r>
      <w:r w:rsidRPr="003C7018">
        <w:rPr>
          <w:rFonts w:ascii="Arial" w:hAnsi="Arial" w:cs="Arial"/>
          <w:color w:val="000000"/>
          <w:sz w:val="23"/>
          <w:szCs w:val="23"/>
        </w:rPr>
        <w:t xml:space="preserve">,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concordato preventivo biennale</w:t>
      </w:r>
      <w:r w:rsidRPr="003C7018">
        <w:rPr>
          <w:rFonts w:ascii="Arial" w:hAnsi="Arial" w:cs="Arial"/>
          <w:color w:val="000000"/>
          <w:sz w:val="23"/>
          <w:szCs w:val="23"/>
        </w:rPr>
        <w:t xml:space="preserve"> e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adempimenti fiscali</w:t>
      </w:r>
      <w:r w:rsidRPr="003C7018">
        <w:rPr>
          <w:rFonts w:ascii="Arial" w:hAnsi="Arial" w:cs="Arial"/>
          <w:color w:val="000000"/>
          <w:sz w:val="23"/>
          <w:szCs w:val="23"/>
        </w:rPr>
        <w:t xml:space="preserve">, anche se “il nostro auspicio è che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ulteriori modifiche migliorative</w:t>
      </w:r>
      <w:r w:rsidRPr="003C7018">
        <w:rPr>
          <w:rFonts w:ascii="Arial" w:hAnsi="Arial" w:cs="Arial"/>
          <w:color w:val="000000"/>
          <w:sz w:val="23"/>
          <w:szCs w:val="23"/>
        </w:rPr>
        <w:t xml:space="preserve"> possano giungere nel percorso di esame del provvedimento in Parlamento”. È il commento del presidente del Consiglio nazionale dei commercialisti,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Elbano de Nuccio</w:t>
      </w:r>
      <w:r w:rsidRPr="003C7018">
        <w:rPr>
          <w:rFonts w:ascii="Arial" w:hAnsi="Arial" w:cs="Arial"/>
          <w:color w:val="000000"/>
          <w:sz w:val="23"/>
          <w:szCs w:val="23"/>
        </w:rPr>
        <w:t>, all’approvazione in Consiglio dei ministri del decreto correttivo fiscale.</w:t>
      </w:r>
    </w:p>
    <w:p w14:paraId="3F794F81" w14:textId="77777777" w:rsidR="003C7018" w:rsidRPr="003C7018" w:rsidRDefault="003C7018" w:rsidP="003C7018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79CD632C" w14:textId="77777777" w:rsidR="003C7018" w:rsidRDefault="003C7018" w:rsidP="003C7018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C7018">
        <w:rPr>
          <w:rFonts w:ascii="Arial" w:hAnsi="Arial" w:cs="Arial"/>
          <w:color w:val="000000"/>
          <w:sz w:val="23"/>
          <w:szCs w:val="23"/>
        </w:rPr>
        <w:t xml:space="preserve">De Nuccio sottolinea il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recepimento</w:t>
      </w:r>
      <w:r w:rsidRPr="003C7018">
        <w:rPr>
          <w:rFonts w:ascii="Arial" w:hAnsi="Arial" w:cs="Arial"/>
          <w:color w:val="000000"/>
          <w:sz w:val="23"/>
          <w:szCs w:val="23"/>
        </w:rPr>
        <w:t xml:space="preserve"> di alcune proposte avanzate dal Consiglio nazionale in tema di cooperative compliance, come la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non applicabilità delle sanzioni penali</w:t>
      </w:r>
      <w:r w:rsidRPr="003C7018">
        <w:rPr>
          <w:rFonts w:ascii="Arial" w:hAnsi="Arial" w:cs="Arial"/>
          <w:color w:val="000000"/>
          <w:sz w:val="23"/>
          <w:szCs w:val="23"/>
        </w:rPr>
        <w:t xml:space="preserve"> connesse al reato di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dichiarazione infedele</w:t>
      </w:r>
      <w:r w:rsidRPr="003C7018">
        <w:rPr>
          <w:rFonts w:ascii="Arial" w:hAnsi="Arial" w:cs="Arial"/>
          <w:color w:val="000000"/>
          <w:sz w:val="23"/>
          <w:szCs w:val="23"/>
        </w:rPr>
        <w:t xml:space="preserve"> nonché delle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sanzioni amministrative</w:t>
      </w:r>
      <w:r w:rsidRPr="003C7018">
        <w:rPr>
          <w:rFonts w:ascii="Arial" w:hAnsi="Arial" w:cs="Arial"/>
          <w:color w:val="000000"/>
          <w:sz w:val="23"/>
          <w:szCs w:val="23"/>
        </w:rPr>
        <w:t xml:space="preserve"> per coloro che si dotano volontariamente del tax control framework certificato da un commercialista o da un avvocato. “Si tratta di novità quanto mai opportune – afferma - per rendere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 xml:space="preserve">ancora più efficace </w:t>
      </w:r>
      <w:r w:rsidRPr="003C7018">
        <w:rPr>
          <w:rFonts w:ascii="Arial" w:hAnsi="Arial" w:cs="Arial"/>
          <w:color w:val="000000"/>
          <w:sz w:val="23"/>
          <w:szCs w:val="23"/>
        </w:rPr>
        <w:t xml:space="preserve">il regime, novità che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in alcun modo</w:t>
      </w:r>
      <w:r w:rsidRPr="003C7018">
        <w:rPr>
          <w:rFonts w:ascii="Arial" w:hAnsi="Arial" w:cs="Arial"/>
          <w:color w:val="000000"/>
          <w:sz w:val="23"/>
          <w:szCs w:val="23"/>
        </w:rPr>
        <w:t xml:space="preserve"> possono essere lette come una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depenalizzazione</w:t>
      </w:r>
      <w:r w:rsidRPr="003C7018">
        <w:rPr>
          <w:rFonts w:ascii="Arial" w:hAnsi="Arial" w:cs="Arial"/>
          <w:color w:val="000000"/>
          <w:sz w:val="23"/>
          <w:szCs w:val="23"/>
        </w:rPr>
        <w:t xml:space="preserve">, essendo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espressamente escluse</w:t>
      </w:r>
      <w:r w:rsidRPr="003C7018">
        <w:rPr>
          <w:rFonts w:ascii="Arial" w:hAnsi="Arial" w:cs="Arial"/>
          <w:color w:val="000000"/>
          <w:sz w:val="23"/>
          <w:szCs w:val="23"/>
        </w:rPr>
        <w:t xml:space="preserve"> simulazioni o frodi, ma rappresentano la logica conseguenza della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totale disclosure</w:t>
      </w:r>
      <w:r w:rsidRPr="003C7018">
        <w:rPr>
          <w:rFonts w:ascii="Arial" w:hAnsi="Arial" w:cs="Arial"/>
          <w:color w:val="000000"/>
          <w:sz w:val="23"/>
          <w:szCs w:val="23"/>
        </w:rPr>
        <w:t> della posizione fiscale del contribuente nei confronti dell’Amministrazione Finanziaria”.</w:t>
      </w:r>
    </w:p>
    <w:p w14:paraId="14BCD6DD" w14:textId="77777777" w:rsidR="003C7018" w:rsidRPr="003C7018" w:rsidRDefault="003C7018" w:rsidP="003C7018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57629913" w14:textId="0A642723" w:rsidR="003C7018" w:rsidRDefault="003C7018" w:rsidP="003C7018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C7018">
        <w:rPr>
          <w:rFonts w:ascii="Arial" w:hAnsi="Arial" w:cs="Arial"/>
          <w:color w:val="000000"/>
          <w:sz w:val="23"/>
          <w:szCs w:val="23"/>
        </w:rPr>
        <w:t xml:space="preserve">“Anche sul concordato preventivo biennale – prosegue </w:t>
      </w:r>
      <w:r>
        <w:rPr>
          <w:rFonts w:ascii="Arial" w:hAnsi="Arial" w:cs="Arial"/>
          <w:color w:val="000000"/>
          <w:sz w:val="23"/>
          <w:szCs w:val="23"/>
        </w:rPr>
        <w:t>–</w:t>
      </w:r>
      <w:r w:rsidRPr="003C7018">
        <w:rPr>
          <w:rFonts w:ascii="Arial" w:hAnsi="Arial" w:cs="Arial"/>
          <w:color w:val="000000"/>
          <w:sz w:val="23"/>
          <w:szCs w:val="23"/>
        </w:rPr>
        <w:t xml:space="preserve"> sono state previste norme di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semplificazione</w:t>
      </w:r>
      <w:r w:rsidRPr="003C7018">
        <w:rPr>
          <w:rFonts w:ascii="Arial" w:hAnsi="Arial" w:cs="Arial"/>
          <w:color w:val="000000"/>
          <w:sz w:val="23"/>
          <w:szCs w:val="23"/>
        </w:rPr>
        <w:t xml:space="preserve">, in particolare per quanto attiene al versamento del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secondo acconto</w:t>
      </w:r>
      <w:r w:rsidRPr="003C7018">
        <w:rPr>
          <w:rFonts w:ascii="Arial" w:hAnsi="Arial" w:cs="Arial"/>
          <w:color w:val="000000"/>
          <w:sz w:val="23"/>
          <w:szCs w:val="23"/>
        </w:rPr>
        <w:t xml:space="preserve"> che potrà avvenire, per coloro che aderiranno, con modalità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forfettizzate</w:t>
      </w:r>
      <w:r w:rsidRPr="003C7018">
        <w:rPr>
          <w:rFonts w:ascii="Arial" w:hAnsi="Arial" w:cs="Arial"/>
          <w:color w:val="000000"/>
          <w:sz w:val="23"/>
          <w:szCs w:val="23"/>
        </w:rPr>
        <w:t xml:space="preserve"> sulla differenza tra il reddito concordato e quello del periodo precedente. Altrettanto opportunamente, come da noi proposto, è stata prevista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l’inclusione delle perdite</w:t>
      </w:r>
      <w:r w:rsidRPr="003C7018">
        <w:rPr>
          <w:rFonts w:ascii="Arial" w:hAnsi="Arial" w:cs="Arial"/>
          <w:color w:val="000000"/>
          <w:sz w:val="23"/>
          <w:szCs w:val="23"/>
        </w:rPr>
        <w:t> su crediti fra gli elementi che riducono il reddito concordatario”.</w:t>
      </w:r>
    </w:p>
    <w:p w14:paraId="281EEF16" w14:textId="77777777" w:rsidR="003C7018" w:rsidRPr="003C7018" w:rsidRDefault="003C7018" w:rsidP="003C7018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7C97651C" w14:textId="77777777" w:rsidR="003C7018" w:rsidRDefault="003C7018" w:rsidP="003C7018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C7018">
        <w:rPr>
          <w:rFonts w:ascii="Arial" w:hAnsi="Arial" w:cs="Arial"/>
          <w:color w:val="000000"/>
          <w:sz w:val="23"/>
          <w:szCs w:val="23"/>
        </w:rPr>
        <w:t xml:space="preserve">“Il Consiglio Nazionale - aggiunge il Consigliere nazionale con delega alla fiscalità e tesoriere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Salvatore Regalbuto</w:t>
      </w:r>
      <w:r w:rsidRPr="003C7018">
        <w:rPr>
          <w:rFonts w:ascii="Arial" w:hAnsi="Arial" w:cs="Arial"/>
          <w:color w:val="000000"/>
          <w:sz w:val="23"/>
          <w:szCs w:val="23"/>
        </w:rPr>
        <w:t xml:space="preserve"> - nel percorso di esame in commissione parlamentare dello schema di decreto correttivo presenterà le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ulteriori proposte</w:t>
      </w:r>
      <w:r w:rsidRPr="003C7018">
        <w:rPr>
          <w:rFonts w:ascii="Arial" w:hAnsi="Arial" w:cs="Arial"/>
          <w:color w:val="000000"/>
          <w:sz w:val="23"/>
          <w:szCs w:val="23"/>
        </w:rPr>
        <w:t xml:space="preserve"> tra cui, in particolare, una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 xml:space="preserve">tassazione </w:t>
      </w:r>
      <w:proofErr w:type="spellStart"/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flat</w:t>
      </w:r>
      <w:proofErr w:type="spellEnd"/>
      <w:r w:rsidRPr="003C7018">
        <w:rPr>
          <w:rFonts w:ascii="Arial" w:hAnsi="Arial" w:cs="Arial"/>
          <w:color w:val="000000"/>
          <w:sz w:val="23"/>
          <w:szCs w:val="23"/>
        </w:rPr>
        <w:t> sul maggior reddito concordato e l’estensione ai forfettari della premialità dell’esclusione dagli accertamenti basati su presunzioni semplici già prevista per i soggetti ISA”.</w:t>
      </w:r>
    </w:p>
    <w:p w14:paraId="79F4DB33" w14:textId="77777777" w:rsidR="003C7018" w:rsidRPr="003C7018" w:rsidRDefault="003C7018" w:rsidP="003C7018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570EE300" w14:textId="6C4D6FF3" w:rsidR="003C7018" w:rsidRPr="003C7018" w:rsidRDefault="003C7018" w:rsidP="003C7018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C7018">
        <w:rPr>
          <w:rFonts w:ascii="Arial" w:hAnsi="Arial" w:cs="Arial"/>
          <w:color w:val="000000"/>
          <w:sz w:val="23"/>
          <w:szCs w:val="23"/>
        </w:rPr>
        <w:t xml:space="preserve">“Anche in materia di razionalizzazione degli adempimenti – conclude Regalbuto </w:t>
      </w:r>
      <w:r>
        <w:rPr>
          <w:rFonts w:ascii="Arial" w:hAnsi="Arial" w:cs="Arial"/>
          <w:color w:val="000000"/>
          <w:sz w:val="23"/>
          <w:szCs w:val="23"/>
        </w:rPr>
        <w:t>–</w:t>
      </w:r>
      <w:r w:rsidRPr="003C7018">
        <w:rPr>
          <w:rFonts w:ascii="Arial" w:hAnsi="Arial" w:cs="Arial"/>
          <w:color w:val="000000"/>
          <w:sz w:val="23"/>
          <w:szCs w:val="23"/>
        </w:rPr>
        <w:t xml:space="preserve"> sono state accolte molte delle proposte del Consiglio Nazionale, fra le quali la messa a regime al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31 ottobre</w:t>
      </w:r>
      <w:r w:rsidRPr="003C7018">
        <w:rPr>
          <w:rFonts w:ascii="Arial" w:hAnsi="Arial" w:cs="Arial"/>
          <w:color w:val="000000"/>
          <w:sz w:val="23"/>
          <w:szCs w:val="23"/>
        </w:rPr>
        <w:t xml:space="preserve"> del termine di presentazione delle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dichiarazioni</w:t>
      </w:r>
      <w:r w:rsidRPr="003C7018">
        <w:rPr>
          <w:rFonts w:ascii="Arial" w:hAnsi="Arial" w:cs="Arial"/>
          <w:color w:val="000000"/>
          <w:sz w:val="23"/>
          <w:szCs w:val="23"/>
        </w:rPr>
        <w:t xml:space="preserve">, termine che per l’anno 2024 coinciderà anche con quello per l’eventuale adesione al Concordato preventivo. Dal 2025 il termine per l’adesione al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Concordato preventivo</w:t>
      </w:r>
      <w:r w:rsidRPr="003C7018">
        <w:rPr>
          <w:rFonts w:ascii="Arial" w:hAnsi="Arial" w:cs="Arial"/>
          <w:color w:val="000000"/>
          <w:sz w:val="23"/>
          <w:szCs w:val="23"/>
        </w:rPr>
        <w:t xml:space="preserve"> viene fissato al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31 luglio</w:t>
      </w:r>
      <w:r w:rsidRPr="003C7018">
        <w:rPr>
          <w:rFonts w:ascii="Arial" w:hAnsi="Arial" w:cs="Arial"/>
          <w:color w:val="000000"/>
          <w:sz w:val="23"/>
          <w:szCs w:val="23"/>
        </w:rPr>
        <w:t xml:space="preserve">, concedendo un mese in più ai contribuenti per le necessarie valutazioni. Apprezzabile anche la precisazione che il versamento del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saldo 2023</w:t>
      </w:r>
      <w:r w:rsidRPr="003C7018">
        <w:rPr>
          <w:rFonts w:ascii="Arial" w:hAnsi="Arial" w:cs="Arial"/>
          <w:color w:val="000000"/>
          <w:sz w:val="23"/>
          <w:szCs w:val="23"/>
        </w:rPr>
        <w:t xml:space="preserve"> e della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prima rata di acconto 2024</w:t>
      </w:r>
      <w:r w:rsidRPr="003C7018">
        <w:rPr>
          <w:rFonts w:ascii="Arial" w:hAnsi="Arial" w:cs="Arial"/>
          <w:color w:val="000000"/>
          <w:sz w:val="23"/>
          <w:szCs w:val="23"/>
        </w:rPr>
        <w:t xml:space="preserve"> per la platea dei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soggetti ISA e forfettari</w:t>
      </w:r>
      <w:r w:rsidRPr="003C7018">
        <w:rPr>
          <w:rFonts w:ascii="Arial" w:hAnsi="Arial" w:cs="Arial"/>
          <w:color w:val="000000"/>
          <w:sz w:val="23"/>
          <w:szCs w:val="23"/>
        </w:rPr>
        <w:t xml:space="preserve"> potrà avvenire entro il </w:t>
      </w:r>
      <w:r w:rsidRPr="003C7018">
        <w:rPr>
          <w:rFonts w:ascii="Arial" w:hAnsi="Arial" w:cs="Arial"/>
          <w:b/>
          <w:bCs/>
          <w:color w:val="000000"/>
          <w:sz w:val="23"/>
          <w:szCs w:val="23"/>
        </w:rPr>
        <w:t>30 agosto</w:t>
      </w:r>
      <w:r w:rsidRPr="003C7018">
        <w:rPr>
          <w:rFonts w:ascii="Arial" w:hAnsi="Arial" w:cs="Arial"/>
          <w:color w:val="000000"/>
          <w:sz w:val="23"/>
          <w:szCs w:val="23"/>
        </w:rPr>
        <w:t> con la maggiorazione dello 0,4%”.</w:t>
      </w:r>
    </w:p>
    <w:p w14:paraId="7732222E" w14:textId="6D7D3035" w:rsidR="00607512" w:rsidRPr="004E7C4F" w:rsidRDefault="00607512" w:rsidP="003C7018">
      <w:pPr>
        <w:pStyle w:val="NormaleWeb"/>
        <w:jc w:val="center"/>
        <w:rPr>
          <w:rFonts w:ascii="Arial" w:hAnsi="Arial" w:cs="Arial"/>
          <w:sz w:val="23"/>
          <w:szCs w:val="23"/>
        </w:rPr>
      </w:pPr>
    </w:p>
    <w:sectPr w:rsidR="00607512" w:rsidRPr="004E7C4F" w:rsidSect="00A0201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904E6" w14:textId="77777777" w:rsidR="00F16808" w:rsidRDefault="00F16808">
      <w:pPr>
        <w:spacing w:after="0" w:line="240" w:lineRule="auto"/>
      </w:pPr>
      <w:r>
        <w:separator/>
      </w:r>
    </w:p>
  </w:endnote>
  <w:endnote w:type="continuationSeparator" w:id="0">
    <w:p w14:paraId="6D1EC590" w14:textId="77777777" w:rsidR="00F16808" w:rsidRDefault="00F1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5989D" w14:textId="77777777" w:rsidR="00F16808" w:rsidRDefault="00F16808">
      <w:pPr>
        <w:spacing w:after="0" w:line="240" w:lineRule="auto"/>
      </w:pPr>
      <w:r>
        <w:separator/>
      </w:r>
    </w:p>
  </w:footnote>
  <w:footnote w:type="continuationSeparator" w:id="0">
    <w:p w14:paraId="3610516C" w14:textId="77777777" w:rsidR="00F16808" w:rsidRDefault="00F1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A5A57" w14:textId="14F18B36" w:rsidR="007548C5" w:rsidRDefault="00A0201D" w:rsidP="002529AE">
    <w:pPr>
      <w:pStyle w:val="Intestazione"/>
      <w:jc w:val="center"/>
    </w:pPr>
    <w:r w:rsidRPr="00C94372">
      <w:rPr>
        <w:noProof/>
      </w:rPr>
      <w:drawing>
        <wp:inline distT="0" distB="0" distL="0" distR="0" wp14:anchorId="30C4D634" wp14:editId="3CE76A9B">
          <wp:extent cx="2240280" cy="762000"/>
          <wp:effectExtent l="0" t="0" r="0" b="0"/>
          <wp:docPr id="462794898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1D"/>
    <w:rsid w:val="003C7018"/>
    <w:rsid w:val="00470B8C"/>
    <w:rsid w:val="004B3618"/>
    <w:rsid w:val="004E7C4F"/>
    <w:rsid w:val="005871BB"/>
    <w:rsid w:val="00607512"/>
    <w:rsid w:val="007548C5"/>
    <w:rsid w:val="007A2060"/>
    <w:rsid w:val="00A0201D"/>
    <w:rsid w:val="00C15545"/>
    <w:rsid w:val="00D05847"/>
    <w:rsid w:val="00E213F4"/>
    <w:rsid w:val="00F16808"/>
    <w:rsid w:val="00F66666"/>
    <w:rsid w:val="00F849C3"/>
    <w:rsid w:val="00F92259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A7BA"/>
  <w15:chartTrackingRefBased/>
  <w15:docId w15:val="{80A3BDF4-24B4-40E6-B01D-63AF5974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020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20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020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020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020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020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020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020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20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20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20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020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0201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0201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0201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0201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0201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0201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020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020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20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20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020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0201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0201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0201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020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0201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0201D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0201D"/>
    <w:pPr>
      <w:tabs>
        <w:tab w:val="center" w:pos="4819"/>
        <w:tab w:val="right" w:pos="9638"/>
      </w:tabs>
      <w:spacing w:after="0" w:line="240" w:lineRule="auto"/>
    </w:pPr>
    <w:rPr>
      <w:rFonts w:eastAsia="Times New Roman" w:cs="Times New Roman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01D"/>
    <w:rPr>
      <w:rFonts w:eastAsia="Times New Roman" w:cs="Times New Roman"/>
      <w14:ligatures w14:val="none"/>
    </w:rPr>
  </w:style>
  <w:style w:type="paragraph" w:styleId="NormaleWeb">
    <w:name w:val="Normal (Web)"/>
    <w:basedOn w:val="Normale"/>
    <w:uiPriority w:val="99"/>
    <w:unhideWhenUsed/>
    <w:rsid w:val="00F6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</cp:revision>
  <dcterms:created xsi:type="dcterms:W3CDTF">2024-06-20T13:20:00Z</dcterms:created>
  <dcterms:modified xsi:type="dcterms:W3CDTF">2024-06-24T08:04:00Z</dcterms:modified>
</cp:coreProperties>
</file>