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46C2" w14:textId="77777777" w:rsidR="00273153" w:rsidRDefault="00273153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8D9B16" w14:textId="77777777" w:rsidR="00EB7C31" w:rsidRDefault="00EB7C31" w:rsidP="00EB7C31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0796CD7" w14:textId="5111EBBD" w:rsidR="00EB7C31" w:rsidRDefault="00EB7C31" w:rsidP="00EB7C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B7C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</w:t>
      </w:r>
      <w:r w:rsidRPr="00EB7C31">
        <w:rPr>
          <w:rFonts w:ascii="Arial" w:hAnsi="Arial" w:cs="Arial"/>
          <w:b/>
          <w:bCs/>
          <w:sz w:val="24"/>
          <w:szCs w:val="24"/>
          <w:u w:val="single"/>
        </w:rPr>
        <w:t>omunicato stampa</w:t>
      </w:r>
    </w:p>
    <w:p w14:paraId="1939B63E" w14:textId="77777777" w:rsidR="00EB7C31" w:rsidRPr="00EB7C31" w:rsidRDefault="00EB7C31" w:rsidP="00EB7C3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513CB7" w14:textId="77777777" w:rsidR="00EB7C31" w:rsidRDefault="00EB7C31" w:rsidP="00EB7C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BENI CONFISCATI, DAI COMMERCIALISTI LE LINEE GUIDA SUI COMPENSI</w:t>
      </w:r>
    </w:p>
    <w:p w14:paraId="78775B7F" w14:textId="77777777" w:rsidR="00EB7C31" w:rsidRPr="00EB7C31" w:rsidRDefault="00EB7C31" w:rsidP="00EB7C3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092EC56" w14:textId="77777777" w:rsidR="00EB7C31" w:rsidRDefault="00EB7C31" w:rsidP="00EB7C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Da Consiglio e Fondazione nazionali della categoria un vademecum per i professionisti amministratori e custodi giudiziari-coadiutori dell’ANBSC</w:t>
      </w:r>
    </w:p>
    <w:p w14:paraId="0BB8A360" w14:textId="77777777" w:rsidR="00EB7C31" w:rsidRDefault="00EB7C31" w:rsidP="00EB7C3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102E8A5" w14:textId="77777777" w:rsidR="00EB7C31" w:rsidRPr="00EB7C31" w:rsidRDefault="00EB7C31" w:rsidP="00EB7C3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F814708" w14:textId="0B175739" w:rsidR="00EB7C31" w:rsidRPr="00EB7C31" w:rsidRDefault="00EB7C31" w:rsidP="00EB7C31">
      <w:pPr>
        <w:jc w:val="both"/>
        <w:rPr>
          <w:rFonts w:ascii="Arial" w:hAnsi="Arial" w:cs="Arial"/>
          <w:sz w:val="24"/>
          <w:szCs w:val="24"/>
        </w:rPr>
      </w:pPr>
      <w:r w:rsidRPr="00EB7C31">
        <w:rPr>
          <w:rFonts w:ascii="Arial" w:hAnsi="Arial" w:cs="Arial"/>
          <w:i/>
          <w:iCs/>
          <w:color w:val="000000"/>
          <w:sz w:val="24"/>
          <w:szCs w:val="24"/>
        </w:rPr>
        <w:t>Roma, 17 giugno 2024 -</w:t>
      </w:r>
      <w:r w:rsidRPr="00EB7C31">
        <w:rPr>
          <w:rFonts w:ascii="Arial" w:hAnsi="Arial" w:cs="Arial"/>
          <w:color w:val="000000"/>
          <w:sz w:val="24"/>
          <w:szCs w:val="24"/>
        </w:rPr>
        <w:t> “</w:t>
      </w:r>
      <w:hyperlink r:id="rId7" w:tooltip="https://commercialisti.it/documenti-studio/linee-guida-in-materia-di-compenso-dellamministratore-giudiziario-e-del-coadiutore-dellanbsc/" w:history="1">
        <w:r w:rsidRPr="00EB7C31">
          <w:rPr>
            <w:rStyle w:val="Collegamentoipertestuale"/>
            <w:rFonts w:ascii="Arial" w:hAnsi="Arial" w:cs="Arial"/>
            <w:sz w:val="24"/>
            <w:szCs w:val="24"/>
          </w:rPr>
          <w:t>Linee guida in materia di compenso dell’amministratore giudiziario e del coadiutore dell’ANBSC</w:t>
        </w:r>
      </w:hyperlink>
      <w:r w:rsidRPr="00EB7C31">
        <w:rPr>
          <w:rFonts w:ascii="Arial" w:hAnsi="Arial" w:cs="Arial"/>
          <w:color w:val="000000"/>
          <w:sz w:val="24"/>
          <w:szCs w:val="24"/>
        </w:rPr>
        <w:t xml:space="preserve">” è il titolo del documento pubblicato da Consiglio e Fondazione nazionali dei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commercialisti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 che si pone l’obiettivo di supportare il professionista amministratore/custode giudiziario-coadiutore dell’Agenzia Nazionale per l’amministrazione e la destinazione dei beni sequestrati e confiscati alla criminalità organizzata (ANBSC) nella determinazione del compenso spettante, offrendo un pratico </w:t>
      </w:r>
      <w:r w:rsidRPr="00EB7C3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vademecum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 caratterizzato, tra l’altro, da continui rinvii alla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normativa</w:t>
      </w:r>
      <w:r w:rsidRPr="00EB7C31">
        <w:rPr>
          <w:rFonts w:ascii="Arial" w:hAnsi="Arial" w:cs="Arial"/>
          <w:color w:val="000000"/>
          <w:sz w:val="24"/>
          <w:szCs w:val="24"/>
        </w:rPr>
        <w:t> e alla prassi</w:t>
      </w:r>
      <w:r w:rsidRPr="00EB7C31">
        <w:rPr>
          <w:rFonts w:ascii="Arial" w:hAnsi="Arial" w:cs="Arial"/>
          <w:sz w:val="24"/>
          <w:szCs w:val="24"/>
        </w:rPr>
        <w:t>.</w:t>
      </w:r>
    </w:p>
    <w:p w14:paraId="3D8EC2B1" w14:textId="77777777" w:rsidR="00EB7C31" w:rsidRPr="00EB7C31" w:rsidRDefault="00EB7C31" w:rsidP="00EB7C31">
      <w:pPr>
        <w:jc w:val="both"/>
        <w:rPr>
          <w:rFonts w:ascii="Arial" w:hAnsi="Arial" w:cs="Arial"/>
          <w:sz w:val="24"/>
          <w:szCs w:val="24"/>
        </w:rPr>
      </w:pPr>
    </w:p>
    <w:p w14:paraId="28CFDBE7" w14:textId="77777777" w:rsidR="00EB7C31" w:rsidRPr="00EB7C31" w:rsidRDefault="00EB7C31" w:rsidP="00EB7C3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B7C31">
        <w:rPr>
          <w:rFonts w:ascii="Arial" w:hAnsi="Arial" w:cs="Arial"/>
          <w:color w:val="000000"/>
          <w:sz w:val="24"/>
          <w:szCs w:val="24"/>
        </w:rPr>
        <w:t xml:space="preserve">Il lavoro contiene un’accurata descrizione dei criteri per la determinazione del compenso (per i beni costituiti in azienda, per i beni immobili, per i frutti e per altre tipologie di beni, per la verifica dei crediti, per le attività non disciplinate) e si occupa anche del criterio della prevalenza della gestione più onerosa, del rimborso delle spese generali e dei costi dei coadiutori, del compenso per l’attività su incarico della società e della disciplina degli acconti. Negli allegati sono presenti un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modello di istanza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 di liquidazione di attività di amministrazione giudiziaria e un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foglio di calcolo</w:t>
      </w:r>
      <w:r w:rsidRPr="00EB7C31">
        <w:rPr>
          <w:rFonts w:ascii="Arial" w:hAnsi="Arial" w:cs="Arial"/>
          <w:color w:val="000000"/>
          <w:sz w:val="24"/>
          <w:szCs w:val="24"/>
        </w:rPr>
        <w:t>.</w:t>
      </w:r>
    </w:p>
    <w:p w14:paraId="243C3A33" w14:textId="77777777" w:rsidR="00EB7C31" w:rsidRPr="00EB7C31" w:rsidRDefault="00EB7C31" w:rsidP="00EB7C3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933F5BF" w14:textId="77777777" w:rsidR="00EB7C31" w:rsidRPr="00EB7C31" w:rsidRDefault="00EB7C31" w:rsidP="00EB7C3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B7C31">
        <w:rPr>
          <w:rFonts w:ascii="Arial" w:hAnsi="Arial" w:cs="Arial"/>
          <w:color w:val="000000"/>
          <w:sz w:val="24"/>
          <w:szCs w:val="24"/>
        </w:rPr>
        <w:t xml:space="preserve">Nel documento - curato della Commissione di studio “Compenso dell’amministratore giudiziario e del coadiutore dell’ANBSC” operante nell’area di delega del Consiglio nazionale “Funzioni giudiziarie e ADR”, cui è delegata la consigliera segretaria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Giovanna Greco</w:t>
      </w:r>
      <w:r w:rsidRPr="00EB7C31">
        <w:rPr>
          <w:rFonts w:ascii="Arial" w:hAnsi="Arial" w:cs="Arial"/>
          <w:color w:val="000000"/>
          <w:sz w:val="24"/>
          <w:szCs w:val="24"/>
        </w:rPr>
        <w:t> - si sottolinea inoltre come, a causa della “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infelice/imprecisa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 formulazione della normativa di riferimento (principalmente il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d.P.R. n. 177/2015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), nel territorio nazionale si sono sviluppate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prassi vistosamente differenziate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 che certamente non aiutano l’operatore pratico a districarsi in questa complessa materia”. Il lavoro dei commercialisti contiene dunque delle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proposte emendative al d.P.R. n. 177/2015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, che, secondo la categoria professionale, “necessita di un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adeguamento normativo</w:t>
      </w:r>
      <w:r w:rsidRPr="00EB7C31">
        <w:rPr>
          <w:rFonts w:ascii="Arial" w:hAnsi="Arial" w:cs="Arial"/>
          <w:color w:val="000000"/>
          <w:sz w:val="24"/>
          <w:szCs w:val="24"/>
        </w:rPr>
        <w:t xml:space="preserve"> ormai improcrastinabile”. Il lavoro contiene anche i rilievi del Consiglio nazionale dei commercialisti alla 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bozza di linee guida</w:t>
      </w:r>
      <w:r w:rsidRPr="00EB7C31">
        <w:rPr>
          <w:rFonts w:ascii="Arial" w:hAnsi="Arial" w:cs="Arial"/>
          <w:color w:val="000000"/>
          <w:sz w:val="24"/>
          <w:szCs w:val="24"/>
        </w:rPr>
        <w:t> per la determinazione dei compensi del coadiutore elaborata dall’</w:t>
      </w:r>
      <w:r w:rsidRPr="00EB7C31">
        <w:rPr>
          <w:rFonts w:ascii="Arial" w:hAnsi="Arial" w:cs="Arial"/>
          <w:b/>
          <w:bCs/>
          <w:color w:val="000000"/>
          <w:sz w:val="24"/>
          <w:szCs w:val="24"/>
        </w:rPr>
        <w:t>ANBSC</w:t>
      </w:r>
      <w:r w:rsidRPr="00EB7C31">
        <w:rPr>
          <w:rFonts w:ascii="Arial" w:hAnsi="Arial" w:cs="Arial"/>
          <w:color w:val="000000"/>
          <w:sz w:val="24"/>
          <w:szCs w:val="24"/>
        </w:rPr>
        <w:t>.</w:t>
      </w:r>
    </w:p>
    <w:p w14:paraId="53E5FC49" w14:textId="7CD2DD1C" w:rsidR="002D776A" w:rsidRPr="00EB7C31" w:rsidRDefault="002D776A" w:rsidP="00EB7C31">
      <w:pPr>
        <w:jc w:val="center"/>
        <w:rPr>
          <w:rFonts w:ascii="Arial" w:hAnsi="Arial" w:cs="Arial"/>
          <w:sz w:val="24"/>
          <w:szCs w:val="24"/>
        </w:rPr>
      </w:pPr>
    </w:p>
    <w:sectPr w:rsidR="002D776A" w:rsidRPr="00EB7C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3B225" w14:textId="77777777" w:rsidR="004F53E0" w:rsidRDefault="004F53E0" w:rsidP="00A25D50">
      <w:r>
        <w:separator/>
      </w:r>
    </w:p>
  </w:endnote>
  <w:endnote w:type="continuationSeparator" w:id="0">
    <w:p w14:paraId="36A963D6" w14:textId="77777777" w:rsidR="004F53E0" w:rsidRDefault="004F53E0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DE9B3" w14:textId="77777777" w:rsidR="004F53E0" w:rsidRDefault="004F53E0" w:rsidP="00A25D50">
      <w:r>
        <w:separator/>
      </w:r>
    </w:p>
  </w:footnote>
  <w:footnote w:type="continuationSeparator" w:id="0">
    <w:p w14:paraId="0C9AD876" w14:textId="77777777" w:rsidR="004F53E0" w:rsidRDefault="004F53E0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0AAF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0D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1D16"/>
    <w:rsid w:val="0024253C"/>
    <w:rsid w:val="00242B1F"/>
    <w:rsid w:val="00243892"/>
    <w:rsid w:val="00243F31"/>
    <w:rsid w:val="002647CB"/>
    <w:rsid w:val="00267E62"/>
    <w:rsid w:val="00273153"/>
    <w:rsid w:val="00277377"/>
    <w:rsid w:val="00286050"/>
    <w:rsid w:val="0029043A"/>
    <w:rsid w:val="00297E48"/>
    <w:rsid w:val="002A143A"/>
    <w:rsid w:val="002A46B8"/>
    <w:rsid w:val="002A74FE"/>
    <w:rsid w:val="002B687E"/>
    <w:rsid w:val="002B7D2B"/>
    <w:rsid w:val="002D776A"/>
    <w:rsid w:val="002F0117"/>
    <w:rsid w:val="003002C5"/>
    <w:rsid w:val="003059CF"/>
    <w:rsid w:val="0031113D"/>
    <w:rsid w:val="00333A0F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3E57CF"/>
    <w:rsid w:val="00407826"/>
    <w:rsid w:val="004328C7"/>
    <w:rsid w:val="004415CA"/>
    <w:rsid w:val="00446E08"/>
    <w:rsid w:val="00463C7D"/>
    <w:rsid w:val="004812F0"/>
    <w:rsid w:val="004949BA"/>
    <w:rsid w:val="004B1F06"/>
    <w:rsid w:val="004B7F50"/>
    <w:rsid w:val="004C59E2"/>
    <w:rsid w:val="004D3548"/>
    <w:rsid w:val="004E34CF"/>
    <w:rsid w:val="004E3EC6"/>
    <w:rsid w:val="004E6817"/>
    <w:rsid w:val="004F0506"/>
    <w:rsid w:val="004F53E0"/>
    <w:rsid w:val="004F6EF6"/>
    <w:rsid w:val="0050036C"/>
    <w:rsid w:val="00503FF5"/>
    <w:rsid w:val="005135B9"/>
    <w:rsid w:val="00513CFB"/>
    <w:rsid w:val="0052277C"/>
    <w:rsid w:val="00524E3F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5C28CC"/>
    <w:rsid w:val="006150FC"/>
    <w:rsid w:val="00645F87"/>
    <w:rsid w:val="00646006"/>
    <w:rsid w:val="0065788A"/>
    <w:rsid w:val="0066316D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A5D33"/>
    <w:rsid w:val="007B2325"/>
    <w:rsid w:val="007B6CE4"/>
    <w:rsid w:val="007C2A85"/>
    <w:rsid w:val="007E7258"/>
    <w:rsid w:val="0080228B"/>
    <w:rsid w:val="00803B21"/>
    <w:rsid w:val="008168D0"/>
    <w:rsid w:val="0081779E"/>
    <w:rsid w:val="008240B9"/>
    <w:rsid w:val="00840BF8"/>
    <w:rsid w:val="008417DC"/>
    <w:rsid w:val="0088021D"/>
    <w:rsid w:val="00883612"/>
    <w:rsid w:val="00895B38"/>
    <w:rsid w:val="00897909"/>
    <w:rsid w:val="008A3C1D"/>
    <w:rsid w:val="008B3982"/>
    <w:rsid w:val="008C0436"/>
    <w:rsid w:val="008C35A0"/>
    <w:rsid w:val="008C3FA9"/>
    <w:rsid w:val="008E140C"/>
    <w:rsid w:val="008E55E3"/>
    <w:rsid w:val="008F01F8"/>
    <w:rsid w:val="008F20FF"/>
    <w:rsid w:val="008F69B1"/>
    <w:rsid w:val="00901181"/>
    <w:rsid w:val="00904442"/>
    <w:rsid w:val="00905A89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1AC"/>
    <w:rsid w:val="00A53F29"/>
    <w:rsid w:val="00A547B5"/>
    <w:rsid w:val="00A6177B"/>
    <w:rsid w:val="00A618D3"/>
    <w:rsid w:val="00A67C3B"/>
    <w:rsid w:val="00A74AA6"/>
    <w:rsid w:val="00A854AA"/>
    <w:rsid w:val="00AD0700"/>
    <w:rsid w:val="00AD1949"/>
    <w:rsid w:val="00AD19AD"/>
    <w:rsid w:val="00AE049F"/>
    <w:rsid w:val="00AE0BB1"/>
    <w:rsid w:val="00AE2F64"/>
    <w:rsid w:val="00AE2FF1"/>
    <w:rsid w:val="00AF2AB2"/>
    <w:rsid w:val="00B05543"/>
    <w:rsid w:val="00B154FD"/>
    <w:rsid w:val="00B23555"/>
    <w:rsid w:val="00B235FA"/>
    <w:rsid w:val="00B2654F"/>
    <w:rsid w:val="00B278C1"/>
    <w:rsid w:val="00B27A28"/>
    <w:rsid w:val="00B36517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129C"/>
    <w:rsid w:val="00C76BEE"/>
    <w:rsid w:val="00C80173"/>
    <w:rsid w:val="00C82382"/>
    <w:rsid w:val="00C84922"/>
    <w:rsid w:val="00C87780"/>
    <w:rsid w:val="00C974AB"/>
    <w:rsid w:val="00CA01E7"/>
    <w:rsid w:val="00CC5FEA"/>
    <w:rsid w:val="00CC6E36"/>
    <w:rsid w:val="00CE5211"/>
    <w:rsid w:val="00CF5627"/>
    <w:rsid w:val="00D067D4"/>
    <w:rsid w:val="00D1562E"/>
    <w:rsid w:val="00D304CC"/>
    <w:rsid w:val="00D31EDC"/>
    <w:rsid w:val="00D626C3"/>
    <w:rsid w:val="00D66F96"/>
    <w:rsid w:val="00D742E0"/>
    <w:rsid w:val="00D8383C"/>
    <w:rsid w:val="00D86F1A"/>
    <w:rsid w:val="00DA060C"/>
    <w:rsid w:val="00DA0ED2"/>
    <w:rsid w:val="00DB0771"/>
    <w:rsid w:val="00DB19BE"/>
    <w:rsid w:val="00DC6813"/>
    <w:rsid w:val="00DD2A3D"/>
    <w:rsid w:val="00DE1631"/>
    <w:rsid w:val="00DE7244"/>
    <w:rsid w:val="00E1446A"/>
    <w:rsid w:val="00E4100D"/>
    <w:rsid w:val="00E80398"/>
    <w:rsid w:val="00E81144"/>
    <w:rsid w:val="00EB7C31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63019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paragraph" w:customStyle="1" w:styleId="xs3">
    <w:name w:val="x_s3"/>
    <w:basedOn w:val="Normale"/>
    <w:rsid w:val="00441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2">
    <w:name w:val="x_s2"/>
    <w:basedOn w:val="Carpredefinitoparagrafo"/>
    <w:rsid w:val="004415CA"/>
  </w:style>
  <w:style w:type="character" w:customStyle="1" w:styleId="xs8">
    <w:name w:val="x_s8"/>
    <w:basedOn w:val="Carpredefinitoparagrafo"/>
    <w:rsid w:val="0044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ercialisti.it/documenti-studio/linee-guida-in-materia-di-compenso-dellamministratore-giudiziario-e-del-coadiutore-dellanb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2023-12-13T11:29:00Z</cp:lastPrinted>
  <dcterms:created xsi:type="dcterms:W3CDTF">2024-04-30T17:44:00Z</dcterms:created>
  <dcterms:modified xsi:type="dcterms:W3CDTF">2024-06-20T13:02:00Z</dcterms:modified>
</cp:coreProperties>
</file>