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E77D91" w14:textId="77777777" w:rsidR="00CC7C37" w:rsidRPr="00AD6286" w:rsidRDefault="00CC7C37" w:rsidP="00977AC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7E172B3" w14:textId="36FA7F04" w:rsidR="00977AC0" w:rsidRPr="00AD6286" w:rsidRDefault="00977AC0" w:rsidP="00977AC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AD6286">
        <w:rPr>
          <w:rFonts w:ascii="Arial" w:hAnsi="Arial" w:cs="Arial"/>
          <w:b/>
          <w:bCs/>
          <w:u w:val="single"/>
        </w:rPr>
        <w:t>Comunicato stampa</w:t>
      </w:r>
    </w:p>
    <w:p w14:paraId="7EFA3223" w14:textId="77777777" w:rsidR="00977AC0" w:rsidRPr="00AD6286" w:rsidRDefault="00977AC0" w:rsidP="00977AC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F62653E" w14:textId="77777777" w:rsidR="00977AC0" w:rsidRPr="006E0E5E" w:rsidRDefault="00977AC0" w:rsidP="00977AC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6E0E5E">
        <w:rPr>
          <w:rFonts w:ascii="Arial" w:hAnsi="Arial" w:cs="Arial"/>
          <w:b/>
          <w:bCs/>
        </w:rPr>
        <w:t>Una ricerca della Fondazione nazionale dei Commercialisti</w:t>
      </w:r>
    </w:p>
    <w:p w14:paraId="5CD2F787" w14:textId="77777777" w:rsidR="00977AC0" w:rsidRPr="00AD6286" w:rsidRDefault="00977AC0" w:rsidP="00977AC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46EE77D" w14:textId="0F6B3CFB" w:rsidR="00977AC0" w:rsidRPr="00AD6286" w:rsidRDefault="00977AC0" w:rsidP="00977AC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D6286">
        <w:rPr>
          <w:rFonts w:ascii="Arial" w:hAnsi="Arial" w:cs="Arial"/>
          <w:b/>
          <w:bCs/>
        </w:rPr>
        <w:t>COMUNI</w:t>
      </w:r>
      <w:r w:rsidR="0043660B" w:rsidRPr="00AD6286">
        <w:rPr>
          <w:rFonts w:ascii="Arial" w:hAnsi="Arial" w:cs="Arial"/>
          <w:b/>
          <w:bCs/>
        </w:rPr>
        <w:t>:</w:t>
      </w:r>
      <w:r w:rsidRPr="00AD6286">
        <w:rPr>
          <w:rFonts w:ascii="Arial" w:hAnsi="Arial" w:cs="Arial"/>
          <w:b/>
          <w:bCs/>
        </w:rPr>
        <w:t xml:space="preserve"> AUMENTANO LE CRITICIT</w:t>
      </w:r>
      <w:r w:rsidR="0043660B" w:rsidRPr="00AD6286">
        <w:rPr>
          <w:rFonts w:ascii="Arial" w:hAnsi="Arial" w:cs="Arial"/>
          <w:b/>
          <w:bCs/>
        </w:rPr>
        <w:t>À</w:t>
      </w:r>
      <w:r w:rsidRPr="00AD6286">
        <w:rPr>
          <w:rFonts w:ascii="Arial" w:hAnsi="Arial" w:cs="Arial"/>
          <w:b/>
          <w:bCs/>
        </w:rPr>
        <w:t>, 470 IN STATO DI CRISI</w:t>
      </w:r>
    </w:p>
    <w:p w14:paraId="4DB35A09" w14:textId="77777777" w:rsidR="00977AC0" w:rsidRPr="00AD6286" w:rsidRDefault="00977AC0" w:rsidP="00977AC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491EAE0" w14:textId="3600E82F" w:rsidR="00977AC0" w:rsidRPr="00AD6286" w:rsidRDefault="00977AC0" w:rsidP="00977AC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D6286">
        <w:rPr>
          <w:rFonts w:ascii="Arial" w:hAnsi="Arial" w:cs="Arial"/>
          <w:b/>
          <w:bCs/>
        </w:rPr>
        <w:t xml:space="preserve">257 gli enti locali in predissesto e 213 quelli in dissesto. Nettamente più alto il numero di casi al Sud e nei piccoli </w:t>
      </w:r>
      <w:r w:rsidR="0043660B" w:rsidRPr="00AD6286">
        <w:rPr>
          <w:rFonts w:ascii="Arial" w:hAnsi="Arial" w:cs="Arial"/>
          <w:b/>
          <w:bCs/>
        </w:rPr>
        <w:t>C</w:t>
      </w:r>
      <w:r w:rsidRPr="00AD6286">
        <w:rPr>
          <w:rFonts w:ascii="Arial" w:hAnsi="Arial" w:cs="Arial"/>
          <w:b/>
          <w:bCs/>
        </w:rPr>
        <w:t>omuni.</w:t>
      </w:r>
      <w:r w:rsidR="0043660B" w:rsidRPr="00AD6286">
        <w:rPr>
          <w:rFonts w:ascii="Arial" w:hAnsi="Arial" w:cs="Arial"/>
          <w:b/>
          <w:bCs/>
        </w:rPr>
        <w:t xml:space="preserve"> Il presidente d</w:t>
      </w:r>
      <w:r w:rsidRPr="00AD6286">
        <w:rPr>
          <w:rFonts w:ascii="Arial" w:hAnsi="Arial" w:cs="Arial"/>
          <w:b/>
          <w:bCs/>
        </w:rPr>
        <w:t xml:space="preserve">e Nuccio: “Normativa inadeguata. Rafforzare i controlli nei </w:t>
      </w:r>
      <w:r w:rsidR="0043660B" w:rsidRPr="00AD6286">
        <w:rPr>
          <w:rFonts w:ascii="Arial" w:hAnsi="Arial" w:cs="Arial"/>
          <w:b/>
          <w:bCs/>
        </w:rPr>
        <w:t>C</w:t>
      </w:r>
      <w:r w:rsidRPr="00AD6286">
        <w:rPr>
          <w:rFonts w:ascii="Arial" w:hAnsi="Arial" w:cs="Arial"/>
          <w:b/>
          <w:bCs/>
        </w:rPr>
        <w:t>omuni sotto i 15mila abitanti e gli strumenti per l’emersione tempestiva delle situazioni di squilibrio”</w:t>
      </w:r>
    </w:p>
    <w:p w14:paraId="1CEC8AE3" w14:textId="77777777" w:rsidR="00977AC0" w:rsidRPr="00AD6286" w:rsidRDefault="00977AC0" w:rsidP="00977AC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14:paraId="3998F584" w14:textId="56D0CC09" w:rsidR="00977AC0" w:rsidRPr="00AD6286" w:rsidRDefault="00977AC0" w:rsidP="00977AC0">
      <w:pPr>
        <w:spacing w:after="0" w:line="240" w:lineRule="auto"/>
        <w:jc w:val="both"/>
        <w:rPr>
          <w:rFonts w:ascii="Arial" w:hAnsi="Arial" w:cs="Arial"/>
        </w:rPr>
      </w:pPr>
      <w:r w:rsidRPr="00AD6286">
        <w:rPr>
          <w:rFonts w:ascii="Arial" w:hAnsi="Arial" w:cs="Arial"/>
          <w:i/>
          <w:iCs/>
        </w:rPr>
        <w:t>Roma, 14 giugno 2024 –</w:t>
      </w:r>
      <w:r w:rsidRPr="00AD6286">
        <w:rPr>
          <w:rFonts w:ascii="Arial" w:hAnsi="Arial" w:cs="Arial"/>
        </w:rPr>
        <w:t xml:space="preserve"> </w:t>
      </w:r>
      <w:r w:rsidRPr="00AD6286">
        <w:rPr>
          <w:rFonts w:ascii="Arial" w:hAnsi="Arial" w:cs="Arial"/>
          <w:b/>
          <w:bCs/>
        </w:rPr>
        <w:t>470 comuni</w:t>
      </w:r>
      <w:r w:rsidRPr="00AD6286">
        <w:rPr>
          <w:rFonts w:ascii="Arial" w:hAnsi="Arial" w:cs="Arial"/>
        </w:rPr>
        <w:t xml:space="preserve"> italiani (il</w:t>
      </w:r>
      <w:r w:rsidRPr="00AD6286">
        <w:rPr>
          <w:rFonts w:ascii="Arial" w:hAnsi="Arial" w:cs="Arial"/>
          <w:b/>
          <w:bCs/>
        </w:rPr>
        <w:t xml:space="preserve"> 6%</w:t>
      </w:r>
      <w:r w:rsidRPr="00AD6286">
        <w:rPr>
          <w:rFonts w:ascii="Arial" w:hAnsi="Arial" w:cs="Arial"/>
        </w:rPr>
        <w:t xml:space="preserve"> del totale) in </w:t>
      </w:r>
      <w:r w:rsidRPr="00AD6286">
        <w:rPr>
          <w:rFonts w:ascii="Arial" w:hAnsi="Arial" w:cs="Arial"/>
          <w:b/>
          <w:bCs/>
        </w:rPr>
        <w:t>stato di crisi (257 in predissesto e 213 in dissesto)</w:t>
      </w:r>
      <w:r w:rsidRPr="00AD6286">
        <w:rPr>
          <w:rFonts w:ascii="Arial" w:hAnsi="Arial" w:cs="Arial"/>
        </w:rPr>
        <w:t xml:space="preserve">, concentrati prevalentemente al </w:t>
      </w:r>
      <w:r w:rsidRPr="00AD6286">
        <w:rPr>
          <w:rFonts w:ascii="Arial" w:hAnsi="Arial" w:cs="Arial"/>
          <w:b/>
          <w:bCs/>
        </w:rPr>
        <w:t>Sud</w:t>
      </w:r>
      <w:r w:rsidRPr="00AD6286">
        <w:rPr>
          <w:rFonts w:ascii="Arial" w:hAnsi="Arial" w:cs="Arial"/>
        </w:rPr>
        <w:t xml:space="preserve">, con una </w:t>
      </w:r>
      <w:r w:rsidRPr="00AD6286">
        <w:rPr>
          <w:rFonts w:ascii="Arial" w:hAnsi="Arial" w:cs="Arial"/>
          <w:b/>
          <w:bCs/>
        </w:rPr>
        <w:t>tendenza alla crescita</w:t>
      </w:r>
      <w:r w:rsidRPr="00AD6286">
        <w:rPr>
          <w:rFonts w:ascii="Arial" w:hAnsi="Arial" w:cs="Arial"/>
        </w:rPr>
        <w:t xml:space="preserve"> dopo gli anni della crisi pandemica. </w:t>
      </w:r>
      <w:r w:rsidR="0043660B" w:rsidRPr="00AD6286">
        <w:rPr>
          <w:rFonts w:ascii="Arial" w:hAnsi="Arial" w:cs="Arial"/>
        </w:rPr>
        <w:t xml:space="preserve">È </w:t>
      </w:r>
      <w:r w:rsidRPr="00AD6286">
        <w:rPr>
          <w:rFonts w:ascii="Arial" w:hAnsi="Arial" w:cs="Arial"/>
        </w:rPr>
        <w:t xml:space="preserve">la fotografia scattata dalla </w:t>
      </w:r>
      <w:r w:rsidRPr="00AD6286">
        <w:rPr>
          <w:rFonts w:ascii="Arial" w:hAnsi="Arial" w:cs="Arial"/>
          <w:b/>
          <w:bCs/>
        </w:rPr>
        <w:t xml:space="preserve">Fondazionale nazionale dei commercialisti </w:t>
      </w:r>
      <w:r w:rsidRPr="00AD6286">
        <w:rPr>
          <w:rFonts w:ascii="Arial" w:hAnsi="Arial" w:cs="Arial"/>
        </w:rPr>
        <w:t>nel documento “</w:t>
      </w:r>
      <w:r w:rsidRPr="00AD6286">
        <w:rPr>
          <w:rFonts w:ascii="Arial" w:hAnsi="Arial" w:cs="Arial"/>
          <w:b/>
          <w:bCs/>
          <w:i/>
          <w:iCs/>
        </w:rPr>
        <w:t>Lo stato di crisi degli enti locali: evoluzioni e prospettive</w:t>
      </w:r>
      <w:r w:rsidRPr="00AD6286">
        <w:rPr>
          <w:rFonts w:ascii="Arial" w:hAnsi="Arial" w:cs="Arial"/>
        </w:rPr>
        <w:t xml:space="preserve">” nella quale i dati, elaborati in base alle rilevazioni più recenti ottenute da varie fonti (Banca dati delle amministrazioni pubbliche – BDAP, Banca dati sulle criticità finanziarie dei Comuni italiani - Istituto per la Finanza e l’Economia locale – IFEL, Corte dei conti, Ministero dell’Interno), indicano una ripresa, negli ultimi anni, dei fenomeni di criticità finanziaria, evidenziata in primo luogo dal quadro offerto delle diverse situazioni di deficit e confermata dalla dinamica dei dissesti. Per il presidente del Consiglio nazionale dei commercialisti, </w:t>
      </w:r>
      <w:r w:rsidRPr="00AD6286">
        <w:rPr>
          <w:rFonts w:ascii="Arial" w:hAnsi="Arial" w:cs="Arial"/>
          <w:b/>
          <w:bCs/>
        </w:rPr>
        <w:t>Elbano de Nuccio</w:t>
      </w:r>
      <w:r w:rsidRPr="00AD6286">
        <w:rPr>
          <w:rFonts w:ascii="Arial" w:hAnsi="Arial" w:cs="Arial"/>
        </w:rPr>
        <w:t xml:space="preserve"> “la normativa attuale è </w:t>
      </w:r>
      <w:r w:rsidRPr="00AD6286">
        <w:rPr>
          <w:rFonts w:ascii="Arial" w:hAnsi="Arial" w:cs="Arial"/>
          <w:b/>
          <w:bCs/>
        </w:rPr>
        <w:t>inadeguata</w:t>
      </w:r>
      <w:r w:rsidR="0043660B" w:rsidRPr="00AD6286">
        <w:rPr>
          <w:rFonts w:ascii="Arial" w:hAnsi="Arial" w:cs="Arial"/>
        </w:rPr>
        <w:t xml:space="preserve">. Con </w:t>
      </w:r>
      <w:r w:rsidRPr="00AD6286">
        <w:rPr>
          <w:rFonts w:ascii="Arial" w:hAnsi="Arial" w:cs="Arial"/>
        </w:rPr>
        <w:t xml:space="preserve">il disegno di legge sulla revisione delle leggi sull’ordinamento degli enti locali vanno </w:t>
      </w:r>
      <w:r w:rsidRPr="00AD6286">
        <w:rPr>
          <w:rFonts w:ascii="Arial" w:hAnsi="Arial" w:cs="Arial"/>
          <w:b/>
          <w:bCs/>
        </w:rPr>
        <w:t>rafforzati i controlli</w:t>
      </w:r>
      <w:r w:rsidRPr="00AD6286">
        <w:rPr>
          <w:rFonts w:ascii="Arial" w:hAnsi="Arial" w:cs="Arial"/>
        </w:rPr>
        <w:t xml:space="preserve"> nei </w:t>
      </w:r>
      <w:r w:rsidR="0043660B" w:rsidRPr="00AD6286">
        <w:rPr>
          <w:rFonts w:ascii="Arial" w:hAnsi="Arial" w:cs="Arial"/>
        </w:rPr>
        <w:t>C</w:t>
      </w:r>
      <w:r w:rsidRPr="00AD6286">
        <w:rPr>
          <w:rFonts w:ascii="Arial" w:hAnsi="Arial" w:cs="Arial"/>
        </w:rPr>
        <w:t xml:space="preserve">omuni sotto i </w:t>
      </w:r>
      <w:r w:rsidRPr="00AD6286">
        <w:rPr>
          <w:rFonts w:ascii="Arial" w:hAnsi="Arial" w:cs="Arial"/>
          <w:b/>
          <w:bCs/>
        </w:rPr>
        <w:t>15mila abitanti</w:t>
      </w:r>
      <w:r w:rsidRPr="00AD6286">
        <w:rPr>
          <w:rFonts w:ascii="Arial" w:hAnsi="Arial" w:cs="Arial"/>
        </w:rPr>
        <w:t xml:space="preserve"> e gli strumenti per l’</w:t>
      </w:r>
      <w:r w:rsidRPr="00AD6286">
        <w:rPr>
          <w:rFonts w:ascii="Arial" w:hAnsi="Arial" w:cs="Arial"/>
          <w:b/>
          <w:bCs/>
        </w:rPr>
        <w:t>emersione tempestiva</w:t>
      </w:r>
      <w:r w:rsidRPr="00AD6286">
        <w:rPr>
          <w:rFonts w:ascii="Arial" w:hAnsi="Arial" w:cs="Arial"/>
        </w:rPr>
        <w:t xml:space="preserve"> delle situazioni di squilibrio</w:t>
      </w:r>
      <w:r w:rsidR="0043660B" w:rsidRPr="00AD6286">
        <w:rPr>
          <w:rFonts w:ascii="Arial" w:hAnsi="Arial" w:cs="Arial"/>
        </w:rPr>
        <w:t>”.</w:t>
      </w:r>
      <w:r w:rsidRPr="00AD6286">
        <w:rPr>
          <w:rFonts w:ascii="Arial" w:hAnsi="Arial" w:cs="Arial"/>
        </w:rPr>
        <w:t xml:space="preserve"> </w:t>
      </w:r>
    </w:p>
    <w:p w14:paraId="3C0F94A2" w14:textId="77777777" w:rsidR="00977AC0" w:rsidRPr="00AD6286" w:rsidRDefault="00977AC0" w:rsidP="00977AC0">
      <w:pPr>
        <w:spacing w:after="0" w:line="240" w:lineRule="auto"/>
        <w:jc w:val="both"/>
        <w:rPr>
          <w:rFonts w:ascii="Arial" w:hAnsi="Arial" w:cs="Arial"/>
        </w:rPr>
      </w:pPr>
    </w:p>
    <w:p w14:paraId="3CC5CFDC" w14:textId="77777777" w:rsidR="00977AC0" w:rsidRPr="00AD6286" w:rsidRDefault="00977AC0" w:rsidP="00977AC0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AD6286">
        <w:rPr>
          <w:rFonts w:ascii="Arial" w:hAnsi="Arial" w:cs="Arial"/>
          <w:b/>
          <w:bCs/>
        </w:rPr>
        <w:t>GLI ENTI IN PREDISSESTO</w:t>
      </w:r>
    </w:p>
    <w:p w14:paraId="0BC40FEE" w14:textId="77777777" w:rsidR="00977AC0" w:rsidRPr="00AD6286" w:rsidRDefault="00977AC0" w:rsidP="00977AC0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BA3CB3D" w14:textId="45BB937A" w:rsidR="00977AC0" w:rsidRPr="00AD6286" w:rsidRDefault="00977AC0" w:rsidP="00977AC0">
      <w:pPr>
        <w:spacing w:after="0" w:line="240" w:lineRule="auto"/>
        <w:jc w:val="both"/>
        <w:rPr>
          <w:rFonts w:ascii="Arial" w:hAnsi="Arial" w:cs="Arial"/>
        </w:rPr>
      </w:pPr>
      <w:r w:rsidRPr="00AD6286">
        <w:rPr>
          <w:rFonts w:ascii="Arial" w:hAnsi="Arial" w:cs="Arial"/>
        </w:rPr>
        <w:t>Secondo quanto emerge dalle elaborazioni dei commercialisti, aggiornate all’aprile di quest’anno, tra le 257 procedure di predissesto attualmente aperte prevalgano nettamente quelle concentrate al</w:t>
      </w:r>
      <w:r w:rsidRPr="00AD6286">
        <w:rPr>
          <w:rFonts w:ascii="Arial" w:hAnsi="Arial" w:cs="Arial"/>
          <w:b/>
          <w:bCs/>
        </w:rPr>
        <w:t xml:space="preserve"> Sud (68%)</w:t>
      </w:r>
      <w:r w:rsidRPr="00AD6286">
        <w:rPr>
          <w:rFonts w:ascii="Arial" w:hAnsi="Arial" w:cs="Arial"/>
        </w:rPr>
        <w:t xml:space="preserve"> rispetto al </w:t>
      </w:r>
      <w:r w:rsidRPr="00AD6286">
        <w:rPr>
          <w:rFonts w:ascii="Arial" w:hAnsi="Arial" w:cs="Arial"/>
          <w:b/>
          <w:bCs/>
        </w:rPr>
        <w:t>Centro (16%)</w:t>
      </w:r>
      <w:r w:rsidRPr="00AD6286">
        <w:rPr>
          <w:rFonts w:ascii="Arial" w:hAnsi="Arial" w:cs="Arial"/>
        </w:rPr>
        <w:t xml:space="preserve"> e al </w:t>
      </w:r>
      <w:r w:rsidRPr="00AD6286">
        <w:rPr>
          <w:rFonts w:ascii="Arial" w:hAnsi="Arial" w:cs="Arial"/>
          <w:b/>
          <w:bCs/>
        </w:rPr>
        <w:t>Nord (16%)</w:t>
      </w:r>
      <w:r w:rsidRPr="00AD6286">
        <w:rPr>
          <w:rFonts w:ascii="Arial" w:hAnsi="Arial" w:cs="Arial"/>
        </w:rPr>
        <w:t xml:space="preserve">. Su tutti spiccano i dati di </w:t>
      </w:r>
      <w:r w:rsidRPr="00AD6286">
        <w:rPr>
          <w:rFonts w:ascii="Arial" w:hAnsi="Arial" w:cs="Arial"/>
          <w:b/>
          <w:bCs/>
        </w:rPr>
        <w:t xml:space="preserve">Campania e Sicilia </w:t>
      </w:r>
      <w:r w:rsidRPr="00AD6286">
        <w:rPr>
          <w:rFonts w:ascii="Arial" w:hAnsi="Arial" w:cs="Arial"/>
        </w:rPr>
        <w:t>(</w:t>
      </w:r>
      <w:r w:rsidRPr="00AD6286">
        <w:rPr>
          <w:rFonts w:ascii="Arial" w:hAnsi="Arial" w:cs="Arial"/>
          <w:b/>
          <w:bCs/>
        </w:rPr>
        <w:t>43 comuni coinvolti in ciascuna delle due regioni, pari al 34% del totale</w:t>
      </w:r>
      <w:r w:rsidRPr="00AD6286">
        <w:rPr>
          <w:rFonts w:ascii="Arial" w:hAnsi="Arial" w:cs="Arial"/>
        </w:rPr>
        <w:t>).</w:t>
      </w:r>
      <w:r w:rsidRPr="00AD6286">
        <w:rPr>
          <w:rFonts w:ascii="Arial" w:hAnsi="Arial" w:cs="Arial"/>
          <w:b/>
          <w:bCs/>
        </w:rPr>
        <w:t xml:space="preserve"> </w:t>
      </w:r>
      <w:r w:rsidRPr="00AD6286">
        <w:rPr>
          <w:rFonts w:ascii="Arial" w:hAnsi="Arial" w:cs="Arial"/>
        </w:rPr>
        <w:t xml:space="preserve">36 quelli in Calabria (14%), 35 nel Lazio (14%) e 22 in Puglia (9%). Il numero dei </w:t>
      </w:r>
      <w:r w:rsidR="0043660B" w:rsidRPr="00AD6286">
        <w:rPr>
          <w:rFonts w:ascii="Arial" w:hAnsi="Arial" w:cs="Arial"/>
        </w:rPr>
        <w:t>C</w:t>
      </w:r>
      <w:r w:rsidRPr="00AD6286">
        <w:rPr>
          <w:rFonts w:ascii="Arial" w:hAnsi="Arial" w:cs="Arial"/>
        </w:rPr>
        <w:t xml:space="preserve">omuni coinvolti si riduce invece drasticamente in alcune regioni del Centro-Nord (2 in </w:t>
      </w:r>
      <w:r w:rsidR="00AC2E48" w:rsidRPr="00AD6286">
        <w:rPr>
          <w:rFonts w:ascii="Arial" w:hAnsi="Arial" w:cs="Arial"/>
        </w:rPr>
        <w:t>Emilia-Romagna</w:t>
      </w:r>
      <w:r w:rsidRPr="00AD6286">
        <w:rPr>
          <w:rFonts w:ascii="Arial" w:hAnsi="Arial" w:cs="Arial"/>
        </w:rPr>
        <w:t xml:space="preserve"> e solo 1 in Trentino Alto</w:t>
      </w:r>
      <w:r w:rsidR="00AC2E48" w:rsidRPr="00AD6286">
        <w:rPr>
          <w:rFonts w:ascii="Arial" w:hAnsi="Arial" w:cs="Arial"/>
        </w:rPr>
        <w:t>-</w:t>
      </w:r>
      <w:r w:rsidRPr="00AD6286">
        <w:rPr>
          <w:rFonts w:ascii="Arial" w:hAnsi="Arial" w:cs="Arial"/>
        </w:rPr>
        <w:t xml:space="preserve">Adige, Marche e Veneto). </w:t>
      </w:r>
    </w:p>
    <w:p w14:paraId="55B8E2B0" w14:textId="77777777" w:rsidR="00977AC0" w:rsidRDefault="00977AC0" w:rsidP="00977AC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67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8"/>
        <w:gridCol w:w="1709"/>
        <w:gridCol w:w="1781"/>
      </w:tblGrid>
      <w:tr w:rsidR="00977AC0" w:rsidRPr="00EE3DF9" w14:paraId="1CD166B6" w14:textId="77777777" w:rsidTr="00A9145D">
        <w:trPr>
          <w:trHeight w:hRule="exact" w:val="397"/>
          <w:jc w:val="center"/>
        </w:trPr>
        <w:tc>
          <w:tcPr>
            <w:tcW w:w="3238" w:type="dxa"/>
            <w:tcBorders>
              <w:top w:val="nil"/>
              <w:left w:val="nil"/>
              <w:right w:val="single" w:sz="12" w:space="0" w:color="FFFFFF" w:themeColor="background1"/>
            </w:tcBorders>
            <w:shd w:val="clear" w:color="000000" w:fill="C00000"/>
            <w:noWrap/>
            <w:vAlign w:val="center"/>
            <w:hideMark/>
          </w:tcPr>
          <w:p w14:paraId="30DD59C6" w14:textId="77777777" w:rsidR="00977AC0" w:rsidRPr="00EE3DF9" w:rsidRDefault="00977AC0" w:rsidP="00A91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EE3DF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>Regione</w:t>
            </w:r>
          </w:p>
        </w:tc>
        <w:tc>
          <w:tcPr>
            <w:tcW w:w="1709" w:type="dxa"/>
            <w:tcBorders>
              <w:top w:val="nil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000000" w:fill="C00000"/>
            <w:noWrap/>
            <w:vAlign w:val="center"/>
            <w:hideMark/>
          </w:tcPr>
          <w:p w14:paraId="36C9C09F" w14:textId="77777777" w:rsidR="00977AC0" w:rsidRPr="00EE3DF9" w:rsidRDefault="00977AC0" w:rsidP="00A91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EE3DF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>Riequilibri*</w:t>
            </w:r>
          </w:p>
        </w:tc>
        <w:tc>
          <w:tcPr>
            <w:tcW w:w="1781" w:type="dxa"/>
            <w:tcBorders>
              <w:top w:val="nil"/>
              <w:left w:val="single" w:sz="12" w:space="0" w:color="FFFFFF" w:themeColor="background1"/>
              <w:right w:val="nil"/>
            </w:tcBorders>
            <w:shd w:val="clear" w:color="000000" w:fill="C00000"/>
            <w:noWrap/>
            <w:vAlign w:val="center"/>
            <w:hideMark/>
          </w:tcPr>
          <w:p w14:paraId="74EF565F" w14:textId="77777777" w:rsidR="00977AC0" w:rsidRPr="00EE3DF9" w:rsidRDefault="00977AC0" w:rsidP="00A91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EE3DF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>%</w:t>
            </w:r>
          </w:p>
        </w:tc>
      </w:tr>
      <w:tr w:rsidR="00977AC0" w:rsidRPr="00EE3DF9" w14:paraId="60587F94" w14:textId="77777777" w:rsidTr="00A9145D">
        <w:trPr>
          <w:trHeight w:hRule="exact" w:val="284"/>
          <w:jc w:val="center"/>
        </w:trPr>
        <w:tc>
          <w:tcPr>
            <w:tcW w:w="3238" w:type="dxa"/>
            <w:tcBorders>
              <w:top w:val="nil"/>
              <w:left w:val="nil"/>
              <w:bottom w:val="single" w:sz="2" w:space="0" w:color="C00000"/>
              <w:right w:val="single" w:sz="18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85E12AF" w14:textId="77777777" w:rsidR="00977AC0" w:rsidRPr="00EE3DF9" w:rsidRDefault="00977AC0" w:rsidP="00A91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it-IT"/>
              </w:rPr>
            </w:pPr>
            <w:r w:rsidRPr="00EE3DF9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it-IT"/>
              </w:rPr>
              <w:t>Campania</w:t>
            </w:r>
          </w:p>
        </w:tc>
        <w:tc>
          <w:tcPr>
            <w:tcW w:w="1709" w:type="dxa"/>
            <w:tcBorders>
              <w:top w:val="nil"/>
              <w:left w:val="single" w:sz="18" w:space="0" w:color="FFFFFF" w:themeColor="background1"/>
              <w:bottom w:val="single" w:sz="2" w:space="0" w:color="C00000"/>
              <w:right w:val="single" w:sz="18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BFF90C0" w14:textId="77777777" w:rsidR="00977AC0" w:rsidRPr="00EE3DF9" w:rsidRDefault="00977AC0" w:rsidP="00A91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it-IT"/>
              </w:rPr>
            </w:pPr>
            <w:r w:rsidRPr="00EE3DF9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it-IT"/>
              </w:rPr>
              <w:t>43</w:t>
            </w:r>
          </w:p>
        </w:tc>
        <w:tc>
          <w:tcPr>
            <w:tcW w:w="1781" w:type="dxa"/>
            <w:tcBorders>
              <w:top w:val="nil"/>
              <w:left w:val="single" w:sz="18" w:space="0" w:color="FFFFFF" w:themeColor="background1"/>
              <w:bottom w:val="single" w:sz="2" w:space="0" w:color="C00000"/>
            </w:tcBorders>
            <w:shd w:val="clear" w:color="auto" w:fill="auto"/>
            <w:noWrap/>
            <w:vAlign w:val="center"/>
            <w:hideMark/>
          </w:tcPr>
          <w:p w14:paraId="5660F309" w14:textId="77777777" w:rsidR="00977AC0" w:rsidRPr="00EE3DF9" w:rsidRDefault="00977AC0" w:rsidP="00A91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it-IT"/>
              </w:rPr>
            </w:pPr>
            <w:r w:rsidRPr="00EE3DF9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it-IT"/>
              </w:rPr>
              <w:t>17%</w:t>
            </w:r>
          </w:p>
        </w:tc>
      </w:tr>
      <w:tr w:rsidR="00977AC0" w:rsidRPr="00EE3DF9" w14:paraId="370EAD7F" w14:textId="77777777" w:rsidTr="00A9145D">
        <w:trPr>
          <w:trHeight w:hRule="exact" w:val="284"/>
          <w:jc w:val="center"/>
        </w:trPr>
        <w:tc>
          <w:tcPr>
            <w:tcW w:w="3238" w:type="dxa"/>
            <w:tcBorders>
              <w:top w:val="single" w:sz="2" w:space="0" w:color="C00000"/>
              <w:left w:val="nil"/>
              <w:bottom w:val="single" w:sz="2" w:space="0" w:color="C00000"/>
              <w:right w:val="single" w:sz="18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E232C67" w14:textId="77777777" w:rsidR="00977AC0" w:rsidRPr="00EE3DF9" w:rsidRDefault="00977AC0" w:rsidP="00A91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it-IT"/>
              </w:rPr>
            </w:pPr>
            <w:r w:rsidRPr="00EE3DF9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it-IT"/>
              </w:rPr>
              <w:t xml:space="preserve">Sicilia </w:t>
            </w:r>
          </w:p>
        </w:tc>
        <w:tc>
          <w:tcPr>
            <w:tcW w:w="1709" w:type="dxa"/>
            <w:tcBorders>
              <w:top w:val="single" w:sz="2" w:space="0" w:color="C00000"/>
              <w:left w:val="single" w:sz="18" w:space="0" w:color="FFFFFF" w:themeColor="background1"/>
              <w:bottom w:val="single" w:sz="2" w:space="0" w:color="C00000"/>
              <w:right w:val="single" w:sz="18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66B4AE0" w14:textId="77777777" w:rsidR="00977AC0" w:rsidRPr="00EE3DF9" w:rsidRDefault="00977AC0" w:rsidP="00A91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it-IT"/>
              </w:rPr>
            </w:pPr>
            <w:r w:rsidRPr="00EE3DF9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it-IT"/>
              </w:rPr>
              <w:t>43</w:t>
            </w:r>
          </w:p>
        </w:tc>
        <w:tc>
          <w:tcPr>
            <w:tcW w:w="1781" w:type="dxa"/>
            <w:tcBorders>
              <w:top w:val="single" w:sz="2" w:space="0" w:color="C00000"/>
              <w:left w:val="single" w:sz="18" w:space="0" w:color="FFFFFF" w:themeColor="background1"/>
              <w:bottom w:val="single" w:sz="2" w:space="0" w:color="C00000"/>
            </w:tcBorders>
            <w:shd w:val="clear" w:color="auto" w:fill="auto"/>
            <w:noWrap/>
            <w:vAlign w:val="center"/>
            <w:hideMark/>
          </w:tcPr>
          <w:p w14:paraId="3D245CF3" w14:textId="77777777" w:rsidR="00977AC0" w:rsidRPr="00EE3DF9" w:rsidRDefault="00977AC0" w:rsidP="00A91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it-IT"/>
              </w:rPr>
            </w:pPr>
            <w:r w:rsidRPr="00EE3DF9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it-IT"/>
              </w:rPr>
              <w:t>17%</w:t>
            </w:r>
          </w:p>
        </w:tc>
      </w:tr>
      <w:tr w:rsidR="00977AC0" w:rsidRPr="00EE3DF9" w14:paraId="76F0B746" w14:textId="77777777" w:rsidTr="00A9145D">
        <w:trPr>
          <w:trHeight w:hRule="exact" w:val="284"/>
          <w:jc w:val="center"/>
        </w:trPr>
        <w:tc>
          <w:tcPr>
            <w:tcW w:w="3238" w:type="dxa"/>
            <w:tcBorders>
              <w:top w:val="single" w:sz="2" w:space="0" w:color="C00000"/>
              <w:left w:val="nil"/>
              <w:bottom w:val="single" w:sz="2" w:space="0" w:color="C00000"/>
              <w:right w:val="single" w:sz="18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922A519" w14:textId="77777777" w:rsidR="00977AC0" w:rsidRPr="00EE3DF9" w:rsidRDefault="00977AC0" w:rsidP="00A91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it-IT"/>
              </w:rPr>
            </w:pPr>
            <w:r w:rsidRPr="00EE3DF9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it-IT"/>
              </w:rPr>
              <w:t>Calabria</w:t>
            </w:r>
          </w:p>
        </w:tc>
        <w:tc>
          <w:tcPr>
            <w:tcW w:w="1709" w:type="dxa"/>
            <w:tcBorders>
              <w:top w:val="single" w:sz="2" w:space="0" w:color="C00000"/>
              <w:left w:val="single" w:sz="18" w:space="0" w:color="FFFFFF" w:themeColor="background1"/>
              <w:bottom w:val="single" w:sz="2" w:space="0" w:color="C00000"/>
              <w:right w:val="single" w:sz="18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1248041" w14:textId="77777777" w:rsidR="00977AC0" w:rsidRPr="00EE3DF9" w:rsidRDefault="00977AC0" w:rsidP="00A91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it-IT"/>
              </w:rPr>
            </w:pPr>
            <w:r w:rsidRPr="00EE3DF9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1781" w:type="dxa"/>
            <w:tcBorders>
              <w:top w:val="single" w:sz="2" w:space="0" w:color="C00000"/>
              <w:left w:val="single" w:sz="18" w:space="0" w:color="FFFFFF" w:themeColor="background1"/>
              <w:bottom w:val="single" w:sz="2" w:space="0" w:color="C00000"/>
            </w:tcBorders>
            <w:shd w:val="clear" w:color="auto" w:fill="auto"/>
            <w:noWrap/>
            <w:vAlign w:val="center"/>
            <w:hideMark/>
          </w:tcPr>
          <w:p w14:paraId="00592518" w14:textId="77777777" w:rsidR="00977AC0" w:rsidRPr="00EE3DF9" w:rsidRDefault="00977AC0" w:rsidP="00A91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it-IT"/>
              </w:rPr>
            </w:pPr>
            <w:r w:rsidRPr="00EE3DF9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it-IT"/>
              </w:rPr>
              <w:t>14%</w:t>
            </w:r>
          </w:p>
        </w:tc>
      </w:tr>
      <w:tr w:rsidR="00977AC0" w:rsidRPr="00EE3DF9" w14:paraId="1DB14145" w14:textId="77777777" w:rsidTr="00A9145D">
        <w:trPr>
          <w:trHeight w:hRule="exact" w:val="284"/>
          <w:jc w:val="center"/>
        </w:trPr>
        <w:tc>
          <w:tcPr>
            <w:tcW w:w="3238" w:type="dxa"/>
            <w:tcBorders>
              <w:top w:val="single" w:sz="2" w:space="0" w:color="C00000"/>
              <w:left w:val="nil"/>
              <w:bottom w:val="single" w:sz="2" w:space="0" w:color="C00000"/>
              <w:right w:val="single" w:sz="18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BB3E30F" w14:textId="77777777" w:rsidR="00977AC0" w:rsidRPr="00EE3DF9" w:rsidRDefault="00977AC0" w:rsidP="00A91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it-IT"/>
              </w:rPr>
            </w:pPr>
            <w:r w:rsidRPr="00EE3DF9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1709" w:type="dxa"/>
            <w:tcBorders>
              <w:top w:val="single" w:sz="2" w:space="0" w:color="C00000"/>
              <w:left w:val="single" w:sz="18" w:space="0" w:color="FFFFFF" w:themeColor="background1"/>
              <w:bottom w:val="single" w:sz="2" w:space="0" w:color="C00000"/>
              <w:right w:val="single" w:sz="18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F1A643C" w14:textId="77777777" w:rsidR="00977AC0" w:rsidRPr="00EE3DF9" w:rsidRDefault="00977AC0" w:rsidP="00A91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it-IT"/>
              </w:rPr>
            </w:pPr>
            <w:r w:rsidRPr="00EE3DF9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1781" w:type="dxa"/>
            <w:tcBorders>
              <w:top w:val="single" w:sz="2" w:space="0" w:color="C00000"/>
              <w:left w:val="single" w:sz="18" w:space="0" w:color="FFFFFF" w:themeColor="background1"/>
              <w:bottom w:val="single" w:sz="2" w:space="0" w:color="C00000"/>
            </w:tcBorders>
            <w:shd w:val="clear" w:color="auto" w:fill="auto"/>
            <w:noWrap/>
            <w:vAlign w:val="center"/>
            <w:hideMark/>
          </w:tcPr>
          <w:p w14:paraId="0284049A" w14:textId="77777777" w:rsidR="00977AC0" w:rsidRPr="00EE3DF9" w:rsidRDefault="00977AC0" w:rsidP="00A91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it-IT"/>
              </w:rPr>
            </w:pPr>
            <w:r w:rsidRPr="00EE3DF9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it-IT"/>
              </w:rPr>
              <w:t>14%</w:t>
            </w:r>
          </w:p>
        </w:tc>
      </w:tr>
      <w:tr w:rsidR="00977AC0" w:rsidRPr="00EE3DF9" w14:paraId="33E0E116" w14:textId="77777777" w:rsidTr="00A9145D">
        <w:trPr>
          <w:trHeight w:hRule="exact" w:val="284"/>
          <w:jc w:val="center"/>
        </w:trPr>
        <w:tc>
          <w:tcPr>
            <w:tcW w:w="3238" w:type="dxa"/>
            <w:tcBorders>
              <w:top w:val="single" w:sz="2" w:space="0" w:color="C00000"/>
              <w:left w:val="nil"/>
              <w:bottom w:val="single" w:sz="2" w:space="0" w:color="C00000"/>
              <w:right w:val="single" w:sz="18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421A5D2" w14:textId="77777777" w:rsidR="00977AC0" w:rsidRPr="00EE3DF9" w:rsidRDefault="00977AC0" w:rsidP="00A91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it-IT"/>
              </w:rPr>
            </w:pPr>
            <w:r w:rsidRPr="00EE3DF9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1709" w:type="dxa"/>
            <w:tcBorders>
              <w:top w:val="single" w:sz="2" w:space="0" w:color="C00000"/>
              <w:left w:val="single" w:sz="18" w:space="0" w:color="FFFFFF" w:themeColor="background1"/>
              <w:bottom w:val="single" w:sz="2" w:space="0" w:color="C00000"/>
              <w:right w:val="single" w:sz="18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9E34B26" w14:textId="77777777" w:rsidR="00977AC0" w:rsidRPr="00EE3DF9" w:rsidRDefault="00977AC0" w:rsidP="00A91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it-IT"/>
              </w:rPr>
            </w:pPr>
            <w:r w:rsidRPr="00EE3DF9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1781" w:type="dxa"/>
            <w:tcBorders>
              <w:top w:val="single" w:sz="2" w:space="0" w:color="C00000"/>
              <w:left w:val="single" w:sz="18" w:space="0" w:color="FFFFFF" w:themeColor="background1"/>
              <w:bottom w:val="single" w:sz="2" w:space="0" w:color="C00000"/>
            </w:tcBorders>
            <w:shd w:val="clear" w:color="auto" w:fill="auto"/>
            <w:noWrap/>
            <w:vAlign w:val="center"/>
            <w:hideMark/>
          </w:tcPr>
          <w:p w14:paraId="6FC6ACD2" w14:textId="77777777" w:rsidR="00977AC0" w:rsidRPr="00EE3DF9" w:rsidRDefault="00977AC0" w:rsidP="00A91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it-IT"/>
              </w:rPr>
            </w:pPr>
            <w:r w:rsidRPr="00EE3DF9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it-IT"/>
              </w:rPr>
              <w:t>9%</w:t>
            </w:r>
          </w:p>
        </w:tc>
      </w:tr>
      <w:tr w:rsidR="00977AC0" w:rsidRPr="00EE3DF9" w14:paraId="6760B711" w14:textId="77777777" w:rsidTr="00A9145D">
        <w:trPr>
          <w:trHeight w:hRule="exact" w:val="284"/>
          <w:jc w:val="center"/>
        </w:trPr>
        <w:tc>
          <w:tcPr>
            <w:tcW w:w="3238" w:type="dxa"/>
            <w:tcBorders>
              <w:top w:val="single" w:sz="2" w:space="0" w:color="C00000"/>
              <w:left w:val="nil"/>
              <w:bottom w:val="single" w:sz="2" w:space="0" w:color="C00000"/>
              <w:right w:val="single" w:sz="18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527D8F1" w14:textId="77777777" w:rsidR="00977AC0" w:rsidRPr="00EE3DF9" w:rsidRDefault="00977AC0" w:rsidP="00A91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it-IT"/>
              </w:rPr>
            </w:pPr>
            <w:r w:rsidRPr="00EE3DF9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1709" w:type="dxa"/>
            <w:tcBorders>
              <w:top w:val="single" w:sz="2" w:space="0" w:color="C00000"/>
              <w:left w:val="single" w:sz="18" w:space="0" w:color="FFFFFF" w:themeColor="background1"/>
              <w:bottom w:val="single" w:sz="2" w:space="0" w:color="C00000"/>
              <w:right w:val="single" w:sz="18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4BA681E" w14:textId="77777777" w:rsidR="00977AC0" w:rsidRPr="00EE3DF9" w:rsidRDefault="00977AC0" w:rsidP="00A91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it-IT"/>
              </w:rPr>
            </w:pPr>
            <w:r w:rsidRPr="00EE3DF9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781" w:type="dxa"/>
            <w:tcBorders>
              <w:top w:val="single" w:sz="2" w:space="0" w:color="C00000"/>
              <w:left w:val="single" w:sz="18" w:space="0" w:color="FFFFFF" w:themeColor="background1"/>
              <w:bottom w:val="single" w:sz="2" w:space="0" w:color="C00000"/>
            </w:tcBorders>
            <w:shd w:val="clear" w:color="auto" w:fill="auto"/>
            <w:noWrap/>
            <w:vAlign w:val="center"/>
            <w:hideMark/>
          </w:tcPr>
          <w:p w14:paraId="2E394D8C" w14:textId="77777777" w:rsidR="00977AC0" w:rsidRPr="00EE3DF9" w:rsidRDefault="00977AC0" w:rsidP="00A91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it-IT"/>
              </w:rPr>
            </w:pPr>
            <w:r w:rsidRPr="00EE3DF9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it-IT"/>
              </w:rPr>
              <w:t>6%</w:t>
            </w:r>
          </w:p>
        </w:tc>
      </w:tr>
      <w:tr w:rsidR="00977AC0" w:rsidRPr="00EE3DF9" w14:paraId="7F413165" w14:textId="77777777" w:rsidTr="00A9145D">
        <w:trPr>
          <w:trHeight w:hRule="exact" w:val="284"/>
          <w:jc w:val="center"/>
        </w:trPr>
        <w:tc>
          <w:tcPr>
            <w:tcW w:w="3238" w:type="dxa"/>
            <w:tcBorders>
              <w:top w:val="single" w:sz="2" w:space="0" w:color="C00000"/>
              <w:left w:val="nil"/>
              <w:bottom w:val="single" w:sz="2" w:space="0" w:color="C00000"/>
              <w:right w:val="single" w:sz="18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45C04C2" w14:textId="77777777" w:rsidR="00977AC0" w:rsidRPr="00EE3DF9" w:rsidRDefault="00977AC0" w:rsidP="00A91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it-IT"/>
              </w:rPr>
            </w:pPr>
            <w:r w:rsidRPr="00EE3DF9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it-IT"/>
              </w:rPr>
              <w:t>Molise</w:t>
            </w:r>
          </w:p>
        </w:tc>
        <w:tc>
          <w:tcPr>
            <w:tcW w:w="1709" w:type="dxa"/>
            <w:tcBorders>
              <w:top w:val="single" w:sz="2" w:space="0" w:color="C00000"/>
              <w:left w:val="single" w:sz="18" w:space="0" w:color="FFFFFF" w:themeColor="background1"/>
              <w:bottom w:val="single" w:sz="2" w:space="0" w:color="C00000"/>
              <w:right w:val="single" w:sz="18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92F4A6F" w14:textId="77777777" w:rsidR="00977AC0" w:rsidRPr="00EE3DF9" w:rsidRDefault="00977AC0" w:rsidP="00A91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it-IT"/>
              </w:rPr>
            </w:pPr>
            <w:r w:rsidRPr="00EE3DF9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781" w:type="dxa"/>
            <w:tcBorders>
              <w:top w:val="single" w:sz="2" w:space="0" w:color="C00000"/>
              <w:left w:val="single" w:sz="18" w:space="0" w:color="FFFFFF" w:themeColor="background1"/>
              <w:bottom w:val="single" w:sz="2" w:space="0" w:color="C00000"/>
            </w:tcBorders>
            <w:shd w:val="clear" w:color="auto" w:fill="auto"/>
            <w:noWrap/>
            <w:vAlign w:val="center"/>
            <w:hideMark/>
          </w:tcPr>
          <w:p w14:paraId="06477ADD" w14:textId="77777777" w:rsidR="00977AC0" w:rsidRPr="00EE3DF9" w:rsidRDefault="00977AC0" w:rsidP="00A91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it-IT"/>
              </w:rPr>
            </w:pPr>
            <w:r w:rsidRPr="00EE3DF9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it-IT"/>
              </w:rPr>
              <w:t>5%</w:t>
            </w:r>
          </w:p>
        </w:tc>
      </w:tr>
      <w:tr w:rsidR="00977AC0" w:rsidRPr="00EE3DF9" w14:paraId="121F2A0F" w14:textId="77777777" w:rsidTr="00A9145D">
        <w:trPr>
          <w:trHeight w:hRule="exact" w:val="284"/>
          <w:jc w:val="center"/>
        </w:trPr>
        <w:tc>
          <w:tcPr>
            <w:tcW w:w="3238" w:type="dxa"/>
            <w:tcBorders>
              <w:top w:val="single" w:sz="2" w:space="0" w:color="C00000"/>
              <w:left w:val="nil"/>
              <w:bottom w:val="single" w:sz="2" w:space="0" w:color="C00000"/>
              <w:right w:val="single" w:sz="18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310E9FA" w14:textId="77777777" w:rsidR="00977AC0" w:rsidRPr="00EE3DF9" w:rsidRDefault="00977AC0" w:rsidP="00A91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it-IT"/>
              </w:rPr>
            </w:pPr>
            <w:r w:rsidRPr="00EE3DF9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1709" w:type="dxa"/>
            <w:tcBorders>
              <w:top w:val="single" w:sz="2" w:space="0" w:color="C00000"/>
              <w:left w:val="single" w:sz="18" w:space="0" w:color="FFFFFF" w:themeColor="background1"/>
              <w:bottom w:val="single" w:sz="2" w:space="0" w:color="C00000"/>
              <w:right w:val="single" w:sz="18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AECE015" w14:textId="77777777" w:rsidR="00977AC0" w:rsidRPr="00EE3DF9" w:rsidRDefault="00977AC0" w:rsidP="00A91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it-IT"/>
              </w:rPr>
            </w:pPr>
            <w:r w:rsidRPr="00EE3DF9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781" w:type="dxa"/>
            <w:tcBorders>
              <w:top w:val="single" w:sz="2" w:space="0" w:color="C00000"/>
              <w:left w:val="single" w:sz="18" w:space="0" w:color="FFFFFF" w:themeColor="background1"/>
              <w:bottom w:val="single" w:sz="2" w:space="0" w:color="C00000"/>
            </w:tcBorders>
            <w:shd w:val="clear" w:color="auto" w:fill="auto"/>
            <w:noWrap/>
            <w:vAlign w:val="center"/>
            <w:hideMark/>
          </w:tcPr>
          <w:p w14:paraId="2C5D4B51" w14:textId="77777777" w:rsidR="00977AC0" w:rsidRPr="00EE3DF9" w:rsidRDefault="00977AC0" w:rsidP="00A91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it-IT"/>
              </w:rPr>
            </w:pPr>
            <w:r w:rsidRPr="00EE3DF9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it-IT"/>
              </w:rPr>
              <w:t>4%</w:t>
            </w:r>
          </w:p>
        </w:tc>
      </w:tr>
      <w:tr w:rsidR="00977AC0" w:rsidRPr="00EE3DF9" w14:paraId="3CE76F8C" w14:textId="77777777" w:rsidTr="00A9145D">
        <w:trPr>
          <w:trHeight w:hRule="exact" w:val="284"/>
          <w:jc w:val="center"/>
        </w:trPr>
        <w:tc>
          <w:tcPr>
            <w:tcW w:w="3238" w:type="dxa"/>
            <w:tcBorders>
              <w:top w:val="single" w:sz="2" w:space="0" w:color="C00000"/>
              <w:left w:val="nil"/>
              <w:bottom w:val="single" w:sz="2" w:space="0" w:color="C00000"/>
              <w:right w:val="single" w:sz="18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09D4DCD" w14:textId="77777777" w:rsidR="00977AC0" w:rsidRPr="00EE3DF9" w:rsidRDefault="00977AC0" w:rsidP="00A91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it-IT"/>
              </w:rPr>
            </w:pPr>
            <w:r w:rsidRPr="00EE3DF9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it-IT"/>
              </w:rPr>
              <w:t>Liguria</w:t>
            </w:r>
          </w:p>
        </w:tc>
        <w:tc>
          <w:tcPr>
            <w:tcW w:w="1709" w:type="dxa"/>
            <w:tcBorders>
              <w:top w:val="single" w:sz="2" w:space="0" w:color="C00000"/>
              <w:left w:val="single" w:sz="18" w:space="0" w:color="FFFFFF" w:themeColor="background1"/>
              <w:bottom w:val="single" w:sz="2" w:space="0" w:color="C00000"/>
              <w:right w:val="single" w:sz="18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DBE8ED5" w14:textId="77777777" w:rsidR="00977AC0" w:rsidRPr="00EE3DF9" w:rsidRDefault="00977AC0" w:rsidP="00A91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it-IT"/>
              </w:rPr>
            </w:pPr>
            <w:r w:rsidRPr="00EE3DF9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781" w:type="dxa"/>
            <w:tcBorders>
              <w:top w:val="single" w:sz="2" w:space="0" w:color="C00000"/>
              <w:left w:val="single" w:sz="18" w:space="0" w:color="FFFFFF" w:themeColor="background1"/>
              <w:bottom w:val="single" w:sz="2" w:space="0" w:color="C00000"/>
            </w:tcBorders>
            <w:shd w:val="clear" w:color="auto" w:fill="auto"/>
            <w:noWrap/>
            <w:vAlign w:val="center"/>
            <w:hideMark/>
          </w:tcPr>
          <w:p w14:paraId="527A67A8" w14:textId="77777777" w:rsidR="00977AC0" w:rsidRPr="00EE3DF9" w:rsidRDefault="00977AC0" w:rsidP="00A91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it-IT"/>
              </w:rPr>
            </w:pPr>
            <w:r w:rsidRPr="00EE3DF9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it-IT"/>
              </w:rPr>
              <w:t>4%</w:t>
            </w:r>
          </w:p>
        </w:tc>
      </w:tr>
      <w:tr w:rsidR="00977AC0" w:rsidRPr="00EE3DF9" w14:paraId="3DFEEA65" w14:textId="77777777" w:rsidTr="00A9145D">
        <w:trPr>
          <w:trHeight w:hRule="exact" w:val="284"/>
          <w:jc w:val="center"/>
        </w:trPr>
        <w:tc>
          <w:tcPr>
            <w:tcW w:w="3238" w:type="dxa"/>
            <w:tcBorders>
              <w:top w:val="single" w:sz="2" w:space="0" w:color="C00000"/>
              <w:left w:val="nil"/>
              <w:bottom w:val="single" w:sz="2" w:space="0" w:color="C00000"/>
              <w:right w:val="single" w:sz="18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15AF2DB2" w14:textId="77777777" w:rsidR="00977AC0" w:rsidRPr="00EE3DF9" w:rsidRDefault="00977AC0" w:rsidP="00A91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it-IT"/>
              </w:rPr>
            </w:pPr>
            <w:r w:rsidRPr="00EE3DF9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it-IT"/>
              </w:rPr>
              <w:t>Basilicata</w:t>
            </w:r>
          </w:p>
        </w:tc>
        <w:tc>
          <w:tcPr>
            <w:tcW w:w="1709" w:type="dxa"/>
            <w:tcBorders>
              <w:top w:val="single" w:sz="2" w:space="0" w:color="C00000"/>
              <w:left w:val="single" w:sz="18" w:space="0" w:color="FFFFFF" w:themeColor="background1"/>
              <w:bottom w:val="single" w:sz="2" w:space="0" w:color="C00000"/>
              <w:right w:val="single" w:sz="18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C78C55A" w14:textId="77777777" w:rsidR="00977AC0" w:rsidRPr="00EE3DF9" w:rsidRDefault="00977AC0" w:rsidP="00A91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it-IT"/>
              </w:rPr>
            </w:pPr>
            <w:r w:rsidRPr="00EE3DF9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781" w:type="dxa"/>
            <w:tcBorders>
              <w:top w:val="single" w:sz="2" w:space="0" w:color="C00000"/>
              <w:left w:val="single" w:sz="18" w:space="0" w:color="FFFFFF" w:themeColor="background1"/>
              <w:bottom w:val="single" w:sz="2" w:space="0" w:color="C00000"/>
            </w:tcBorders>
            <w:shd w:val="clear" w:color="auto" w:fill="auto"/>
            <w:noWrap/>
            <w:vAlign w:val="center"/>
            <w:hideMark/>
          </w:tcPr>
          <w:p w14:paraId="4037F6AC" w14:textId="77777777" w:rsidR="00977AC0" w:rsidRPr="00EE3DF9" w:rsidRDefault="00977AC0" w:rsidP="00A91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it-IT"/>
              </w:rPr>
            </w:pPr>
            <w:r w:rsidRPr="00EE3DF9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it-IT"/>
              </w:rPr>
              <w:t>3%</w:t>
            </w:r>
          </w:p>
        </w:tc>
      </w:tr>
      <w:tr w:rsidR="00977AC0" w:rsidRPr="00EE3DF9" w14:paraId="2E986D2E" w14:textId="77777777" w:rsidTr="00A9145D">
        <w:trPr>
          <w:trHeight w:hRule="exact" w:val="284"/>
          <w:jc w:val="center"/>
        </w:trPr>
        <w:tc>
          <w:tcPr>
            <w:tcW w:w="3238" w:type="dxa"/>
            <w:tcBorders>
              <w:top w:val="single" w:sz="2" w:space="0" w:color="C00000"/>
              <w:left w:val="nil"/>
              <w:bottom w:val="single" w:sz="2" w:space="0" w:color="C00000"/>
              <w:right w:val="single" w:sz="18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772EA39" w14:textId="77777777" w:rsidR="00977AC0" w:rsidRPr="00EE3DF9" w:rsidRDefault="00977AC0" w:rsidP="00A91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it-IT"/>
              </w:rPr>
            </w:pPr>
            <w:r w:rsidRPr="00EE3DF9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it-IT"/>
              </w:rPr>
              <w:t>Abruzzo</w:t>
            </w:r>
          </w:p>
        </w:tc>
        <w:tc>
          <w:tcPr>
            <w:tcW w:w="1709" w:type="dxa"/>
            <w:tcBorders>
              <w:top w:val="single" w:sz="2" w:space="0" w:color="C00000"/>
              <w:left w:val="single" w:sz="18" w:space="0" w:color="FFFFFF" w:themeColor="background1"/>
              <w:bottom w:val="single" w:sz="2" w:space="0" w:color="C00000"/>
              <w:right w:val="single" w:sz="18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E907C21" w14:textId="77777777" w:rsidR="00977AC0" w:rsidRPr="00EE3DF9" w:rsidRDefault="00977AC0" w:rsidP="00A91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it-IT"/>
              </w:rPr>
            </w:pPr>
            <w:r w:rsidRPr="00EE3DF9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781" w:type="dxa"/>
            <w:tcBorders>
              <w:top w:val="single" w:sz="2" w:space="0" w:color="C00000"/>
              <w:left w:val="single" w:sz="18" w:space="0" w:color="FFFFFF" w:themeColor="background1"/>
              <w:bottom w:val="single" w:sz="2" w:space="0" w:color="C00000"/>
            </w:tcBorders>
            <w:shd w:val="clear" w:color="auto" w:fill="auto"/>
            <w:noWrap/>
            <w:vAlign w:val="center"/>
            <w:hideMark/>
          </w:tcPr>
          <w:p w14:paraId="57F6B55C" w14:textId="77777777" w:rsidR="00977AC0" w:rsidRPr="00EE3DF9" w:rsidRDefault="00977AC0" w:rsidP="00A91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it-IT"/>
              </w:rPr>
            </w:pPr>
            <w:r w:rsidRPr="00EE3DF9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it-IT"/>
              </w:rPr>
              <w:t>3%</w:t>
            </w:r>
          </w:p>
        </w:tc>
      </w:tr>
      <w:tr w:rsidR="00977AC0" w:rsidRPr="00EE3DF9" w14:paraId="01B93B50" w14:textId="77777777" w:rsidTr="00A9145D">
        <w:trPr>
          <w:trHeight w:hRule="exact" w:val="284"/>
          <w:jc w:val="center"/>
        </w:trPr>
        <w:tc>
          <w:tcPr>
            <w:tcW w:w="3238" w:type="dxa"/>
            <w:tcBorders>
              <w:top w:val="single" w:sz="2" w:space="0" w:color="C00000"/>
              <w:left w:val="nil"/>
              <w:bottom w:val="single" w:sz="2" w:space="0" w:color="C00000"/>
              <w:right w:val="single" w:sz="18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8A140A0" w14:textId="77777777" w:rsidR="00977AC0" w:rsidRPr="00EE3DF9" w:rsidRDefault="00977AC0" w:rsidP="00A91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it-IT"/>
              </w:rPr>
            </w:pPr>
            <w:r w:rsidRPr="00EE3DF9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it-IT"/>
              </w:rPr>
              <w:t>Toscana</w:t>
            </w:r>
          </w:p>
        </w:tc>
        <w:tc>
          <w:tcPr>
            <w:tcW w:w="1709" w:type="dxa"/>
            <w:tcBorders>
              <w:top w:val="single" w:sz="2" w:space="0" w:color="C00000"/>
              <w:left w:val="single" w:sz="18" w:space="0" w:color="FFFFFF" w:themeColor="background1"/>
              <w:bottom w:val="single" w:sz="2" w:space="0" w:color="C00000"/>
              <w:right w:val="single" w:sz="18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D38F578" w14:textId="77777777" w:rsidR="00977AC0" w:rsidRPr="00EE3DF9" w:rsidRDefault="00977AC0" w:rsidP="00A91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it-IT"/>
              </w:rPr>
            </w:pPr>
            <w:r w:rsidRPr="00EE3DF9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781" w:type="dxa"/>
            <w:tcBorders>
              <w:top w:val="single" w:sz="2" w:space="0" w:color="C00000"/>
              <w:left w:val="single" w:sz="18" w:space="0" w:color="FFFFFF" w:themeColor="background1"/>
              <w:bottom w:val="single" w:sz="2" w:space="0" w:color="C00000"/>
            </w:tcBorders>
            <w:shd w:val="clear" w:color="auto" w:fill="auto"/>
            <w:noWrap/>
            <w:vAlign w:val="center"/>
            <w:hideMark/>
          </w:tcPr>
          <w:p w14:paraId="1D2DD10A" w14:textId="77777777" w:rsidR="00977AC0" w:rsidRPr="00EE3DF9" w:rsidRDefault="00977AC0" w:rsidP="00A91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it-IT"/>
              </w:rPr>
            </w:pPr>
            <w:r w:rsidRPr="00EE3DF9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it-IT"/>
              </w:rPr>
              <w:t>2%</w:t>
            </w:r>
          </w:p>
        </w:tc>
      </w:tr>
      <w:tr w:rsidR="00977AC0" w:rsidRPr="00EE3DF9" w14:paraId="1F66A4CD" w14:textId="77777777" w:rsidTr="00A9145D">
        <w:trPr>
          <w:trHeight w:hRule="exact" w:val="284"/>
          <w:jc w:val="center"/>
        </w:trPr>
        <w:tc>
          <w:tcPr>
            <w:tcW w:w="3238" w:type="dxa"/>
            <w:tcBorders>
              <w:top w:val="single" w:sz="2" w:space="0" w:color="C00000"/>
              <w:left w:val="nil"/>
              <w:bottom w:val="single" w:sz="2" w:space="0" w:color="C00000"/>
              <w:right w:val="single" w:sz="18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A2514E6" w14:textId="77777777" w:rsidR="00977AC0" w:rsidRPr="00EE3DF9" w:rsidRDefault="00977AC0" w:rsidP="00A91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it-IT"/>
              </w:rPr>
            </w:pPr>
            <w:r w:rsidRPr="00EE3DF9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it-IT"/>
              </w:rPr>
              <w:t>Umbria</w:t>
            </w:r>
          </w:p>
        </w:tc>
        <w:tc>
          <w:tcPr>
            <w:tcW w:w="1709" w:type="dxa"/>
            <w:tcBorders>
              <w:top w:val="single" w:sz="2" w:space="0" w:color="C00000"/>
              <w:left w:val="single" w:sz="18" w:space="0" w:color="FFFFFF" w:themeColor="background1"/>
              <w:bottom w:val="single" w:sz="2" w:space="0" w:color="C00000"/>
              <w:right w:val="single" w:sz="18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B9F952C" w14:textId="77777777" w:rsidR="00977AC0" w:rsidRPr="00EE3DF9" w:rsidRDefault="00977AC0" w:rsidP="00A91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it-IT"/>
              </w:rPr>
            </w:pPr>
            <w:r w:rsidRPr="00EE3DF9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781" w:type="dxa"/>
            <w:tcBorders>
              <w:top w:val="single" w:sz="2" w:space="0" w:color="C00000"/>
              <w:left w:val="single" w:sz="18" w:space="0" w:color="FFFFFF" w:themeColor="background1"/>
              <w:bottom w:val="single" w:sz="2" w:space="0" w:color="C00000"/>
            </w:tcBorders>
            <w:shd w:val="clear" w:color="auto" w:fill="auto"/>
            <w:noWrap/>
            <w:vAlign w:val="center"/>
            <w:hideMark/>
          </w:tcPr>
          <w:p w14:paraId="742A8CC0" w14:textId="77777777" w:rsidR="00977AC0" w:rsidRPr="00EE3DF9" w:rsidRDefault="00977AC0" w:rsidP="00A91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it-IT"/>
              </w:rPr>
            </w:pPr>
            <w:r w:rsidRPr="00EE3DF9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it-IT"/>
              </w:rPr>
              <w:t>1%</w:t>
            </w:r>
          </w:p>
        </w:tc>
      </w:tr>
      <w:tr w:rsidR="00977AC0" w:rsidRPr="00EE3DF9" w14:paraId="25F3FB21" w14:textId="77777777" w:rsidTr="00A9145D">
        <w:trPr>
          <w:trHeight w:hRule="exact" w:val="284"/>
          <w:jc w:val="center"/>
        </w:trPr>
        <w:tc>
          <w:tcPr>
            <w:tcW w:w="3238" w:type="dxa"/>
            <w:tcBorders>
              <w:top w:val="single" w:sz="2" w:space="0" w:color="C00000"/>
              <w:left w:val="nil"/>
              <w:bottom w:val="single" w:sz="2" w:space="0" w:color="C00000"/>
              <w:right w:val="single" w:sz="18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FCD1A79" w14:textId="77777777" w:rsidR="00977AC0" w:rsidRPr="00EE3DF9" w:rsidRDefault="00977AC0" w:rsidP="00A91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it-IT"/>
              </w:rPr>
            </w:pPr>
            <w:r w:rsidRPr="00EE3DF9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it-IT"/>
              </w:rPr>
              <w:t>Emilia-</w:t>
            </w:r>
            <w:r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it-IT"/>
              </w:rPr>
              <w:t>R</w:t>
            </w:r>
            <w:r w:rsidRPr="00EE3DF9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it-IT"/>
              </w:rPr>
              <w:t>omagna</w:t>
            </w:r>
          </w:p>
        </w:tc>
        <w:tc>
          <w:tcPr>
            <w:tcW w:w="1709" w:type="dxa"/>
            <w:tcBorders>
              <w:top w:val="single" w:sz="2" w:space="0" w:color="C00000"/>
              <w:left w:val="single" w:sz="18" w:space="0" w:color="FFFFFF" w:themeColor="background1"/>
              <w:bottom w:val="single" w:sz="2" w:space="0" w:color="C00000"/>
              <w:right w:val="single" w:sz="18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A7D712B" w14:textId="77777777" w:rsidR="00977AC0" w:rsidRPr="00EE3DF9" w:rsidRDefault="00977AC0" w:rsidP="00A91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it-IT"/>
              </w:rPr>
            </w:pPr>
            <w:r w:rsidRPr="00EE3DF9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781" w:type="dxa"/>
            <w:tcBorders>
              <w:top w:val="single" w:sz="2" w:space="0" w:color="C00000"/>
              <w:left w:val="single" w:sz="18" w:space="0" w:color="FFFFFF" w:themeColor="background1"/>
              <w:bottom w:val="single" w:sz="2" w:space="0" w:color="C00000"/>
            </w:tcBorders>
            <w:shd w:val="clear" w:color="auto" w:fill="auto"/>
            <w:noWrap/>
            <w:vAlign w:val="center"/>
            <w:hideMark/>
          </w:tcPr>
          <w:p w14:paraId="796B56F5" w14:textId="77777777" w:rsidR="00977AC0" w:rsidRPr="00EE3DF9" w:rsidRDefault="00977AC0" w:rsidP="00A91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it-IT"/>
              </w:rPr>
            </w:pPr>
            <w:r w:rsidRPr="00EE3DF9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it-IT"/>
              </w:rPr>
              <w:t>1%</w:t>
            </w:r>
          </w:p>
        </w:tc>
      </w:tr>
      <w:tr w:rsidR="00977AC0" w:rsidRPr="00EE3DF9" w14:paraId="0F82E887" w14:textId="77777777" w:rsidTr="00A9145D">
        <w:trPr>
          <w:trHeight w:hRule="exact" w:val="284"/>
          <w:jc w:val="center"/>
        </w:trPr>
        <w:tc>
          <w:tcPr>
            <w:tcW w:w="3238" w:type="dxa"/>
            <w:tcBorders>
              <w:top w:val="single" w:sz="2" w:space="0" w:color="C00000"/>
              <w:left w:val="nil"/>
              <w:bottom w:val="single" w:sz="2" w:space="0" w:color="C00000"/>
              <w:right w:val="single" w:sz="18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1BF5D9DD" w14:textId="77777777" w:rsidR="00977AC0" w:rsidRPr="00EE3DF9" w:rsidRDefault="00977AC0" w:rsidP="00A91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it-IT"/>
              </w:rPr>
            </w:pPr>
            <w:r w:rsidRPr="00EE3DF9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it-IT"/>
              </w:rPr>
              <w:lastRenderedPageBreak/>
              <w:t>Marche</w:t>
            </w:r>
          </w:p>
        </w:tc>
        <w:tc>
          <w:tcPr>
            <w:tcW w:w="1709" w:type="dxa"/>
            <w:tcBorders>
              <w:top w:val="single" w:sz="2" w:space="0" w:color="C00000"/>
              <w:left w:val="single" w:sz="18" w:space="0" w:color="FFFFFF" w:themeColor="background1"/>
              <w:bottom w:val="single" w:sz="2" w:space="0" w:color="C00000"/>
              <w:right w:val="single" w:sz="18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1B3A197" w14:textId="77777777" w:rsidR="00977AC0" w:rsidRPr="00EE3DF9" w:rsidRDefault="00977AC0" w:rsidP="00A91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it-IT"/>
              </w:rPr>
            </w:pPr>
            <w:r w:rsidRPr="00EE3DF9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781" w:type="dxa"/>
            <w:tcBorders>
              <w:top w:val="single" w:sz="2" w:space="0" w:color="C00000"/>
              <w:left w:val="single" w:sz="18" w:space="0" w:color="FFFFFF" w:themeColor="background1"/>
              <w:bottom w:val="single" w:sz="2" w:space="0" w:color="C00000"/>
            </w:tcBorders>
            <w:shd w:val="clear" w:color="auto" w:fill="auto"/>
            <w:noWrap/>
            <w:vAlign w:val="center"/>
            <w:hideMark/>
          </w:tcPr>
          <w:p w14:paraId="234B0170" w14:textId="77777777" w:rsidR="00977AC0" w:rsidRPr="00EE3DF9" w:rsidRDefault="00977AC0" w:rsidP="00A91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it-IT"/>
              </w:rPr>
            </w:pPr>
            <w:r w:rsidRPr="00EE3DF9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it-IT"/>
              </w:rPr>
              <w:t>0%</w:t>
            </w:r>
          </w:p>
        </w:tc>
      </w:tr>
      <w:tr w:rsidR="00977AC0" w:rsidRPr="00EE3DF9" w14:paraId="6893F6A1" w14:textId="77777777" w:rsidTr="00A9145D">
        <w:trPr>
          <w:trHeight w:hRule="exact" w:val="284"/>
          <w:jc w:val="center"/>
        </w:trPr>
        <w:tc>
          <w:tcPr>
            <w:tcW w:w="3238" w:type="dxa"/>
            <w:tcBorders>
              <w:top w:val="single" w:sz="2" w:space="0" w:color="C00000"/>
              <w:left w:val="nil"/>
              <w:bottom w:val="single" w:sz="2" w:space="0" w:color="C00000"/>
              <w:right w:val="single" w:sz="18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C1F376B" w14:textId="77777777" w:rsidR="00977AC0" w:rsidRPr="00EE3DF9" w:rsidRDefault="00977AC0" w:rsidP="00A91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it-IT"/>
              </w:rPr>
            </w:pPr>
            <w:r w:rsidRPr="00EE3DF9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it-IT"/>
              </w:rPr>
              <w:t xml:space="preserve">Trentino </w:t>
            </w:r>
            <w:r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it-IT"/>
              </w:rPr>
              <w:t>A</w:t>
            </w:r>
            <w:r w:rsidRPr="00EE3DF9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it-IT"/>
              </w:rPr>
              <w:t>lto-</w:t>
            </w:r>
            <w:r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it-IT"/>
              </w:rPr>
              <w:t>A</w:t>
            </w:r>
            <w:r w:rsidRPr="00EE3DF9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it-IT"/>
              </w:rPr>
              <w:t>dige</w:t>
            </w:r>
          </w:p>
        </w:tc>
        <w:tc>
          <w:tcPr>
            <w:tcW w:w="1709" w:type="dxa"/>
            <w:tcBorders>
              <w:top w:val="single" w:sz="2" w:space="0" w:color="C00000"/>
              <w:left w:val="single" w:sz="18" w:space="0" w:color="FFFFFF" w:themeColor="background1"/>
              <w:bottom w:val="single" w:sz="2" w:space="0" w:color="C00000"/>
              <w:right w:val="single" w:sz="18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49DDC70" w14:textId="77777777" w:rsidR="00977AC0" w:rsidRPr="00EE3DF9" w:rsidRDefault="00977AC0" w:rsidP="00A91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it-IT"/>
              </w:rPr>
            </w:pPr>
            <w:r w:rsidRPr="00EE3DF9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781" w:type="dxa"/>
            <w:tcBorders>
              <w:top w:val="single" w:sz="2" w:space="0" w:color="C00000"/>
              <w:left w:val="single" w:sz="18" w:space="0" w:color="FFFFFF" w:themeColor="background1"/>
              <w:bottom w:val="single" w:sz="2" w:space="0" w:color="C00000"/>
            </w:tcBorders>
            <w:shd w:val="clear" w:color="auto" w:fill="auto"/>
            <w:noWrap/>
            <w:vAlign w:val="center"/>
            <w:hideMark/>
          </w:tcPr>
          <w:p w14:paraId="771E82FC" w14:textId="77777777" w:rsidR="00977AC0" w:rsidRPr="00EE3DF9" w:rsidRDefault="00977AC0" w:rsidP="00A91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it-IT"/>
              </w:rPr>
            </w:pPr>
            <w:r w:rsidRPr="00EE3DF9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it-IT"/>
              </w:rPr>
              <w:t>0%</w:t>
            </w:r>
          </w:p>
        </w:tc>
      </w:tr>
      <w:tr w:rsidR="00977AC0" w:rsidRPr="00EE3DF9" w14:paraId="2E8ECC65" w14:textId="77777777" w:rsidTr="00A9145D">
        <w:trPr>
          <w:trHeight w:hRule="exact" w:val="284"/>
          <w:jc w:val="center"/>
        </w:trPr>
        <w:tc>
          <w:tcPr>
            <w:tcW w:w="3238" w:type="dxa"/>
            <w:tcBorders>
              <w:top w:val="single" w:sz="2" w:space="0" w:color="C00000"/>
              <w:left w:val="nil"/>
              <w:bottom w:val="single" w:sz="2" w:space="0" w:color="C00000"/>
              <w:right w:val="single" w:sz="18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F696CB6" w14:textId="77777777" w:rsidR="00977AC0" w:rsidRPr="00EE3DF9" w:rsidRDefault="00977AC0" w:rsidP="00A91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it-IT"/>
              </w:rPr>
            </w:pPr>
            <w:r w:rsidRPr="00EE3DF9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1709" w:type="dxa"/>
            <w:tcBorders>
              <w:top w:val="single" w:sz="2" w:space="0" w:color="C00000"/>
              <w:left w:val="single" w:sz="18" w:space="0" w:color="FFFFFF" w:themeColor="background1"/>
              <w:bottom w:val="single" w:sz="2" w:space="0" w:color="C00000"/>
              <w:right w:val="single" w:sz="18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A7C3D02" w14:textId="77777777" w:rsidR="00977AC0" w:rsidRPr="00EE3DF9" w:rsidRDefault="00977AC0" w:rsidP="00A91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it-IT"/>
              </w:rPr>
            </w:pPr>
            <w:r w:rsidRPr="00EE3DF9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781" w:type="dxa"/>
            <w:tcBorders>
              <w:top w:val="single" w:sz="2" w:space="0" w:color="C00000"/>
              <w:left w:val="single" w:sz="18" w:space="0" w:color="FFFFFF" w:themeColor="background1"/>
              <w:bottom w:val="single" w:sz="2" w:space="0" w:color="C00000"/>
              <w:right w:val="nil"/>
            </w:tcBorders>
            <w:shd w:val="clear" w:color="auto" w:fill="auto"/>
            <w:noWrap/>
            <w:vAlign w:val="center"/>
            <w:hideMark/>
          </w:tcPr>
          <w:p w14:paraId="6B3D6D16" w14:textId="77777777" w:rsidR="00977AC0" w:rsidRPr="00EE3DF9" w:rsidRDefault="00977AC0" w:rsidP="00A91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it-IT"/>
              </w:rPr>
            </w:pPr>
            <w:r w:rsidRPr="00EE3DF9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it-IT"/>
              </w:rPr>
              <w:t>0%</w:t>
            </w:r>
          </w:p>
        </w:tc>
      </w:tr>
      <w:tr w:rsidR="00977AC0" w:rsidRPr="009940DA" w14:paraId="7E7E1361" w14:textId="77777777" w:rsidTr="00A9145D">
        <w:trPr>
          <w:trHeight w:hRule="exact" w:val="284"/>
          <w:jc w:val="center"/>
        </w:trPr>
        <w:tc>
          <w:tcPr>
            <w:tcW w:w="3238" w:type="dxa"/>
            <w:tcBorders>
              <w:top w:val="single" w:sz="2" w:space="0" w:color="C00000"/>
              <w:left w:val="nil"/>
              <w:bottom w:val="single" w:sz="8" w:space="0" w:color="C00000"/>
              <w:right w:val="single" w:sz="18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7440BA5" w14:textId="77777777" w:rsidR="00977AC0" w:rsidRPr="009940DA" w:rsidRDefault="00977AC0" w:rsidP="00A91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  <w:lang w:eastAsia="it-IT"/>
              </w:rPr>
            </w:pPr>
            <w:r w:rsidRPr="009940DA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1709" w:type="dxa"/>
            <w:tcBorders>
              <w:top w:val="single" w:sz="2" w:space="0" w:color="C00000"/>
              <w:left w:val="single" w:sz="18" w:space="0" w:color="FFFFFF" w:themeColor="background1"/>
              <w:bottom w:val="single" w:sz="8" w:space="0" w:color="C00000"/>
              <w:right w:val="single" w:sz="18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87F8152" w14:textId="77777777" w:rsidR="00977AC0" w:rsidRPr="009940DA" w:rsidRDefault="00977AC0" w:rsidP="00A91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  <w:lang w:eastAsia="it-IT"/>
              </w:rPr>
            </w:pPr>
            <w:r w:rsidRPr="009940DA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it-IT"/>
              </w:rPr>
              <w:t>257</w:t>
            </w:r>
          </w:p>
        </w:tc>
        <w:tc>
          <w:tcPr>
            <w:tcW w:w="1781" w:type="dxa"/>
            <w:tcBorders>
              <w:top w:val="single" w:sz="2" w:space="0" w:color="C00000"/>
              <w:left w:val="single" w:sz="18" w:space="0" w:color="FFFFFF" w:themeColor="background1"/>
              <w:bottom w:val="single" w:sz="8" w:space="0" w:color="C00000"/>
            </w:tcBorders>
            <w:shd w:val="clear" w:color="auto" w:fill="auto"/>
            <w:noWrap/>
            <w:vAlign w:val="center"/>
            <w:hideMark/>
          </w:tcPr>
          <w:p w14:paraId="5E911276" w14:textId="77777777" w:rsidR="00977AC0" w:rsidRPr="009940DA" w:rsidRDefault="00977AC0" w:rsidP="00A91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  <w:lang w:eastAsia="it-IT"/>
              </w:rPr>
            </w:pPr>
          </w:p>
        </w:tc>
      </w:tr>
      <w:tr w:rsidR="00977AC0" w:rsidRPr="000C4E46" w14:paraId="71D663AD" w14:textId="77777777" w:rsidTr="00A9145D">
        <w:trPr>
          <w:trHeight w:val="397"/>
          <w:jc w:val="center"/>
        </w:trPr>
        <w:tc>
          <w:tcPr>
            <w:tcW w:w="3238" w:type="dxa"/>
            <w:tcBorders>
              <w:top w:val="single" w:sz="8" w:space="0" w:color="C00000"/>
              <w:left w:val="nil"/>
              <w:bottom w:val="nil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45BA5A43" w14:textId="77777777" w:rsidR="00977AC0" w:rsidRPr="000C4E46" w:rsidRDefault="00977AC0" w:rsidP="00A9145D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8"/>
                <w:szCs w:val="18"/>
                <w:lang w:eastAsia="it-IT"/>
              </w:rPr>
            </w:pPr>
            <w:r w:rsidRPr="000C4E46">
              <w:rPr>
                <w:rFonts w:ascii="Calibri" w:eastAsia="Times New Roman" w:hAnsi="Calibri" w:cs="Calibri"/>
                <w:color w:val="404040"/>
                <w:sz w:val="18"/>
                <w:szCs w:val="18"/>
                <w:lang w:eastAsia="it-IT"/>
              </w:rPr>
              <w:t xml:space="preserve"> * Stato= in istruttoria e gestione</w:t>
            </w:r>
          </w:p>
        </w:tc>
        <w:tc>
          <w:tcPr>
            <w:tcW w:w="1709" w:type="dxa"/>
            <w:tcBorders>
              <w:top w:val="single" w:sz="8" w:space="0" w:color="C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59715" w14:textId="77777777" w:rsidR="00977AC0" w:rsidRPr="000C4E46" w:rsidRDefault="00977AC0" w:rsidP="00A9145D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8"/>
                <w:szCs w:val="18"/>
                <w:lang w:eastAsia="it-IT"/>
              </w:rPr>
            </w:pPr>
          </w:p>
        </w:tc>
        <w:tc>
          <w:tcPr>
            <w:tcW w:w="1781" w:type="dxa"/>
            <w:tcBorders>
              <w:top w:val="single" w:sz="8" w:space="0" w:color="C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1B2D5" w14:textId="77777777" w:rsidR="00977AC0" w:rsidRPr="000C4E46" w:rsidRDefault="00977AC0" w:rsidP="00A9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</w:tbl>
    <w:p w14:paraId="48BADCEE" w14:textId="77777777" w:rsidR="00977AC0" w:rsidRDefault="00977AC0" w:rsidP="00977AC0">
      <w:pPr>
        <w:spacing w:before="60" w:after="0" w:line="240" w:lineRule="auto"/>
        <w:ind w:left="708" w:firstLine="468"/>
        <w:rPr>
          <w:i/>
          <w:sz w:val="17"/>
          <w:szCs w:val="17"/>
        </w:rPr>
      </w:pPr>
      <w:r w:rsidRPr="009564B4">
        <w:rPr>
          <w:i/>
          <w:sz w:val="17"/>
          <w:szCs w:val="17"/>
        </w:rPr>
        <w:t xml:space="preserve">Fonte: Elaborazioni </w:t>
      </w:r>
      <w:r>
        <w:rPr>
          <w:i/>
          <w:sz w:val="17"/>
          <w:szCs w:val="17"/>
        </w:rPr>
        <w:t xml:space="preserve">FNC </w:t>
      </w:r>
      <w:r w:rsidRPr="009564B4">
        <w:rPr>
          <w:i/>
          <w:sz w:val="17"/>
          <w:szCs w:val="17"/>
        </w:rPr>
        <w:t xml:space="preserve">su dati </w:t>
      </w:r>
      <w:r>
        <w:rPr>
          <w:i/>
          <w:sz w:val="17"/>
          <w:szCs w:val="17"/>
        </w:rPr>
        <w:t xml:space="preserve">IFEL </w:t>
      </w:r>
    </w:p>
    <w:p w14:paraId="43BA84AE" w14:textId="77777777" w:rsidR="00977AC0" w:rsidRDefault="00977AC0" w:rsidP="00977AC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580E877" w14:textId="5A5FB7DC" w:rsidR="00977AC0" w:rsidRPr="00AD6286" w:rsidRDefault="00977AC0" w:rsidP="00885CFB">
      <w:pPr>
        <w:spacing w:after="0" w:line="240" w:lineRule="auto"/>
        <w:jc w:val="both"/>
        <w:rPr>
          <w:rFonts w:ascii="Arial" w:hAnsi="Arial" w:cs="Arial"/>
          <w:spacing w:val="-4"/>
        </w:rPr>
      </w:pPr>
      <w:r w:rsidRPr="00AD6286">
        <w:rPr>
          <w:rFonts w:ascii="Arial" w:hAnsi="Arial" w:cs="Arial"/>
          <w:spacing w:val="-4"/>
        </w:rPr>
        <w:t xml:space="preserve">Dalla ricerca dei commercialisti emerge anche che il </w:t>
      </w:r>
      <w:r w:rsidRPr="00AD6286">
        <w:rPr>
          <w:rFonts w:ascii="Arial" w:hAnsi="Arial" w:cs="Arial"/>
          <w:b/>
          <w:bCs/>
          <w:spacing w:val="-4"/>
        </w:rPr>
        <w:t>53%</w:t>
      </w:r>
      <w:r w:rsidRPr="00AD6286">
        <w:rPr>
          <w:rFonts w:ascii="Arial" w:hAnsi="Arial" w:cs="Arial"/>
          <w:spacing w:val="-4"/>
        </w:rPr>
        <w:t xml:space="preserve"> degli enti in predissesto ha una </w:t>
      </w:r>
      <w:r w:rsidRPr="00AD6286">
        <w:rPr>
          <w:rFonts w:ascii="Arial" w:hAnsi="Arial" w:cs="Arial"/>
          <w:b/>
          <w:bCs/>
          <w:spacing w:val="-4"/>
        </w:rPr>
        <w:t>popolazione inferiore a 5.000 abitanti</w:t>
      </w:r>
      <w:r w:rsidRPr="00AD6286">
        <w:rPr>
          <w:rFonts w:ascii="Arial" w:hAnsi="Arial" w:cs="Arial"/>
          <w:spacing w:val="-4"/>
        </w:rPr>
        <w:t xml:space="preserve"> (di cui il 28% di enti con popolazione inferiore a 2.000 abitanti) e si concentra per quasi il </w:t>
      </w:r>
      <w:r w:rsidRPr="00AD6286">
        <w:rPr>
          <w:rFonts w:ascii="Arial" w:hAnsi="Arial" w:cs="Arial"/>
          <w:b/>
          <w:bCs/>
          <w:spacing w:val="-4"/>
        </w:rPr>
        <w:t>50% nell’area geografica Sud</w:t>
      </w:r>
      <w:r w:rsidRPr="00AD6286">
        <w:rPr>
          <w:rFonts w:ascii="Arial" w:hAnsi="Arial" w:cs="Arial"/>
          <w:spacing w:val="-4"/>
        </w:rPr>
        <w:t xml:space="preserve">, mentre il </w:t>
      </w:r>
      <w:r w:rsidRPr="00AD6286">
        <w:rPr>
          <w:rFonts w:ascii="Arial" w:hAnsi="Arial" w:cs="Arial"/>
          <w:b/>
          <w:bCs/>
          <w:spacing w:val="-4"/>
        </w:rPr>
        <w:t>46%</w:t>
      </w:r>
      <w:r w:rsidRPr="00AD6286">
        <w:rPr>
          <w:rFonts w:ascii="Arial" w:hAnsi="Arial" w:cs="Arial"/>
          <w:spacing w:val="-4"/>
        </w:rPr>
        <w:t xml:space="preserve"> è raggruppato nelle classi con popolazione compresa </w:t>
      </w:r>
      <w:r w:rsidRPr="00AD6286">
        <w:rPr>
          <w:rFonts w:ascii="Arial" w:hAnsi="Arial" w:cs="Arial"/>
          <w:b/>
          <w:bCs/>
          <w:spacing w:val="-4"/>
        </w:rPr>
        <w:t>tra i 5.000 e i 100.000 abitanti</w:t>
      </w:r>
      <w:r w:rsidRPr="00AD6286">
        <w:rPr>
          <w:rFonts w:ascii="Arial" w:hAnsi="Arial" w:cs="Arial"/>
          <w:spacing w:val="-4"/>
        </w:rPr>
        <w:t xml:space="preserve">, anche in questo caso concentrato per il </w:t>
      </w:r>
      <w:r w:rsidRPr="00AD6286">
        <w:rPr>
          <w:rFonts w:ascii="Arial" w:hAnsi="Arial" w:cs="Arial"/>
          <w:b/>
          <w:bCs/>
          <w:spacing w:val="-4"/>
        </w:rPr>
        <w:t>44% al Sud</w:t>
      </w:r>
      <w:r w:rsidRPr="00AD6286">
        <w:rPr>
          <w:rFonts w:ascii="Arial" w:hAnsi="Arial" w:cs="Arial"/>
          <w:spacing w:val="-4"/>
        </w:rPr>
        <w:t xml:space="preserve">. Solo il </w:t>
      </w:r>
      <w:r w:rsidRPr="00AD6286">
        <w:rPr>
          <w:rFonts w:ascii="Arial" w:hAnsi="Arial" w:cs="Arial"/>
          <w:b/>
          <w:bCs/>
          <w:spacing w:val="-4"/>
        </w:rPr>
        <w:t>2%</w:t>
      </w:r>
      <w:r w:rsidRPr="00AD6286">
        <w:rPr>
          <w:rFonts w:ascii="Arial" w:hAnsi="Arial" w:cs="Arial"/>
          <w:spacing w:val="-4"/>
        </w:rPr>
        <w:t xml:space="preserve"> degli enti si colloca nelle classi demografiche con popolazione superiore a </w:t>
      </w:r>
      <w:r w:rsidRPr="00AD6286">
        <w:rPr>
          <w:rFonts w:ascii="Arial" w:hAnsi="Arial" w:cs="Arial"/>
          <w:b/>
          <w:bCs/>
          <w:spacing w:val="-4"/>
        </w:rPr>
        <w:t>100.000 abitanti</w:t>
      </w:r>
      <w:r w:rsidRPr="00AD6286">
        <w:rPr>
          <w:rFonts w:ascii="Arial" w:hAnsi="Arial" w:cs="Arial"/>
          <w:spacing w:val="-4"/>
        </w:rPr>
        <w:t xml:space="preserve"> e si tratta di capoluoghi di provincia situati prevalentemente al Sud (</w:t>
      </w:r>
      <w:r w:rsidRPr="00AD6286">
        <w:rPr>
          <w:rFonts w:ascii="Arial" w:hAnsi="Arial" w:cs="Arial"/>
          <w:b/>
          <w:bCs/>
          <w:shd w:val="clear" w:color="auto" w:fill="FFFFFF"/>
        </w:rPr>
        <w:t>Alessandria, Andria, Avellino, Brindisi, Imperia, Lecce, Messina, Napoli, Palermo, Pescara, Potenza, Riet</w:t>
      </w:r>
      <w:r w:rsidRPr="00AD6286">
        <w:rPr>
          <w:rFonts w:ascii="Arial" w:hAnsi="Arial" w:cs="Arial"/>
          <w:shd w:val="clear" w:color="auto" w:fill="FFFFFF"/>
        </w:rPr>
        <w:t>i)</w:t>
      </w:r>
      <w:r w:rsidRPr="00AD6286">
        <w:rPr>
          <w:rFonts w:ascii="Arial" w:hAnsi="Arial" w:cs="Arial"/>
          <w:spacing w:val="-4"/>
        </w:rPr>
        <w:t xml:space="preserve">. Il dato delle procedure al </w:t>
      </w:r>
      <w:r w:rsidRPr="00AD6286">
        <w:rPr>
          <w:rFonts w:ascii="Arial" w:hAnsi="Arial" w:cs="Arial"/>
          <w:b/>
          <w:bCs/>
          <w:spacing w:val="-4"/>
        </w:rPr>
        <w:t>Nord</w:t>
      </w:r>
      <w:r w:rsidRPr="00AD6286">
        <w:rPr>
          <w:rFonts w:ascii="Arial" w:hAnsi="Arial" w:cs="Arial"/>
          <w:spacing w:val="-4"/>
        </w:rPr>
        <w:t xml:space="preserve">, che rappresentano il </w:t>
      </w:r>
      <w:r w:rsidRPr="00AD6286">
        <w:rPr>
          <w:rFonts w:ascii="Arial" w:hAnsi="Arial" w:cs="Arial"/>
          <w:b/>
          <w:bCs/>
          <w:spacing w:val="-4"/>
        </w:rPr>
        <w:t>12%</w:t>
      </w:r>
      <w:r w:rsidRPr="00AD6286">
        <w:rPr>
          <w:rFonts w:ascii="Arial" w:hAnsi="Arial" w:cs="Arial"/>
          <w:spacing w:val="-4"/>
        </w:rPr>
        <w:t xml:space="preserve">, è concentrato nei </w:t>
      </w:r>
      <w:r w:rsidR="00AC2E48" w:rsidRPr="00AD6286">
        <w:rPr>
          <w:rFonts w:ascii="Arial" w:hAnsi="Arial" w:cs="Arial"/>
          <w:spacing w:val="-4"/>
        </w:rPr>
        <w:t>C</w:t>
      </w:r>
      <w:r w:rsidRPr="00AD6286">
        <w:rPr>
          <w:rFonts w:ascii="Arial" w:hAnsi="Arial" w:cs="Arial"/>
          <w:spacing w:val="-4"/>
        </w:rPr>
        <w:t>omuni con popolazione inferiore a 5.000 abitanti.</w:t>
      </w:r>
    </w:p>
    <w:p w14:paraId="4676BE40" w14:textId="77777777" w:rsidR="00885CFB" w:rsidRPr="00AD6286" w:rsidRDefault="00885CFB" w:rsidP="00885CFB">
      <w:pPr>
        <w:spacing w:after="0" w:line="240" w:lineRule="auto"/>
        <w:jc w:val="both"/>
        <w:rPr>
          <w:rFonts w:ascii="Arial" w:hAnsi="Arial" w:cs="Arial"/>
          <w:spacing w:val="-4"/>
        </w:rPr>
      </w:pPr>
    </w:p>
    <w:p w14:paraId="1D631498" w14:textId="77777777" w:rsidR="00977AC0" w:rsidRPr="00AD6286" w:rsidRDefault="00977AC0" w:rsidP="00885CFB">
      <w:pPr>
        <w:spacing w:after="0" w:line="240" w:lineRule="auto"/>
        <w:jc w:val="both"/>
        <w:rPr>
          <w:rFonts w:ascii="Arial" w:hAnsi="Arial" w:cs="Arial"/>
          <w:b/>
          <w:bCs/>
          <w:spacing w:val="-4"/>
        </w:rPr>
      </w:pPr>
      <w:r w:rsidRPr="00AD6286">
        <w:rPr>
          <w:rFonts w:ascii="Arial" w:hAnsi="Arial" w:cs="Arial"/>
          <w:b/>
          <w:bCs/>
          <w:spacing w:val="-4"/>
        </w:rPr>
        <w:t>GLI ENTI IN DISSESTO</w:t>
      </w:r>
    </w:p>
    <w:p w14:paraId="06F459BB" w14:textId="77777777" w:rsidR="00885CFB" w:rsidRPr="00AD6286" w:rsidRDefault="00885CFB" w:rsidP="00885CFB">
      <w:pPr>
        <w:spacing w:after="0" w:line="240" w:lineRule="auto"/>
        <w:jc w:val="both"/>
        <w:rPr>
          <w:rFonts w:ascii="Arial" w:hAnsi="Arial" w:cs="Arial"/>
        </w:rPr>
      </w:pPr>
    </w:p>
    <w:p w14:paraId="7D19CC41" w14:textId="546D7A29" w:rsidR="00977AC0" w:rsidRPr="00AD6286" w:rsidRDefault="00977AC0" w:rsidP="00885CFB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AD6286">
        <w:rPr>
          <w:rFonts w:ascii="Arial" w:hAnsi="Arial" w:cs="Arial"/>
        </w:rPr>
        <w:t xml:space="preserve">Il fenomeno dei 213 Comuni in dissesto interessa </w:t>
      </w:r>
      <w:r w:rsidRPr="00AD6286">
        <w:rPr>
          <w:rFonts w:ascii="Arial" w:hAnsi="Arial" w:cs="Arial"/>
          <w:b/>
          <w:bCs/>
        </w:rPr>
        <w:t>13 regioni</w:t>
      </w:r>
      <w:r w:rsidRPr="00AD6286">
        <w:rPr>
          <w:rFonts w:ascii="Arial" w:hAnsi="Arial" w:cs="Arial"/>
        </w:rPr>
        <w:t xml:space="preserve"> ed è concentrato in </w:t>
      </w:r>
      <w:r w:rsidRPr="00AD6286">
        <w:rPr>
          <w:rFonts w:ascii="Arial" w:hAnsi="Arial" w:cs="Arial"/>
          <w:b/>
          <w:bCs/>
        </w:rPr>
        <w:t xml:space="preserve">Campania </w:t>
      </w:r>
      <w:r w:rsidRPr="00AD6286">
        <w:rPr>
          <w:rFonts w:ascii="Arial" w:hAnsi="Arial" w:cs="Arial"/>
        </w:rPr>
        <w:t xml:space="preserve">con </w:t>
      </w:r>
      <w:r w:rsidRPr="00AD6286">
        <w:rPr>
          <w:rFonts w:ascii="Arial" w:hAnsi="Arial" w:cs="Arial"/>
          <w:b/>
          <w:bCs/>
        </w:rPr>
        <w:t xml:space="preserve">47 </w:t>
      </w:r>
      <w:r w:rsidRPr="00AD6286">
        <w:rPr>
          <w:rFonts w:ascii="Arial" w:hAnsi="Arial" w:cs="Arial"/>
        </w:rPr>
        <w:t>casi</w:t>
      </w:r>
      <w:r w:rsidRPr="00AD6286">
        <w:rPr>
          <w:rFonts w:ascii="Arial" w:hAnsi="Arial" w:cs="Arial"/>
          <w:b/>
          <w:bCs/>
        </w:rPr>
        <w:t xml:space="preserve"> (22%)</w:t>
      </w:r>
      <w:r w:rsidRPr="00AD6286">
        <w:rPr>
          <w:rFonts w:ascii="Arial" w:hAnsi="Arial" w:cs="Arial"/>
        </w:rPr>
        <w:t xml:space="preserve">, </w:t>
      </w:r>
      <w:r w:rsidRPr="00AD6286">
        <w:rPr>
          <w:rFonts w:ascii="Arial" w:hAnsi="Arial" w:cs="Arial"/>
          <w:b/>
          <w:bCs/>
        </w:rPr>
        <w:t xml:space="preserve">Calabria </w:t>
      </w:r>
      <w:r w:rsidRPr="00AD6286">
        <w:rPr>
          <w:rFonts w:ascii="Arial" w:hAnsi="Arial" w:cs="Arial"/>
        </w:rPr>
        <w:t xml:space="preserve">con </w:t>
      </w:r>
      <w:r w:rsidRPr="00AD6286">
        <w:rPr>
          <w:rFonts w:ascii="Arial" w:hAnsi="Arial" w:cs="Arial"/>
          <w:b/>
          <w:bCs/>
        </w:rPr>
        <w:t xml:space="preserve">52 (24%) </w:t>
      </w:r>
      <w:r w:rsidRPr="00AD6286">
        <w:rPr>
          <w:rFonts w:ascii="Arial" w:hAnsi="Arial" w:cs="Arial"/>
        </w:rPr>
        <w:t xml:space="preserve">e </w:t>
      </w:r>
      <w:r w:rsidRPr="00AD6286">
        <w:rPr>
          <w:rFonts w:ascii="Arial" w:hAnsi="Arial" w:cs="Arial"/>
          <w:b/>
          <w:bCs/>
        </w:rPr>
        <w:t xml:space="preserve">Sicilia </w:t>
      </w:r>
      <w:r w:rsidRPr="00AD6286">
        <w:rPr>
          <w:rFonts w:ascii="Arial" w:hAnsi="Arial" w:cs="Arial"/>
        </w:rPr>
        <w:t xml:space="preserve">con </w:t>
      </w:r>
      <w:r w:rsidRPr="00AD6286">
        <w:rPr>
          <w:rFonts w:ascii="Arial" w:hAnsi="Arial" w:cs="Arial"/>
          <w:b/>
          <w:bCs/>
        </w:rPr>
        <w:t>69 (32%)</w:t>
      </w:r>
      <w:r w:rsidRPr="00AD6286">
        <w:rPr>
          <w:rFonts w:ascii="Arial" w:hAnsi="Arial" w:cs="Arial"/>
        </w:rPr>
        <w:t>. Interessanti anche i dati di Lazio (15), Puglia (8) e Abruzzo (7). I dati percentuali rappresentano anche in questo caso una concentrazione maggiore di dissesti nelle regione del Sud e in Sicilia: attraversando lo stivale si nota che in alcune regioni del Nord</w:t>
      </w:r>
      <w:r w:rsidR="00AC2E48" w:rsidRPr="00AD6286">
        <w:rPr>
          <w:rFonts w:ascii="Arial" w:hAnsi="Arial" w:cs="Arial"/>
        </w:rPr>
        <w:t>-</w:t>
      </w:r>
      <w:r w:rsidRPr="00AD6286">
        <w:rPr>
          <w:rFonts w:ascii="Arial" w:hAnsi="Arial" w:cs="Arial"/>
        </w:rPr>
        <w:t>Ovest (Valle d’Aosta), del Nord</w:t>
      </w:r>
      <w:r w:rsidR="00AC2E48" w:rsidRPr="00AD6286">
        <w:rPr>
          <w:rFonts w:ascii="Arial" w:hAnsi="Arial" w:cs="Arial"/>
        </w:rPr>
        <w:t>-</w:t>
      </w:r>
      <w:r w:rsidRPr="00AD6286">
        <w:rPr>
          <w:rFonts w:ascii="Arial" w:hAnsi="Arial" w:cs="Arial"/>
        </w:rPr>
        <w:t xml:space="preserve">Est (Trentino Alto-Adige, Friuli Venezia-Giulia, Emilia-Romagna e Veneto), del Centro (Umbria) e in Sardegna non si rilevano situazioni di default, mentre </w:t>
      </w:r>
      <w:r w:rsidRPr="00AD6286">
        <w:rPr>
          <w:rFonts w:ascii="Arial" w:hAnsi="Arial" w:cs="Arial"/>
          <w:b/>
          <w:bCs/>
        </w:rPr>
        <w:t>l’area meridionale (Sud-Ovest) e insulare (Sicilia) rappresentano un’area che incorpora circa il 90% degli enti dissestati, molti dei quali ormai cronici</w:t>
      </w:r>
      <w:r w:rsidRPr="00AD6286">
        <w:rPr>
          <w:rFonts w:ascii="Arial" w:hAnsi="Arial" w:cs="Arial"/>
        </w:rPr>
        <w:t xml:space="preserve">. </w:t>
      </w:r>
    </w:p>
    <w:p w14:paraId="61BDCCED" w14:textId="77777777" w:rsidR="00977AC0" w:rsidRDefault="00977AC0" w:rsidP="00977AC0">
      <w:pPr>
        <w:spacing w:before="120" w:after="60" w:line="300" w:lineRule="auto"/>
        <w:rPr>
          <w:bCs/>
          <w:color w:val="0E2841" w:themeColor="text2"/>
          <w:sz w:val="20"/>
          <w:szCs w:val="20"/>
        </w:rPr>
      </w:pPr>
      <w:r>
        <w:rPr>
          <w:bCs/>
          <w:color w:val="0E2841" w:themeColor="text2"/>
          <w:sz w:val="20"/>
          <w:szCs w:val="20"/>
        </w:rPr>
        <w:t>Dissesti aperti. Dati in unità e in percentuale.</w:t>
      </w:r>
    </w:p>
    <w:tbl>
      <w:tblPr>
        <w:tblW w:w="6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8"/>
        <w:gridCol w:w="1726"/>
        <w:gridCol w:w="1726"/>
      </w:tblGrid>
      <w:tr w:rsidR="00977AC0" w:rsidRPr="00F33E38" w14:paraId="18D1D611" w14:textId="77777777" w:rsidTr="00A9145D">
        <w:trPr>
          <w:trHeight w:hRule="exact" w:val="340"/>
          <w:jc w:val="center"/>
        </w:trPr>
        <w:tc>
          <w:tcPr>
            <w:tcW w:w="3488" w:type="dxa"/>
            <w:tcBorders>
              <w:top w:val="nil"/>
              <w:left w:val="nil"/>
              <w:right w:val="single" w:sz="12" w:space="0" w:color="FFFFFF"/>
            </w:tcBorders>
            <w:shd w:val="clear" w:color="000000" w:fill="C00000"/>
            <w:noWrap/>
            <w:vAlign w:val="center"/>
            <w:hideMark/>
          </w:tcPr>
          <w:p w14:paraId="496B8EEB" w14:textId="77777777" w:rsidR="00977AC0" w:rsidRPr="00F33E38" w:rsidRDefault="00977AC0" w:rsidP="00A91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F33E3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>Regione</w:t>
            </w:r>
          </w:p>
        </w:tc>
        <w:tc>
          <w:tcPr>
            <w:tcW w:w="1726" w:type="dxa"/>
            <w:tcBorders>
              <w:top w:val="nil"/>
              <w:left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3E5699A6" w14:textId="77777777" w:rsidR="00977AC0" w:rsidRPr="00F33E38" w:rsidRDefault="00977AC0" w:rsidP="00A91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F33E3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>Dissesti*</w:t>
            </w:r>
          </w:p>
        </w:tc>
        <w:tc>
          <w:tcPr>
            <w:tcW w:w="1726" w:type="dxa"/>
            <w:tcBorders>
              <w:top w:val="nil"/>
              <w:left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1B514BB3" w14:textId="77777777" w:rsidR="00977AC0" w:rsidRPr="00F33E38" w:rsidRDefault="00977AC0" w:rsidP="00A91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F33E3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>%</w:t>
            </w:r>
          </w:p>
        </w:tc>
      </w:tr>
      <w:tr w:rsidR="00977AC0" w:rsidRPr="00F33E38" w14:paraId="0B876091" w14:textId="77777777" w:rsidTr="00A9145D">
        <w:trPr>
          <w:trHeight w:hRule="exact" w:val="255"/>
          <w:jc w:val="center"/>
        </w:trPr>
        <w:tc>
          <w:tcPr>
            <w:tcW w:w="3488" w:type="dxa"/>
            <w:tcBorders>
              <w:top w:val="nil"/>
              <w:left w:val="nil"/>
              <w:bottom w:val="single" w:sz="4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450DFAF4" w14:textId="77777777" w:rsidR="00977AC0" w:rsidRPr="002F2563" w:rsidRDefault="00977AC0" w:rsidP="00A91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18"/>
                <w:szCs w:val="18"/>
                <w:lang w:eastAsia="it-IT"/>
              </w:rPr>
            </w:pPr>
            <w:r w:rsidRPr="002F2563">
              <w:rPr>
                <w:rFonts w:ascii="Calibri" w:eastAsia="Times New Roman" w:hAnsi="Calibri" w:cs="Calibri"/>
                <w:color w:val="404040"/>
                <w:sz w:val="18"/>
                <w:szCs w:val="18"/>
                <w:lang w:eastAsia="it-IT"/>
              </w:rPr>
              <w:t xml:space="preserve">Sicilia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446145FF" w14:textId="77777777" w:rsidR="00977AC0" w:rsidRPr="002F2563" w:rsidRDefault="00977AC0" w:rsidP="00A91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18"/>
                <w:szCs w:val="18"/>
                <w:lang w:eastAsia="it-IT"/>
              </w:rPr>
            </w:pPr>
            <w:r w:rsidRPr="002F2563">
              <w:rPr>
                <w:rFonts w:ascii="Calibri" w:eastAsia="Times New Roman" w:hAnsi="Calibri" w:cs="Calibri"/>
                <w:color w:val="404040"/>
                <w:sz w:val="18"/>
                <w:szCs w:val="18"/>
                <w:lang w:eastAsia="it-IT"/>
              </w:rPr>
              <w:t>69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62C71BEE" w14:textId="77777777" w:rsidR="00977AC0" w:rsidRPr="002F2563" w:rsidRDefault="00977AC0" w:rsidP="00A91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18"/>
                <w:szCs w:val="18"/>
                <w:lang w:eastAsia="it-IT"/>
              </w:rPr>
            </w:pPr>
            <w:r w:rsidRPr="002F2563">
              <w:rPr>
                <w:rFonts w:ascii="Calibri" w:eastAsia="Times New Roman" w:hAnsi="Calibri" w:cs="Calibri"/>
                <w:color w:val="404040"/>
                <w:sz w:val="18"/>
                <w:szCs w:val="18"/>
                <w:lang w:eastAsia="it-IT"/>
              </w:rPr>
              <w:t>32%</w:t>
            </w:r>
          </w:p>
        </w:tc>
      </w:tr>
      <w:tr w:rsidR="00977AC0" w:rsidRPr="00F33E38" w14:paraId="59A833DF" w14:textId="77777777" w:rsidTr="00A9145D">
        <w:trPr>
          <w:trHeight w:hRule="exact" w:val="255"/>
          <w:jc w:val="center"/>
        </w:trPr>
        <w:tc>
          <w:tcPr>
            <w:tcW w:w="3488" w:type="dxa"/>
            <w:tcBorders>
              <w:top w:val="single" w:sz="4" w:space="0" w:color="C00000"/>
              <w:left w:val="nil"/>
              <w:bottom w:val="single" w:sz="4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63904BC1" w14:textId="77777777" w:rsidR="00977AC0" w:rsidRPr="002F2563" w:rsidRDefault="00977AC0" w:rsidP="00A91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18"/>
                <w:szCs w:val="18"/>
                <w:lang w:eastAsia="it-IT"/>
              </w:rPr>
            </w:pPr>
            <w:r w:rsidRPr="002F2563">
              <w:rPr>
                <w:rFonts w:ascii="Calibri" w:eastAsia="Times New Roman" w:hAnsi="Calibri" w:cs="Calibri"/>
                <w:color w:val="404040"/>
                <w:sz w:val="18"/>
                <w:szCs w:val="18"/>
                <w:lang w:eastAsia="it-IT"/>
              </w:rPr>
              <w:t>Calabria</w:t>
            </w:r>
          </w:p>
        </w:tc>
        <w:tc>
          <w:tcPr>
            <w:tcW w:w="1726" w:type="dxa"/>
            <w:tcBorders>
              <w:top w:val="single" w:sz="4" w:space="0" w:color="C00000"/>
              <w:left w:val="nil"/>
              <w:bottom w:val="single" w:sz="4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31B703FB" w14:textId="77777777" w:rsidR="00977AC0" w:rsidRPr="002F2563" w:rsidRDefault="00977AC0" w:rsidP="00A91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18"/>
                <w:szCs w:val="18"/>
                <w:lang w:eastAsia="it-IT"/>
              </w:rPr>
            </w:pPr>
            <w:r w:rsidRPr="002F2563">
              <w:rPr>
                <w:rFonts w:ascii="Calibri" w:eastAsia="Times New Roman" w:hAnsi="Calibri" w:cs="Calibri"/>
                <w:color w:val="404040"/>
                <w:sz w:val="18"/>
                <w:szCs w:val="18"/>
                <w:lang w:eastAsia="it-IT"/>
              </w:rPr>
              <w:t>52</w:t>
            </w:r>
          </w:p>
        </w:tc>
        <w:tc>
          <w:tcPr>
            <w:tcW w:w="1726" w:type="dxa"/>
            <w:tcBorders>
              <w:top w:val="single" w:sz="4" w:space="0" w:color="C00000"/>
              <w:left w:val="nil"/>
              <w:bottom w:val="single" w:sz="4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552077FE" w14:textId="77777777" w:rsidR="00977AC0" w:rsidRPr="002F2563" w:rsidRDefault="00977AC0" w:rsidP="00A91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18"/>
                <w:szCs w:val="18"/>
                <w:lang w:eastAsia="it-IT"/>
              </w:rPr>
            </w:pPr>
            <w:r w:rsidRPr="002F2563">
              <w:rPr>
                <w:rFonts w:ascii="Calibri" w:eastAsia="Times New Roman" w:hAnsi="Calibri" w:cs="Calibri"/>
                <w:color w:val="404040"/>
                <w:sz w:val="18"/>
                <w:szCs w:val="18"/>
                <w:lang w:eastAsia="it-IT"/>
              </w:rPr>
              <w:t>24%</w:t>
            </w:r>
          </w:p>
        </w:tc>
      </w:tr>
      <w:tr w:rsidR="00977AC0" w:rsidRPr="00F33E38" w14:paraId="7D6F0223" w14:textId="77777777" w:rsidTr="00A9145D">
        <w:trPr>
          <w:trHeight w:hRule="exact" w:val="255"/>
          <w:jc w:val="center"/>
        </w:trPr>
        <w:tc>
          <w:tcPr>
            <w:tcW w:w="3488" w:type="dxa"/>
            <w:tcBorders>
              <w:top w:val="single" w:sz="4" w:space="0" w:color="C00000"/>
              <w:left w:val="nil"/>
              <w:bottom w:val="single" w:sz="4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24DAE1BB" w14:textId="77777777" w:rsidR="00977AC0" w:rsidRPr="002F2563" w:rsidRDefault="00977AC0" w:rsidP="00A91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18"/>
                <w:szCs w:val="18"/>
                <w:lang w:eastAsia="it-IT"/>
              </w:rPr>
            </w:pPr>
            <w:r w:rsidRPr="002F2563">
              <w:rPr>
                <w:rFonts w:ascii="Calibri" w:eastAsia="Times New Roman" w:hAnsi="Calibri" w:cs="Calibri"/>
                <w:color w:val="404040"/>
                <w:sz w:val="18"/>
                <w:szCs w:val="18"/>
                <w:lang w:eastAsia="it-IT"/>
              </w:rPr>
              <w:t>Campania</w:t>
            </w:r>
          </w:p>
        </w:tc>
        <w:tc>
          <w:tcPr>
            <w:tcW w:w="1726" w:type="dxa"/>
            <w:tcBorders>
              <w:top w:val="single" w:sz="4" w:space="0" w:color="C00000"/>
              <w:left w:val="nil"/>
              <w:bottom w:val="single" w:sz="4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7C12961A" w14:textId="77777777" w:rsidR="00977AC0" w:rsidRPr="002F2563" w:rsidRDefault="00977AC0" w:rsidP="00A91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18"/>
                <w:szCs w:val="18"/>
                <w:lang w:eastAsia="it-IT"/>
              </w:rPr>
            </w:pPr>
            <w:r w:rsidRPr="002F2563">
              <w:rPr>
                <w:rFonts w:ascii="Calibri" w:eastAsia="Times New Roman" w:hAnsi="Calibri" w:cs="Calibri"/>
                <w:color w:val="404040"/>
                <w:sz w:val="18"/>
                <w:szCs w:val="18"/>
                <w:lang w:eastAsia="it-IT"/>
              </w:rPr>
              <w:t>47</w:t>
            </w:r>
          </w:p>
        </w:tc>
        <w:tc>
          <w:tcPr>
            <w:tcW w:w="1726" w:type="dxa"/>
            <w:tcBorders>
              <w:top w:val="single" w:sz="4" w:space="0" w:color="C00000"/>
              <w:left w:val="nil"/>
              <w:bottom w:val="single" w:sz="4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7015551C" w14:textId="77777777" w:rsidR="00977AC0" w:rsidRPr="002F2563" w:rsidRDefault="00977AC0" w:rsidP="00A91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18"/>
                <w:szCs w:val="18"/>
                <w:lang w:eastAsia="it-IT"/>
              </w:rPr>
            </w:pPr>
            <w:r w:rsidRPr="002F2563">
              <w:rPr>
                <w:rFonts w:ascii="Calibri" w:eastAsia="Times New Roman" w:hAnsi="Calibri" w:cs="Calibri"/>
                <w:color w:val="404040"/>
                <w:sz w:val="18"/>
                <w:szCs w:val="18"/>
                <w:lang w:eastAsia="it-IT"/>
              </w:rPr>
              <w:t>22%</w:t>
            </w:r>
          </w:p>
        </w:tc>
      </w:tr>
      <w:tr w:rsidR="00977AC0" w:rsidRPr="00F33E38" w14:paraId="51DFFB4C" w14:textId="77777777" w:rsidTr="00A9145D">
        <w:trPr>
          <w:trHeight w:hRule="exact" w:val="255"/>
          <w:jc w:val="center"/>
        </w:trPr>
        <w:tc>
          <w:tcPr>
            <w:tcW w:w="3488" w:type="dxa"/>
            <w:tcBorders>
              <w:top w:val="single" w:sz="4" w:space="0" w:color="C00000"/>
              <w:left w:val="nil"/>
              <w:bottom w:val="single" w:sz="4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26B1F95E" w14:textId="77777777" w:rsidR="00977AC0" w:rsidRPr="002F2563" w:rsidRDefault="00977AC0" w:rsidP="00A91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18"/>
                <w:szCs w:val="18"/>
                <w:lang w:eastAsia="it-IT"/>
              </w:rPr>
            </w:pPr>
            <w:r w:rsidRPr="002F2563">
              <w:rPr>
                <w:rFonts w:ascii="Calibri" w:eastAsia="Times New Roman" w:hAnsi="Calibri" w:cs="Calibri"/>
                <w:color w:val="404040"/>
                <w:sz w:val="18"/>
                <w:szCs w:val="18"/>
                <w:lang w:eastAsia="it-IT"/>
              </w:rPr>
              <w:t>Lazio</w:t>
            </w:r>
          </w:p>
        </w:tc>
        <w:tc>
          <w:tcPr>
            <w:tcW w:w="1726" w:type="dxa"/>
            <w:tcBorders>
              <w:top w:val="single" w:sz="4" w:space="0" w:color="C00000"/>
              <w:left w:val="nil"/>
              <w:bottom w:val="single" w:sz="4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14B86058" w14:textId="77777777" w:rsidR="00977AC0" w:rsidRPr="002F2563" w:rsidRDefault="00977AC0" w:rsidP="00A91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18"/>
                <w:szCs w:val="18"/>
                <w:lang w:eastAsia="it-IT"/>
              </w:rPr>
            </w:pPr>
            <w:r w:rsidRPr="002F2563">
              <w:rPr>
                <w:rFonts w:ascii="Calibri" w:eastAsia="Times New Roman" w:hAnsi="Calibri" w:cs="Calibri"/>
                <w:color w:val="404040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1726" w:type="dxa"/>
            <w:tcBorders>
              <w:top w:val="single" w:sz="4" w:space="0" w:color="C00000"/>
              <w:left w:val="nil"/>
              <w:bottom w:val="single" w:sz="4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0054D79B" w14:textId="77777777" w:rsidR="00977AC0" w:rsidRPr="002F2563" w:rsidRDefault="00977AC0" w:rsidP="00A91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18"/>
                <w:szCs w:val="18"/>
                <w:lang w:eastAsia="it-IT"/>
              </w:rPr>
            </w:pPr>
            <w:r w:rsidRPr="002F2563">
              <w:rPr>
                <w:rFonts w:ascii="Calibri" w:eastAsia="Times New Roman" w:hAnsi="Calibri" w:cs="Calibri"/>
                <w:color w:val="404040"/>
                <w:sz w:val="18"/>
                <w:szCs w:val="18"/>
                <w:lang w:eastAsia="it-IT"/>
              </w:rPr>
              <w:t>7%</w:t>
            </w:r>
          </w:p>
        </w:tc>
      </w:tr>
      <w:tr w:rsidR="00977AC0" w:rsidRPr="00F33E38" w14:paraId="7D1C5661" w14:textId="77777777" w:rsidTr="00A9145D">
        <w:trPr>
          <w:trHeight w:hRule="exact" w:val="255"/>
          <w:jc w:val="center"/>
        </w:trPr>
        <w:tc>
          <w:tcPr>
            <w:tcW w:w="3488" w:type="dxa"/>
            <w:tcBorders>
              <w:top w:val="single" w:sz="4" w:space="0" w:color="C00000"/>
              <w:left w:val="nil"/>
              <w:bottom w:val="single" w:sz="4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18B86FF9" w14:textId="77777777" w:rsidR="00977AC0" w:rsidRPr="002F2563" w:rsidRDefault="00977AC0" w:rsidP="00A91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18"/>
                <w:szCs w:val="18"/>
                <w:lang w:eastAsia="it-IT"/>
              </w:rPr>
            </w:pPr>
            <w:r w:rsidRPr="002F2563">
              <w:rPr>
                <w:rFonts w:ascii="Calibri" w:eastAsia="Times New Roman" w:hAnsi="Calibri" w:cs="Calibri"/>
                <w:color w:val="404040"/>
                <w:sz w:val="18"/>
                <w:szCs w:val="18"/>
                <w:lang w:eastAsia="it-IT"/>
              </w:rPr>
              <w:t>Puglia</w:t>
            </w:r>
          </w:p>
        </w:tc>
        <w:tc>
          <w:tcPr>
            <w:tcW w:w="1726" w:type="dxa"/>
            <w:tcBorders>
              <w:top w:val="single" w:sz="4" w:space="0" w:color="C00000"/>
              <w:left w:val="nil"/>
              <w:bottom w:val="single" w:sz="4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76AC71C1" w14:textId="77777777" w:rsidR="00977AC0" w:rsidRPr="002F2563" w:rsidRDefault="00977AC0" w:rsidP="00A91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18"/>
                <w:szCs w:val="18"/>
                <w:lang w:eastAsia="it-IT"/>
              </w:rPr>
            </w:pPr>
            <w:r w:rsidRPr="002F2563">
              <w:rPr>
                <w:rFonts w:ascii="Calibri" w:eastAsia="Times New Roman" w:hAnsi="Calibri" w:cs="Calibri"/>
                <w:color w:val="40404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1726" w:type="dxa"/>
            <w:tcBorders>
              <w:top w:val="single" w:sz="4" w:space="0" w:color="C00000"/>
              <w:left w:val="nil"/>
              <w:bottom w:val="single" w:sz="4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5094F232" w14:textId="77777777" w:rsidR="00977AC0" w:rsidRPr="002F2563" w:rsidRDefault="00977AC0" w:rsidP="00A91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18"/>
                <w:szCs w:val="18"/>
                <w:lang w:eastAsia="it-IT"/>
              </w:rPr>
            </w:pPr>
            <w:r w:rsidRPr="002F2563">
              <w:rPr>
                <w:rFonts w:ascii="Calibri" w:eastAsia="Times New Roman" w:hAnsi="Calibri" w:cs="Calibri"/>
                <w:color w:val="404040"/>
                <w:sz w:val="18"/>
                <w:szCs w:val="18"/>
                <w:lang w:eastAsia="it-IT"/>
              </w:rPr>
              <w:t>4%</w:t>
            </w:r>
          </w:p>
        </w:tc>
      </w:tr>
      <w:tr w:rsidR="00977AC0" w:rsidRPr="00F33E38" w14:paraId="630640A9" w14:textId="77777777" w:rsidTr="00A9145D">
        <w:trPr>
          <w:trHeight w:hRule="exact" w:val="255"/>
          <w:jc w:val="center"/>
        </w:trPr>
        <w:tc>
          <w:tcPr>
            <w:tcW w:w="3488" w:type="dxa"/>
            <w:tcBorders>
              <w:top w:val="single" w:sz="4" w:space="0" w:color="C00000"/>
              <w:left w:val="nil"/>
              <w:bottom w:val="single" w:sz="4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432ACEDC" w14:textId="77777777" w:rsidR="00977AC0" w:rsidRPr="002F2563" w:rsidRDefault="00977AC0" w:rsidP="00A91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18"/>
                <w:szCs w:val="18"/>
                <w:lang w:eastAsia="it-IT"/>
              </w:rPr>
            </w:pPr>
            <w:r w:rsidRPr="002F2563">
              <w:rPr>
                <w:rFonts w:ascii="Calibri" w:eastAsia="Times New Roman" w:hAnsi="Calibri" w:cs="Calibri"/>
                <w:color w:val="404040"/>
                <w:sz w:val="18"/>
                <w:szCs w:val="18"/>
                <w:lang w:eastAsia="it-IT"/>
              </w:rPr>
              <w:t>Abruzzo</w:t>
            </w:r>
          </w:p>
        </w:tc>
        <w:tc>
          <w:tcPr>
            <w:tcW w:w="1726" w:type="dxa"/>
            <w:tcBorders>
              <w:top w:val="single" w:sz="4" w:space="0" w:color="C00000"/>
              <w:left w:val="nil"/>
              <w:bottom w:val="single" w:sz="4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5C4E9F11" w14:textId="77777777" w:rsidR="00977AC0" w:rsidRPr="002F2563" w:rsidRDefault="00977AC0" w:rsidP="00A91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18"/>
                <w:szCs w:val="18"/>
                <w:lang w:eastAsia="it-IT"/>
              </w:rPr>
            </w:pPr>
            <w:r w:rsidRPr="002F2563">
              <w:rPr>
                <w:rFonts w:ascii="Calibri" w:eastAsia="Times New Roman" w:hAnsi="Calibri" w:cs="Calibri"/>
                <w:color w:val="40404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1726" w:type="dxa"/>
            <w:tcBorders>
              <w:top w:val="single" w:sz="4" w:space="0" w:color="C00000"/>
              <w:left w:val="nil"/>
              <w:bottom w:val="single" w:sz="4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4F394483" w14:textId="77777777" w:rsidR="00977AC0" w:rsidRPr="002F2563" w:rsidRDefault="00977AC0" w:rsidP="00A91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18"/>
                <w:szCs w:val="18"/>
                <w:lang w:eastAsia="it-IT"/>
              </w:rPr>
            </w:pPr>
            <w:r w:rsidRPr="002F2563">
              <w:rPr>
                <w:rFonts w:ascii="Calibri" w:eastAsia="Times New Roman" w:hAnsi="Calibri" w:cs="Calibri"/>
                <w:color w:val="404040"/>
                <w:sz w:val="18"/>
                <w:szCs w:val="18"/>
                <w:lang w:eastAsia="it-IT"/>
              </w:rPr>
              <w:t>3%</w:t>
            </w:r>
          </w:p>
        </w:tc>
      </w:tr>
      <w:tr w:rsidR="00977AC0" w:rsidRPr="00F33E38" w14:paraId="5EB7DF5F" w14:textId="77777777" w:rsidTr="00A9145D">
        <w:trPr>
          <w:trHeight w:hRule="exact" w:val="255"/>
          <w:jc w:val="center"/>
        </w:trPr>
        <w:tc>
          <w:tcPr>
            <w:tcW w:w="3488" w:type="dxa"/>
            <w:tcBorders>
              <w:top w:val="single" w:sz="4" w:space="0" w:color="C00000"/>
              <w:left w:val="nil"/>
              <w:bottom w:val="single" w:sz="4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01EB82E4" w14:textId="77777777" w:rsidR="00977AC0" w:rsidRPr="002F2563" w:rsidRDefault="00977AC0" w:rsidP="00A91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18"/>
                <w:szCs w:val="18"/>
                <w:lang w:eastAsia="it-IT"/>
              </w:rPr>
            </w:pPr>
            <w:r w:rsidRPr="002F2563">
              <w:rPr>
                <w:rFonts w:ascii="Calibri" w:eastAsia="Times New Roman" w:hAnsi="Calibri" w:cs="Calibri"/>
                <w:color w:val="404040"/>
                <w:sz w:val="18"/>
                <w:szCs w:val="18"/>
                <w:lang w:eastAsia="it-IT"/>
              </w:rPr>
              <w:t>Lombardia</w:t>
            </w:r>
          </w:p>
        </w:tc>
        <w:tc>
          <w:tcPr>
            <w:tcW w:w="1726" w:type="dxa"/>
            <w:tcBorders>
              <w:top w:val="single" w:sz="4" w:space="0" w:color="C00000"/>
              <w:left w:val="nil"/>
              <w:bottom w:val="single" w:sz="4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43092318" w14:textId="77777777" w:rsidR="00977AC0" w:rsidRPr="002F2563" w:rsidRDefault="00977AC0" w:rsidP="00A91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18"/>
                <w:szCs w:val="18"/>
                <w:lang w:eastAsia="it-IT"/>
              </w:rPr>
            </w:pPr>
            <w:r w:rsidRPr="002F2563">
              <w:rPr>
                <w:rFonts w:ascii="Calibri" w:eastAsia="Times New Roman" w:hAnsi="Calibri" w:cs="Calibri"/>
                <w:color w:val="40404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726" w:type="dxa"/>
            <w:tcBorders>
              <w:top w:val="single" w:sz="4" w:space="0" w:color="C00000"/>
              <w:left w:val="nil"/>
              <w:bottom w:val="single" w:sz="4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50942763" w14:textId="77777777" w:rsidR="00977AC0" w:rsidRPr="002F2563" w:rsidRDefault="00977AC0" w:rsidP="00A91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18"/>
                <w:szCs w:val="18"/>
                <w:lang w:eastAsia="it-IT"/>
              </w:rPr>
            </w:pPr>
            <w:r w:rsidRPr="002F2563">
              <w:rPr>
                <w:rFonts w:ascii="Calibri" w:eastAsia="Times New Roman" w:hAnsi="Calibri" w:cs="Calibri"/>
                <w:color w:val="404040"/>
                <w:sz w:val="18"/>
                <w:szCs w:val="18"/>
                <w:lang w:eastAsia="it-IT"/>
              </w:rPr>
              <w:t>2%</w:t>
            </w:r>
          </w:p>
        </w:tc>
      </w:tr>
      <w:tr w:rsidR="00977AC0" w:rsidRPr="00F33E38" w14:paraId="128A2477" w14:textId="77777777" w:rsidTr="00A9145D">
        <w:trPr>
          <w:trHeight w:hRule="exact" w:val="255"/>
          <w:jc w:val="center"/>
        </w:trPr>
        <w:tc>
          <w:tcPr>
            <w:tcW w:w="3488" w:type="dxa"/>
            <w:tcBorders>
              <w:top w:val="single" w:sz="4" w:space="0" w:color="C00000"/>
              <w:left w:val="nil"/>
              <w:bottom w:val="single" w:sz="4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4F013A9E" w14:textId="77777777" w:rsidR="00977AC0" w:rsidRPr="002F2563" w:rsidRDefault="00977AC0" w:rsidP="00A91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18"/>
                <w:szCs w:val="18"/>
                <w:lang w:eastAsia="it-IT"/>
              </w:rPr>
            </w:pPr>
            <w:r w:rsidRPr="002F2563">
              <w:rPr>
                <w:rFonts w:ascii="Calibri" w:eastAsia="Times New Roman" w:hAnsi="Calibri" w:cs="Calibri"/>
                <w:color w:val="404040"/>
                <w:sz w:val="18"/>
                <w:szCs w:val="18"/>
                <w:lang w:eastAsia="it-IT"/>
              </w:rPr>
              <w:t>Basilicata</w:t>
            </w:r>
          </w:p>
        </w:tc>
        <w:tc>
          <w:tcPr>
            <w:tcW w:w="1726" w:type="dxa"/>
            <w:tcBorders>
              <w:top w:val="single" w:sz="4" w:space="0" w:color="C00000"/>
              <w:left w:val="nil"/>
              <w:bottom w:val="single" w:sz="4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7D32A9F1" w14:textId="77777777" w:rsidR="00977AC0" w:rsidRPr="002F2563" w:rsidRDefault="00977AC0" w:rsidP="00A91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18"/>
                <w:szCs w:val="18"/>
                <w:lang w:eastAsia="it-IT"/>
              </w:rPr>
            </w:pPr>
            <w:r w:rsidRPr="002F2563">
              <w:rPr>
                <w:rFonts w:ascii="Calibri" w:eastAsia="Times New Roman" w:hAnsi="Calibri" w:cs="Calibri"/>
                <w:color w:val="40404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726" w:type="dxa"/>
            <w:tcBorders>
              <w:top w:val="single" w:sz="4" w:space="0" w:color="C00000"/>
              <w:left w:val="nil"/>
              <w:bottom w:val="single" w:sz="4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1BAE8DFF" w14:textId="77777777" w:rsidR="00977AC0" w:rsidRPr="002F2563" w:rsidRDefault="00977AC0" w:rsidP="00A91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18"/>
                <w:szCs w:val="18"/>
                <w:lang w:eastAsia="it-IT"/>
              </w:rPr>
            </w:pPr>
            <w:r w:rsidRPr="002F2563">
              <w:rPr>
                <w:rFonts w:ascii="Calibri" w:eastAsia="Times New Roman" w:hAnsi="Calibri" w:cs="Calibri"/>
                <w:color w:val="404040"/>
                <w:sz w:val="18"/>
                <w:szCs w:val="18"/>
                <w:lang w:eastAsia="it-IT"/>
              </w:rPr>
              <w:t>1%</w:t>
            </w:r>
          </w:p>
        </w:tc>
      </w:tr>
      <w:tr w:rsidR="00977AC0" w:rsidRPr="00F33E38" w14:paraId="78AAC903" w14:textId="77777777" w:rsidTr="00A9145D">
        <w:trPr>
          <w:trHeight w:hRule="exact" w:val="255"/>
          <w:jc w:val="center"/>
        </w:trPr>
        <w:tc>
          <w:tcPr>
            <w:tcW w:w="3488" w:type="dxa"/>
            <w:tcBorders>
              <w:top w:val="single" w:sz="4" w:space="0" w:color="C00000"/>
              <w:left w:val="nil"/>
              <w:bottom w:val="single" w:sz="4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58A59EE1" w14:textId="77777777" w:rsidR="00977AC0" w:rsidRPr="002F2563" w:rsidRDefault="00977AC0" w:rsidP="00A91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18"/>
                <w:szCs w:val="18"/>
                <w:lang w:eastAsia="it-IT"/>
              </w:rPr>
            </w:pPr>
            <w:r w:rsidRPr="002F2563">
              <w:rPr>
                <w:rFonts w:ascii="Calibri" w:eastAsia="Times New Roman" w:hAnsi="Calibri" w:cs="Calibri"/>
                <w:color w:val="404040"/>
                <w:sz w:val="18"/>
                <w:szCs w:val="18"/>
                <w:lang w:eastAsia="it-IT"/>
              </w:rPr>
              <w:t>Piemonte</w:t>
            </w:r>
          </w:p>
        </w:tc>
        <w:tc>
          <w:tcPr>
            <w:tcW w:w="1726" w:type="dxa"/>
            <w:tcBorders>
              <w:top w:val="single" w:sz="4" w:space="0" w:color="C00000"/>
              <w:left w:val="nil"/>
              <w:bottom w:val="single" w:sz="4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64CCF9AC" w14:textId="77777777" w:rsidR="00977AC0" w:rsidRPr="002F2563" w:rsidRDefault="00977AC0" w:rsidP="00A91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18"/>
                <w:szCs w:val="18"/>
                <w:lang w:eastAsia="it-IT"/>
              </w:rPr>
            </w:pPr>
            <w:r w:rsidRPr="002F2563">
              <w:rPr>
                <w:rFonts w:ascii="Calibri" w:eastAsia="Times New Roman" w:hAnsi="Calibri" w:cs="Calibri"/>
                <w:color w:val="40404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726" w:type="dxa"/>
            <w:tcBorders>
              <w:top w:val="single" w:sz="4" w:space="0" w:color="C00000"/>
              <w:left w:val="nil"/>
              <w:bottom w:val="single" w:sz="4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269336D1" w14:textId="77777777" w:rsidR="00977AC0" w:rsidRPr="002F2563" w:rsidRDefault="00977AC0" w:rsidP="00A91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18"/>
                <w:szCs w:val="18"/>
                <w:lang w:eastAsia="it-IT"/>
              </w:rPr>
            </w:pPr>
            <w:r w:rsidRPr="002F2563">
              <w:rPr>
                <w:rFonts w:ascii="Calibri" w:eastAsia="Times New Roman" w:hAnsi="Calibri" w:cs="Calibri"/>
                <w:color w:val="404040"/>
                <w:sz w:val="18"/>
                <w:szCs w:val="18"/>
                <w:lang w:eastAsia="it-IT"/>
              </w:rPr>
              <w:t>1%</w:t>
            </w:r>
          </w:p>
        </w:tc>
      </w:tr>
      <w:tr w:rsidR="00977AC0" w:rsidRPr="00F33E38" w14:paraId="13287A07" w14:textId="77777777" w:rsidTr="00A9145D">
        <w:trPr>
          <w:trHeight w:hRule="exact" w:val="255"/>
          <w:jc w:val="center"/>
        </w:trPr>
        <w:tc>
          <w:tcPr>
            <w:tcW w:w="3488" w:type="dxa"/>
            <w:tcBorders>
              <w:top w:val="single" w:sz="4" w:space="0" w:color="C00000"/>
              <w:left w:val="nil"/>
              <w:bottom w:val="single" w:sz="4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4AEE772B" w14:textId="77777777" w:rsidR="00977AC0" w:rsidRPr="002F2563" w:rsidRDefault="00977AC0" w:rsidP="00A91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18"/>
                <w:szCs w:val="18"/>
                <w:lang w:eastAsia="it-IT"/>
              </w:rPr>
            </w:pPr>
            <w:r w:rsidRPr="002F2563">
              <w:rPr>
                <w:rFonts w:ascii="Calibri" w:eastAsia="Times New Roman" w:hAnsi="Calibri" w:cs="Calibri"/>
                <w:color w:val="404040"/>
                <w:sz w:val="18"/>
                <w:szCs w:val="18"/>
                <w:lang w:eastAsia="it-IT"/>
              </w:rPr>
              <w:t>Molise</w:t>
            </w:r>
          </w:p>
        </w:tc>
        <w:tc>
          <w:tcPr>
            <w:tcW w:w="1726" w:type="dxa"/>
            <w:tcBorders>
              <w:top w:val="single" w:sz="4" w:space="0" w:color="C00000"/>
              <w:left w:val="nil"/>
              <w:bottom w:val="single" w:sz="4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395E88DC" w14:textId="77777777" w:rsidR="00977AC0" w:rsidRPr="002F2563" w:rsidRDefault="00977AC0" w:rsidP="00A91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18"/>
                <w:szCs w:val="18"/>
                <w:lang w:eastAsia="it-IT"/>
              </w:rPr>
            </w:pPr>
            <w:r w:rsidRPr="002F2563">
              <w:rPr>
                <w:rFonts w:ascii="Calibri" w:eastAsia="Times New Roman" w:hAnsi="Calibri" w:cs="Calibri"/>
                <w:color w:val="40404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726" w:type="dxa"/>
            <w:tcBorders>
              <w:top w:val="single" w:sz="4" w:space="0" w:color="C00000"/>
              <w:left w:val="nil"/>
              <w:bottom w:val="single" w:sz="4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7AB52A66" w14:textId="77777777" w:rsidR="00977AC0" w:rsidRPr="002F2563" w:rsidRDefault="00977AC0" w:rsidP="00A91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18"/>
                <w:szCs w:val="18"/>
                <w:lang w:eastAsia="it-IT"/>
              </w:rPr>
            </w:pPr>
            <w:r w:rsidRPr="002F2563">
              <w:rPr>
                <w:rFonts w:ascii="Calibri" w:eastAsia="Times New Roman" w:hAnsi="Calibri" w:cs="Calibri"/>
                <w:color w:val="404040"/>
                <w:sz w:val="18"/>
                <w:szCs w:val="18"/>
                <w:lang w:eastAsia="it-IT"/>
              </w:rPr>
              <w:t>1%</w:t>
            </w:r>
          </w:p>
        </w:tc>
      </w:tr>
      <w:tr w:rsidR="00977AC0" w:rsidRPr="00F33E38" w14:paraId="5C805EFD" w14:textId="77777777" w:rsidTr="00A9145D">
        <w:trPr>
          <w:trHeight w:hRule="exact" w:val="255"/>
          <w:jc w:val="center"/>
        </w:trPr>
        <w:tc>
          <w:tcPr>
            <w:tcW w:w="3488" w:type="dxa"/>
            <w:tcBorders>
              <w:top w:val="single" w:sz="4" w:space="0" w:color="C00000"/>
              <w:left w:val="nil"/>
              <w:bottom w:val="single" w:sz="4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12DE1279" w14:textId="77777777" w:rsidR="00977AC0" w:rsidRPr="002F2563" w:rsidRDefault="00977AC0" w:rsidP="00A91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18"/>
                <w:szCs w:val="18"/>
                <w:lang w:eastAsia="it-IT"/>
              </w:rPr>
            </w:pPr>
            <w:r w:rsidRPr="002F2563">
              <w:rPr>
                <w:rFonts w:ascii="Calibri" w:eastAsia="Times New Roman" w:hAnsi="Calibri" w:cs="Calibri"/>
                <w:color w:val="404040"/>
                <w:sz w:val="18"/>
                <w:szCs w:val="18"/>
                <w:lang w:eastAsia="it-IT"/>
              </w:rPr>
              <w:t>Liguria</w:t>
            </w:r>
          </w:p>
        </w:tc>
        <w:tc>
          <w:tcPr>
            <w:tcW w:w="1726" w:type="dxa"/>
            <w:tcBorders>
              <w:top w:val="single" w:sz="4" w:space="0" w:color="C00000"/>
              <w:left w:val="nil"/>
              <w:bottom w:val="single" w:sz="4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6C775AB6" w14:textId="77777777" w:rsidR="00977AC0" w:rsidRPr="002F2563" w:rsidRDefault="00977AC0" w:rsidP="00A91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18"/>
                <w:szCs w:val="18"/>
                <w:lang w:eastAsia="it-IT"/>
              </w:rPr>
            </w:pPr>
            <w:r w:rsidRPr="002F2563">
              <w:rPr>
                <w:rFonts w:ascii="Calibri" w:eastAsia="Times New Roman" w:hAnsi="Calibri" w:cs="Calibri"/>
                <w:color w:val="40404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726" w:type="dxa"/>
            <w:tcBorders>
              <w:top w:val="single" w:sz="4" w:space="0" w:color="C00000"/>
              <w:left w:val="nil"/>
              <w:bottom w:val="single" w:sz="4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39DFDF25" w14:textId="77777777" w:rsidR="00977AC0" w:rsidRPr="002F2563" w:rsidRDefault="00977AC0" w:rsidP="00A91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18"/>
                <w:szCs w:val="18"/>
                <w:lang w:eastAsia="it-IT"/>
              </w:rPr>
            </w:pPr>
            <w:r w:rsidRPr="002F2563">
              <w:rPr>
                <w:rFonts w:ascii="Calibri" w:eastAsia="Times New Roman" w:hAnsi="Calibri" w:cs="Calibri"/>
                <w:color w:val="404040"/>
                <w:sz w:val="18"/>
                <w:szCs w:val="18"/>
                <w:lang w:eastAsia="it-IT"/>
              </w:rPr>
              <w:t>0%</w:t>
            </w:r>
          </w:p>
        </w:tc>
      </w:tr>
      <w:tr w:rsidR="00977AC0" w:rsidRPr="00F33E38" w14:paraId="063617BA" w14:textId="77777777" w:rsidTr="00A9145D">
        <w:trPr>
          <w:trHeight w:hRule="exact" w:val="255"/>
          <w:jc w:val="center"/>
        </w:trPr>
        <w:tc>
          <w:tcPr>
            <w:tcW w:w="3488" w:type="dxa"/>
            <w:tcBorders>
              <w:top w:val="single" w:sz="4" w:space="0" w:color="C00000"/>
              <w:left w:val="nil"/>
              <w:bottom w:val="single" w:sz="4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43C8F3DD" w14:textId="77777777" w:rsidR="00977AC0" w:rsidRPr="002F2563" w:rsidRDefault="00977AC0" w:rsidP="00A91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18"/>
                <w:szCs w:val="18"/>
                <w:lang w:eastAsia="it-IT"/>
              </w:rPr>
            </w:pPr>
            <w:r w:rsidRPr="002F2563">
              <w:rPr>
                <w:rFonts w:ascii="Calibri" w:eastAsia="Times New Roman" w:hAnsi="Calibri" w:cs="Calibri"/>
                <w:color w:val="404040"/>
                <w:sz w:val="18"/>
                <w:szCs w:val="18"/>
                <w:lang w:eastAsia="it-IT"/>
              </w:rPr>
              <w:t>Marche</w:t>
            </w:r>
          </w:p>
        </w:tc>
        <w:tc>
          <w:tcPr>
            <w:tcW w:w="1726" w:type="dxa"/>
            <w:tcBorders>
              <w:top w:val="single" w:sz="4" w:space="0" w:color="C00000"/>
              <w:left w:val="nil"/>
              <w:bottom w:val="single" w:sz="4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0F404AF7" w14:textId="77777777" w:rsidR="00977AC0" w:rsidRPr="002F2563" w:rsidRDefault="00977AC0" w:rsidP="00A91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18"/>
                <w:szCs w:val="18"/>
                <w:lang w:eastAsia="it-IT"/>
              </w:rPr>
            </w:pPr>
            <w:r w:rsidRPr="002F2563">
              <w:rPr>
                <w:rFonts w:ascii="Calibri" w:eastAsia="Times New Roman" w:hAnsi="Calibri" w:cs="Calibri"/>
                <w:color w:val="40404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726" w:type="dxa"/>
            <w:tcBorders>
              <w:top w:val="single" w:sz="4" w:space="0" w:color="C00000"/>
              <w:left w:val="nil"/>
              <w:bottom w:val="single" w:sz="4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3088ABDD" w14:textId="77777777" w:rsidR="00977AC0" w:rsidRPr="002F2563" w:rsidRDefault="00977AC0" w:rsidP="00A91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18"/>
                <w:szCs w:val="18"/>
                <w:lang w:eastAsia="it-IT"/>
              </w:rPr>
            </w:pPr>
            <w:r w:rsidRPr="002F2563">
              <w:rPr>
                <w:rFonts w:ascii="Calibri" w:eastAsia="Times New Roman" w:hAnsi="Calibri" w:cs="Calibri"/>
                <w:color w:val="404040"/>
                <w:sz w:val="18"/>
                <w:szCs w:val="18"/>
                <w:lang w:eastAsia="it-IT"/>
              </w:rPr>
              <w:t>0%</w:t>
            </w:r>
          </w:p>
        </w:tc>
      </w:tr>
      <w:tr w:rsidR="00977AC0" w:rsidRPr="00F33E38" w14:paraId="1ED1CAC7" w14:textId="77777777" w:rsidTr="00A9145D">
        <w:trPr>
          <w:trHeight w:hRule="exact" w:val="255"/>
          <w:jc w:val="center"/>
        </w:trPr>
        <w:tc>
          <w:tcPr>
            <w:tcW w:w="3488" w:type="dxa"/>
            <w:tcBorders>
              <w:top w:val="single" w:sz="4" w:space="0" w:color="C00000"/>
              <w:left w:val="nil"/>
              <w:bottom w:val="single" w:sz="4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6438F743" w14:textId="77777777" w:rsidR="00977AC0" w:rsidRPr="002F2563" w:rsidRDefault="00977AC0" w:rsidP="00A91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18"/>
                <w:szCs w:val="18"/>
                <w:lang w:eastAsia="it-IT"/>
              </w:rPr>
            </w:pPr>
            <w:r w:rsidRPr="002F2563">
              <w:rPr>
                <w:rFonts w:ascii="Calibri" w:eastAsia="Times New Roman" w:hAnsi="Calibri" w:cs="Calibri"/>
                <w:color w:val="404040"/>
                <w:sz w:val="18"/>
                <w:szCs w:val="18"/>
                <w:lang w:eastAsia="it-IT"/>
              </w:rPr>
              <w:t>Toscana</w:t>
            </w:r>
          </w:p>
        </w:tc>
        <w:tc>
          <w:tcPr>
            <w:tcW w:w="1726" w:type="dxa"/>
            <w:tcBorders>
              <w:top w:val="single" w:sz="4" w:space="0" w:color="C00000"/>
              <w:left w:val="nil"/>
              <w:bottom w:val="single" w:sz="4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7872A41F" w14:textId="77777777" w:rsidR="00977AC0" w:rsidRPr="002F2563" w:rsidRDefault="00977AC0" w:rsidP="00A91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18"/>
                <w:szCs w:val="18"/>
                <w:lang w:eastAsia="it-IT"/>
              </w:rPr>
            </w:pPr>
            <w:r w:rsidRPr="002F2563">
              <w:rPr>
                <w:rFonts w:ascii="Calibri" w:eastAsia="Times New Roman" w:hAnsi="Calibri" w:cs="Calibri"/>
                <w:color w:val="40404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726" w:type="dxa"/>
            <w:tcBorders>
              <w:top w:val="single" w:sz="4" w:space="0" w:color="C00000"/>
              <w:left w:val="nil"/>
              <w:bottom w:val="single" w:sz="4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610F30D8" w14:textId="77777777" w:rsidR="00977AC0" w:rsidRPr="002F2563" w:rsidRDefault="00977AC0" w:rsidP="00A91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18"/>
                <w:szCs w:val="18"/>
                <w:lang w:eastAsia="it-IT"/>
              </w:rPr>
            </w:pPr>
            <w:r w:rsidRPr="002F2563">
              <w:rPr>
                <w:rFonts w:ascii="Calibri" w:eastAsia="Times New Roman" w:hAnsi="Calibri" w:cs="Calibri"/>
                <w:color w:val="404040"/>
                <w:sz w:val="18"/>
                <w:szCs w:val="18"/>
                <w:lang w:eastAsia="it-IT"/>
              </w:rPr>
              <w:t>0%</w:t>
            </w:r>
          </w:p>
        </w:tc>
      </w:tr>
      <w:tr w:rsidR="00977AC0" w:rsidRPr="00F33E38" w14:paraId="269C5DCE" w14:textId="77777777" w:rsidTr="00A9145D">
        <w:trPr>
          <w:trHeight w:hRule="exact" w:val="255"/>
          <w:jc w:val="center"/>
        </w:trPr>
        <w:tc>
          <w:tcPr>
            <w:tcW w:w="3488" w:type="dxa"/>
            <w:tcBorders>
              <w:top w:val="single" w:sz="4" w:space="0" w:color="C00000"/>
              <w:left w:val="nil"/>
              <w:bottom w:val="single" w:sz="8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715CF4E1" w14:textId="77777777" w:rsidR="00977AC0" w:rsidRPr="002F2563" w:rsidRDefault="00977AC0" w:rsidP="00A91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18"/>
                <w:szCs w:val="18"/>
                <w:lang w:eastAsia="it-IT"/>
              </w:rPr>
            </w:pPr>
            <w:r w:rsidRPr="002F2563">
              <w:rPr>
                <w:rFonts w:ascii="Calibri" w:eastAsia="Times New Roman" w:hAnsi="Calibri" w:cs="Calibri"/>
                <w:b/>
                <w:bCs/>
                <w:color w:val="404040"/>
                <w:sz w:val="18"/>
                <w:szCs w:val="18"/>
                <w:lang w:eastAsia="it-IT"/>
              </w:rPr>
              <w:t>Totale</w:t>
            </w:r>
          </w:p>
        </w:tc>
        <w:tc>
          <w:tcPr>
            <w:tcW w:w="1726" w:type="dxa"/>
            <w:tcBorders>
              <w:top w:val="single" w:sz="4" w:space="0" w:color="C00000"/>
              <w:left w:val="nil"/>
              <w:bottom w:val="single" w:sz="8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162B4B9C" w14:textId="77777777" w:rsidR="00977AC0" w:rsidRPr="002F2563" w:rsidRDefault="00977AC0" w:rsidP="00A91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18"/>
                <w:szCs w:val="18"/>
                <w:lang w:eastAsia="it-IT"/>
              </w:rPr>
            </w:pPr>
            <w:r w:rsidRPr="002F2563"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eastAsia="it-IT"/>
              </w:rPr>
              <w:t>213</w:t>
            </w:r>
          </w:p>
        </w:tc>
        <w:tc>
          <w:tcPr>
            <w:tcW w:w="1726" w:type="dxa"/>
            <w:tcBorders>
              <w:top w:val="single" w:sz="4" w:space="0" w:color="C00000"/>
              <w:left w:val="nil"/>
              <w:bottom w:val="single" w:sz="8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16005A7E" w14:textId="77777777" w:rsidR="00977AC0" w:rsidRPr="002F2563" w:rsidRDefault="00977AC0" w:rsidP="00A91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18"/>
                <w:szCs w:val="18"/>
                <w:lang w:eastAsia="it-IT"/>
              </w:rPr>
            </w:pPr>
          </w:p>
        </w:tc>
      </w:tr>
      <w:tr w:rsidR="00977AC0" w:rsidRPr="002F2563" w14:paraId="59B27404" w14:textId="77777777" w:rsidTr="00A9145D">
        <w:trPr>
          <w:trHeight w:hRule="exact" w:val="255"/>
          <w:jc w:val="center"/>
        </w:trPr>
        <w:tc>
          <w:tcPr>
            <w:tcW w:w="3488" w:type="dxa"/>
            <w:tcBorders>
              <w:top w:val="single" w:sz="8" w:space="0" w:color="C00000"/>
              <w:left w:val="nil"/>
              <w:bottom w:val="nil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57C76CFE" w14:textId="77777777" w:rsidR="00977AC0" w:rsidRPr="002F2563" w:rsidRDefault="00977AC0" w:rsidP="00A9145D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8"/>
                <w:szCs w:val="18"/>
                <w:lang w:eastAsia="it-IT"/>
              </w:rPr>
            </w:pPr>
            <w:r w:rsidRPr="002F2563">
              <w:rPr>
                <w:rFonts w:ascii="Calibri" w:eastAsia="Times New Roman" w:hAnsi="Calibri" w:cs="Calibri"/>
                <w:color w:val="404040"/>
                <w:sz w:val="18"/>
                <w:szCs w:val="18"/>
                <w:lang w:eastAsia="it-IT"/>
              </w:rPr>
              <w:t xml:space="preserve"> * Stato= aperti</w:t>
            </w:r>
          </w:p>
        </w:tc>
        <w:tc>
          <w:tcPr>
            <w:tcW w:w="1726" w:type="dxa"/>
            <w:tcBorders>
              <w:top w:val="single" w:sz="8" w:space="0" w:color="C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D3F37" w14:textId="77777777" w:rsidR="00977AC0" w:rsidRPr="002F2563" w:rsidRDefault="00977AC0" w:rsidP="00A9145D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8"/>
                <w:szCs w:val="18"/>
                <w:lang w:eastAsia="it-IT"/>
              </w:rPr>
            </w:pPr>
          </w:p>
        </w:tc>
        <w:tc>
          <w:tcPr>
            <w:tcW w:w="1726" w:type="dxa"/>
            <w:tcBorders>
              <w:top w:val="single" w:sz="8" w:space="0" w:color="C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EECE2" w14:textId="77777777" w:rsidR="00977AC0" w:rsidRPr="002F2563" w:rsidRDefault="00977AC0" w:rsidP="00A9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</w:tbl>
    <w:p w14:paraId="2E199618" w14:textId="77777777" w:rsidR="00977AC0" w:rsidRDefault="00977AC0" w:rsidP="00977AC0">
      <w:pPr>
        <w:spacing w:before="40" w:after="0" w:line="240" w:lineRule="auto"/>
        <w:ind w:left="1315"/>
        <w:rPr>
          <w:i/>
          <w:sz w:val="17"/>
          <w:szCs w:val="17"/>
        </w:rPr>
      </w:pPr>
      <w:r w:rsidRPr="009564B4">
        <w:rPr>
          <w:i/>
          <w:sz w:val="17"/>
          <w:szCs w:val="17"/>
        </w:rPr>
        <w:t>Fonte: Elaborazioni</w:t>
      </w:r>
      <w:r>
        <w:rPr>
          <w:i/>
          <w:sz w:val="17"/>
          <w:szCs w:val="17"/>
        </w:rPr>
        <w:t xml:space="preserve"> FNC </w:t>
      </w:r>
      <w:r w:rsidRPr="009564B4">
        <w:rPr>
          <w:i/>
          <w:sz w:val="17"/>
          <w:szCs w:val="17"/>
        </w:rPr>
        <w:t xml:space="preserve">su dati </w:t>
      </w:r>
      <w:r>
        <w:rPr>
          <w:i/>
          <w:sz w:val="17"/>
          <w:szCs w:val="17"/>
        </w:rPr>
        <w:t xml:space="preserve">IFEL </w:t>
      </w:r>
    </w:p>
    <w:p w14:paraId="269FEBFD" w14:textId="77777777" w:rsidR="00977AC0" w:rsidRDefault="00977AC0" w:rsidP="00977AC0">
      <w:pPr>
        <w:spacing w:before="360" w:after="60" w:line="300" w:lineRule="auto"/>
        <w:rPr>
          <w:bCs/>
          <w:i/>
          <w:iCs/>
          <w:color w:val="0E2841" w:themeColor="text2"/>
          <w:sz w:val="20"/>
          <w:szCs w:val="20"/>
        </w:rPr>
      </w:pPr>
      <w:r>
        <w:rPr>
          <w:bCs/>
          <w:i/>
          <w:iCs/>
          <w:color w:val="0E2841" w:themeColor="text2"/>
          <w:sz w:val="20"/>
          <w:szCs w:val="20"/>
        </w:rPr>
        <w:br w:type="page"/>
      </w:r>
    </w:p>
    <w:p w14:paraId="602D1782" w14:textId="77777777" w:rsidR="00977AC0" w:rsidRDefault="00977AC0" w:rsidP="00977AC0">
      <w:pPr>
        <w:spacing w:after="120" w:line="240" w:lineRule="auto"/>
        <w:jc w:val="both"/>
        <w:rPr>
          <w:rFonts w:ascii="Arial" w:hAnsi="Arial" w:cs="Arial"/>
          <w:b/>
          <w:bCs/>
          <w:color w:val="262626" w:themeColor="text1" w:themeTint="D9"/>
          <w:sz w:val="24"/>
          <w:szCs w:val="24"/>
        </w:rPr>
      </w:pPr>
    </w:p>
    <w:p w14:paraId="3CEBC4D2" w14:textId="77777777" w:rsidR="00977AC0" w:rsidRDefault="00977AC0" w:rsidP="00977AC0">
      <w:pPr>
        <w:spacing w:after="120" w:line="240" w:lineRule="auto"/>
        <w:jc w:val="both"/>
        <w:rPr>
          <w:rFonts w:ascii="Arial" w:hAnsi="Arial" w:cs="Arial"/>
          <w:b/>
          <w:bCs/>
          <w:color w:val="262626" w:themeColor="text1" w:themeTint="D9"/>
          <w:sz w:val="24"/>
          <w:szCs w:val="24"/>
        </w:rPr>
      </w:pPr>
    </w:p>
    <w:p w14:paraId="3BEA8A06" w14:textId="53E61CA2" w:rsidR="00977AC0" w:rsidRPr="00AD6286" w:rsidRDefault="00977AC0" w:rsidP="00271926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AD6286">
        <w:rPr>
          <w:rFonts w:ascii="Arial" w:hAnsi="Arial" w:cs="Arial"/>
        </w:rPr>
        <w:t xml:space="preserve">I dati regionali esaminati nel periodo </w:t>
      </w:r>
      <w:r w:rsidRPr="00AD6286">
        <w:rPr>
          <w:rFonts w:ascii="Arial" w:hAnsi="Arial" w:cs="Arial"/>
          <w:b/>
          <w:bCs/>
        </w:rPr>
        <w:t>2012-2024</w:t>
      </w:r>
      <w:r w:rsidRPr="00AD6286">
        <w:rPr>
          <w:rFonts w:ascii="Arial" w:hAnsi="Arial" w:cs="Arial"/>
        </w:rPr>
        <w:t>, oltre a</w:t>
      </w:r>
      <w:r w:rsidR="00AC2E48" w:rsidRPr="00AD6286">
        <w:rPr>
          <w:rFonts w:ascii="Arial" w:hAnsi="Arial" w:cs="Arial"/>
        </w:rPr>
        <w:t>d</w:t>
      </w:r>
      <w:r w:rsidRPr="00AD6286">
        <w:rPr>
          <w:rFonts w:ascii="Arial" w:hAnsi="Arial" w:cs="Arial"/>
        </w:rPr>
        <w:t xml:space="preserve"> evidenziare i casi di </w:t>
      </w:r>
      <w:r w:rsidRPr="00AD6286">
        <w:rPr>
          <w:rFonts w:ascii="Arial" w:hAnsi="Arial" w:cs="Arial"/>
          <w:b/>
          <w:bCs/>
        </w:rPr>
        <w:t>5 enti</w:t>
      </w:r>
      <w:r w:rsidRPr="00AD6286">
        <w:rPr>
          <w:rFonts w:ascii="Arial" w:hAnsi="Arial" w:cs="Arial"/>
        </w:rPr>
        <w:t xml:space="preserve"> che hanno dichiarato il dissesto da </w:t>
      </w:r>
      <w:r w:rsidRPr="00AD6286">
        <w:rPr>
          <w:rFonts w:ascii="Arial" w:hAnsi="Arial" w:cs="Arial"/>
          <w:b/>
          <w:bCs/>
        </w:rPr>
        <w:t>quasi 10 anni</w:t>
      </w:r>
      <w:r w:rsidRPr="00AD6286">
        <w:rPr>
          <w:rFonts w:ascii="Arial" w:hAnsi="Arial" w:cs="Arial"/>
        </w:rPr>
        <w:t xml:space="preserve"> (quindi ben oltre la durata prevista dalla norma), mostrano un </w:t>
      </w:r>
      <w:r w:rsidRPr="00AD6286">
        <w:rPr>
          <w:rFonts w:ascii="Arial" w:hAnsi="Arial" w:cs="Arial"/>
          <w:b/>
          <w:bCs/>
        </w:rPr>
        <w:t>incremento di dissesti nell’arco temporale 2018-2023</w:t>
      </w:r>
      <w:r w:rsidRPr="00AD6286">
        <w:rPr>
          <w:rFonts w:ascii="Arial" w:hAnsi="Arial" w:cs="Arial"/>
        </w:rPr>
        <w:t xml:space="preserve"> con un andamento altalenante ossia un </w:t>
      </w:r>
      <w:r w:rsidRPr="00AD6286">
        <w:rPr>
          <w:rFonts w:ascii="Arial" w:hAnsi="Arial" w:cs="Arial"/>
          <w:b/>
          <w:bCs/>
        </w:rPr>
        <w:t>picco nel 2019 (35)</w:t>
      </w:r>
      <w:r w:rsidRPr="00AD6286">
        <w:rPr>
          <w:rFonts w:ascii="Arial" w:hAnsi="Arial" w:cs="Arial"/>
        </w:rPr>
        <w:t xml:space="preserve">, un </w:t>
      </w:r>
      <w:r w:rsidRPr="00AD6286">
        <w:rPr>
          <w:rFonts w:ascii="Arial" w:hAnsi="Arial" w:cs="Arial"/>
          <w:b/>
          <w:bCs/>
        </w:rPr>
        <w:t>leggero calo</w:t>
      </w:r>
      <w:r w:rsidRPr="00AD6286">
        <w:rPr>
          <w:rFonts w:ascii="Arial" w:hAnsi="Arial" w:cs="Arial"/>
        </w:rPr>
        <w:t xml:space="preserve"> nel </w:t>
      </w:r>
      <w:r w:rsidRPr="00AD6286">
        <w:rPr>
          <w:rFonts w:ascii="Arial" w:hAnsi="Arial" w:cs="Arial"/>
          <w:b/>
          <w:bCs/>
        </w:rPr>
        <w:t>biennio 2020-2021</w:t>
      </w:r>
      <w:r w:rsidRPr="00AD6286">
        <w:rPr>
          <w:rFonts w:ascii="Arial" w:hAnsi="Arial" w:cs="Arial"/>
        </w:rPr>
        <w:t xml:space="preserve"> per effetto delle misure straordinarie Covid e una </w:t>
      </w:r>
      <w:r w:rsidRPr="00AD6286">
        <w:rPr>
          <w:rFonts w:ascii="Arial" w:hAnsi="Arial" w:cs="Arial"/>
          <w:b/>
          <w:bCs/>
        </w:rPr>
        <w:t>ripresa nel 2023 (29).</w:t>
      </w:r>
    </w:p>
    <w:p w14:paraId="2E9542C9" w14:textId="77777777" w:rsidR="00271926" w:rsidRPr="00AF1A84" w:rsidRDefault="00271926" w:rsidP="0027192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FBDEAF0" w14:textId="77777777" w:rsidR="00977AC0" w:rsidRDefault="00977AC0" w:rsidP="00977AC0">
      <w:pPr>
        <w:spacing w:before="120" w:after="120" w:line="300" w:lineRule="auto"/>
        <w:rPr>
          <w:bCs/>
          <w:color w:val="0E2841" w:themeColor="text2"/>
          <w:sz w:val="20"/>
          <w:szCs w:val="20"/>
        </w:rPr>
      </w:pPr>
      <w:r>
        <w:rPr>
          <w:bCs/>
          <w:color w:val="0E2841" w:themeColor="text2"/>
          <w:sz w:val="20"/>
          <w:szCs w:val="20"/>
        </w:rPr>
        <w:t>Dissesti “aperti” per regione e anno di dichiarazione. Dati in unità.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4"/>
        <w:gridCol w:w="849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1515"/>
      </w:tblGrid>
      <w:tr w:rsidR="00977AC0" w:rsidRPr="002516ED" w14:paraId="36B6A7C1" w14:textId="77777777" w:rsidTr="00A9145D">
        <w:trPr>
          <w:trHeight w:hRule="exact" w:val="340"/>
        </w:trPr>
        <w:tc>
          <w:tcPr>
            <w:tcW w:w="764" w:type="pct"/>
            <w:tcBorders>
              <w:top w:val="nil"/>
              <w:left w:val="nil"/>
              <w:right w:val="single" w:sz="12" w:space="0" w:color="FFFFFF"/>
            </w:tcBorders>
            <w:shd w:val="clear" w:color="000000" w:fill="C00000"/>
            <w:noWrap/>
            <w:vAlign w:val="center"/>
            <w:hideMark/>
          </w:tcPr>
          <w:p w14:paraId="23EABC1A" w14:textId="77777777" w:rsidR="00977AC0" w:rsidRPr="002516ED" w:rsidRDefault="00977AC0" w:rsidP="00A91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2516E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>Regione</w:t>
            </w:r>
          </w:p>
        </w:tc>
        <w:tc>
          <w:tcPr>
            <w:tcW w:w="440" w:type="pct"/>
            <w:tcBorders>
              <w:top w:val="nil"/>
              <w:left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7F3EECC9" w14:textId="77777777" w:rsidR="00977AC0" w:rsidRPr="002516ED" w:rsidRDefault="00977AC0" w:rsidP="00A91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2516E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>2012</w:t>
            </w:r>
          </w:p>
        </w:tc>
        <w:tc>
          <w:tcPr>
            <w:tcW w:w="301" w:type="pct"/>
            <w:tcBorders>
              <w:top w:val="nil"/>
              <w:left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2C0ED5D4" w14:textId="77777777" w:rsidR="00977AC0" w:rsidRPr="002516ED" w:rsidRDefault="00977AC0" w:rsidP="00A91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2516E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301" w:type="pct"/>
            <w:tcBorders>
              <w:top w:val="nil"/>
              <w:left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502DF4C4" w14:textId="77777777" w:rsidR="00977AC0" w:rsidRPr="002516ED" w:rsidRDefault="00977AC0" w:rsidP="00A91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2516E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301" w:type="pct"/>
            <w:tcBorders>
              <w:top w:val="nil"/>
              <w:left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0E13D960" w14:textId="77777777" w:rsidR="00977AC0" w:rsidRPr="002516ED" w:rsidRDefault="00977AC0" w:rsidP="00A91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2516E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>2017</w:t>
            </w:r>
          </w:p>
        </w:tc>
        <w:tc>
          <w:tcPr>
            <w:tcW w:w="301" w:type="pct"/>
            <w:tcBorders>
              <w:top w:val="nil"/>
              <w:left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2A86E702" w14:textId="77777777" w:rsidR="00977AC0" w:rsidRPr="002516ED" w:rsidRDefault="00977AC0" w:rsidP="00A91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2516E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>2018</w:t>
            </w:r>
          </w:p>
        </w:tc>
        <w:tc>
          <w:tcPr>
            <w:tcW w:w="301" w:type="pct"/>
            <w:tcBorders>
              <w:top w:val="nil"/>
              <w:left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1458F4DF" w14:textId="77777777" w:rsidR="00977AC0" w:rsidRPr="002516ED" w:rsidRDefault="00977AC0" w:rsidP="00A91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2516E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>2019</w:t>
            </w:r>
          </w:p>
        </w:tc>
        <w:tc>
          <w:tcPr>
            <w:tcW w:w="301" w:type="pct"/>
            <w:tcBorders>
              <w:top w:val="nil"/>
              <w:left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33B6CAE1" w14:textId="77777777" w:rsidR="00977AC0" w:rsidRPr="002516ED" w:rsidRDefault="00977AC0" w:rsidP="00A91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2516E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>2020</w:t>
            </w:r>
          </w:p>
        </w:tc>
        <w:tc>
          <w:tcPr>
            <w:tcW w:w="301" w:type="pct"/>
            <w:tcBorders>
              <w:top w:val="nil"/>
              <w:left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0691F89A" w14:textId="77777777" w:rsidR="00977AC0" w:rsidRPr="002516ED" w:rsidRDefault="00977AC0" w:rsidP="00A91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2516E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>2021</w:t>
            </w:r>
          </w:p>
        </w:tc>
        <w:tc>
          <w:tcPr>
            <w:tcW w:w="301" w:type="pct"/>
            <w:tcBorders>
              <w:top w:val="nil"/>
              <w:left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28FADDC6" w14:textId="77777777" w:rsidR="00977AC0" w:rsidRPr="002516ED" w:rsidRDefault="00977AC0" w:rsidP="00A91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2516E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>2022</w:t>
            </w:r>
          </w:p>
        </w:tc>
        <w:tc>
          <w:tcPr>
            <w:tcW w:w="301" w:type="pct"/>
            <w:tcBorders>
              <w:top w:val="nil"/>
              <w:left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3B1AC6C1" w14:textId="77777777" w:rsidR="00977AC0" w:rsidRPr="002516ED" w:rsidRDefault="00977AC0" w:rsidP="00A91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2516E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>2023</w:t>
            </w:r>
          </w:p>
        </w:tc>
        <w:tc>
          <w:tcPr>
            <w:tcW w:w="301" w:type="pct"/>
            <w:tcBorders>
              <w:top w:val="nil"/>
              <w:left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0D479B14" w14:textId="77777777" w:rsidR="00977AC0" w:rsidRPr="002516ED" w:rsidRDefault="00977AC0" w:rsidP="00A91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2516E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>2024</w:t>
            </w:r>
          </w:p>
        </w:tc>
        <w:tc>
          <w:tcPr>
            <w:tcW w:w="786" w:type="pct"/>
            <w:tcBorders>
              <w:top w:val="nil"/>
              <w:left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0F151441" w14:textId="77777777" w:rsidR="00977AC0" w:rsidRPr="002516ED" w:rsidRDefault="00977AC0" w:rsidP="00A91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2516E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>Totale dissesti*</w:t>
            </w:r>
          </w:p>
        </w:tc>
      </w:tr>
      <w:tr w:rsidR="00977AC0" w:rsidRPr="008640C1" w14:paraId="6EAF8946" w14:textId="77777777" w:rsidTr="00A9145D">
        <w:trPr>
          <w:trHeight w:hRule="exact" w:val="284"/>
        </w:trPr>
        <w:tc>
          <w:tcPr>
            <w:tcW w:w="764" w:type="pct"/>
            <w:tcBorders>
              <w:top w:val="nil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184E5C0D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Abruzzo</w:t>
            </w:r>
          </w:p>
        </w:tc>
        <w:tc>
          <w:tcPr>
            <w:tcW w:w="440" w:type="pct"/>
            <w:tcBorders>
              <w:top w:val="nil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112E1666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301DF8F5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08E4A7CC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4705F9F3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4B52CBFF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4268E4FB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4D2547E0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2A433C49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706C832D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0DF13A34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7A52A33F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4F4D973B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b/>
                <w:bCs/>
                <w:color w:val="404040"/>
                <w:sz w:val="18"/>
                <w:szCs w:val="18"/>
                <w:lang w:eastAsia="it-IT"/>
              </w:rPr>
              <w:t>7</w:t>
            </w:r>
          </w:p>
        </w:tc>
      </w:tr>
      <w:tr w:rsidR="00977AC0" w:rsidRPr="008640C1" w14:paraId="5521F86A" w14:textId="77777777" w:rsidTr="00A9145D">
        <w:trPr>
          <w:trHeight w:hRule="exact" w:val="284"/>
        </w:trPr>
        <w:tc>
          <w:tcPr>
            <w:tcW w:w="764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5F323046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Basilicata</w:t>
            </w:r>
          </w:p>
        </w:tc>
        <w:tc>
          <w:tcPr>
            <w:tcW w:w="440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2372D25C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301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06FCE09A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301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2E412ADF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301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151665F6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301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175243A5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301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49F9CA09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301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0EC8A4D9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301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4268C9AF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301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490E28E6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301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3F43CFBA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301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2784FA0C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6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33797248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b/>
                <w:bCs/>
                <w:color w:val="404040"/>
                <w:sz w:val="18"/>
                <w:szCs w:val="18"/>
                <w:lang w:eastAsia="it-IT"/>
              </w:rPr>
              <w:t>3</w:t>
            </w:r>
          </w:p>
        </w:tc>
      </w:tr>
      <w:tr w:rsidR="00977AC0" w:rsidRPr="008640C1" w14:paraId="2813795D" w14:textId="77777777" w:rsidTr="00A9145D">
        <w:trPr>
          <w:trHeight w:hRule="exact" w:val="284"/>
        </w:trPr>
        <w:tc>
          <w:tcPr>
            <w:tcW w:w="764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1343E68F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Calabria</w:t>
            </w:r>
          </w:p>
        </w:tc>
        <w:tc>
          <w:tcPr>
            <w:tcW w:w="440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2EF0AC94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301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62197F2F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301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07310A9D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301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7F70E905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301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29A869AA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301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3CEA7A8C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301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0A6C13E5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301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6F43F328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301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1CD443DD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301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163C325B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301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1E6481F6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6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10DA76FD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b/>
                <w:bCs/>
                <w:color w:val="404040"/>
                <w:sz w:val="18"/>
                <w:szCs w:val="18"/>
                <w:lang w:eastAsia="it-IT"/>
              </w:rPr>
              <w:t>52</w:t>
            </w:r>
          </w:p>
        </w:tc>
      </w:tr>
      <w:tr w:rsidR="00977AC0" w:rsidRPr="008640C1" w14:paraId="03C40CA4" w14:textId="77777777" w:rsidTr="00A9145D">
        <w:trPr>
          <w:trHeight w:hRule="exact" w:val="284"/>
        </w:trPr>
        <w:tc>
          <w:tcPr>
            <w:tcW w:w="764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0E23BA22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Campania</w:t>
            </w:r>
          </w:p>
        </w:tc>
        <w:tc>
          <w:tcPr>
            <w:tcW w:w="440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0BA8598F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301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5480870F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301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61CA288F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301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2382D52F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301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6D3940BE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301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48759C9A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301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6305A938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301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6B39AB0C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301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1E63E62B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301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7981CE5E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301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03D6E8AF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6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66A930DA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b/>
                <w:bCs/>
                <w:color w:val="404040"/>
                <w:sz w:val="18"/>
                <w:szCs w:val="18"/>
                <w:lang w:eastAsia="it-IT"/>
              </w:rPr>
              <w:t>47</w:t>
            </w:r>
          </w:p>
        </w:tc>
      </w:tr>
      <w:tr w:rsidR="00977AC0" w:rsidRPr="008640C1" w14:paraId="503CF571" w14:textId="77777777" w:rsidTr="00A9145D">
        <w:trPr>
          <w:trHeight w:hRule="exact" w:val="284"/>
        </w:trPr>
        <w:tc>
          <w:tcPr>
            <w:tcW w:w="764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1325A335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Lazio</w:t>
            </w:r>
          </w:p>
        </w:tc>
        <w:tc>
          <w:tcPr>
            <w:tcW w:w="440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25F2E180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301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71C1BCA5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301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306EFB48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301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2CAABE04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301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2D487685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301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4FF7A8B4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301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6B0FD9CE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301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5A239A90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301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22ED615A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301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07BC87C6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301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66B174BE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6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40D8979B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b/>
                <w:bCs/>
                <w:color w:val="404040"/>
                <w:sz w:val="18"/>
                <w:szCs w:val="18"/>
                <w:lang w:eastAsia="it-IT"/>
              </w:rPr>
              <w:t>15</w:t>
            </w:r>
          </w:p>
        </w:tc>
      </w:tr>
      <w:tr w:rsidR="00977AC0" w:rsidRPr="008640C1" w14:paraId="55EE5642" w14:textId="77777777" w:rsidTr="00A9145D">
        <w:trPr>
          <w:trHeight w:hRule="exact" w:val="284"/>
        </w:trPr>
        <w:tc>
          <w:tcPr>
            <w:tcW w:w="764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4DA0CB9D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Liguria</w:t>
            </w:r>
          </w:p>
        </w:tc>
        <w:tc>
          <w:tcPr>
            <w:tcW w:w="440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2CB01E87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301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7B8FE85F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301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5AD281B7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301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58C73766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301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6DA52FCD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301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7527ACF4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301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0E22F29F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301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6DC2797A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301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58BB349B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301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20DDFEBE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301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7F829018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6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4EDED716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b/>
                <w:bCs/>
                <w:color w:val="404040"/>
                <w:sz w:val="18"/>
                <w:szCs w:val="18"/>
                <w:lang w:eastAsia="it-IT"/>
              </w:rPr>
              <w:t>1</w:t>
            </w:r>
          </w:p>
        </w:tc>
      </w:tr>
      <w:tr w:rsidR="00977AC0" w:rsidRPr="008640C1" w14:paraId="3D99BED8" w14:textId="77777777" w:rsidTr="00A9145D">
        <w:trPr>
          <w:trHeight w:hRule="exact" w:val="284"/>
        </w:trPr>
        <w:tc>
          <w:tcPr>
            <w:tcW w:w="764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33701811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Lombardia</w:t>
            </w:r>
          </w:p>
        </w:tc>
        <w:tc>
          <w:tcPr>
            <w:tcW w:w="440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6E5801D7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301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414B81C0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301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08BD8B47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301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6A94E52D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301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6D28ED00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301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56190A4A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301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19ACAB4D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301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10346A77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301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45E50144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301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7D6E63B8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301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0EF477C4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6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53A35FA9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b/>
                <w:bCs/>
                <w:color w:val="404040"/>
                <w:sz w:val="18"/>
                <w:szCs w:val="18"/>
                <w:lang w:eastAsia="it-IT"/>
              </w:rPr>
              <w:t>4</w:t>
            </w:r>
          </w:p>
        </w:tc>
      </w:tr>
      <w:tr w:rsidR="00977AC0" w:rsidRPr="008640C1" w14:paraId="34C3EE50" w14:textId="77777777" w:rsidTr="00A9145D">
        <w:trPr>
          <w:trHeight w:hRule="exact" w:val="284"/>
        </w:trPr>
        <w:tc>
          <w:tcPr>
            <w:tcW w:w="764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4E3B4640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Marche</w:t>
            </w:r>
          </w:p>
        </w:tc>
        <w:tc>
          <w:tcPr>
            <w:tcW w:w="440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5302E0A9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301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3071A450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301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12B960A4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301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6CBD234E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301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2F005C3A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301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3BDEDE55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301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700444BC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301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6ECDC2AD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301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66B253B7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301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624290D5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301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2EBB3729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6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5F3FFC6E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b/>
                <w:bCs/>
                <w:color w:val="404040"/>
                <w:sz w:val="18"/>
                <w:szCs w:val="18"/>
                <w:lang w:eastAsia="it-IT"/>
              </w:rPr>
              <w:t>1</w:t>
            </w:r>
          </w:p>
        </w:tc>
      </w:tr>
      <w:tr w:rsidR="00977AC0" w:rsidRPr="008640C1" w14:paraId="77692953" w14:textId="77777777" w:rsidTr="00A9145D">
        <w:trPr>
          <w:trHeight w:hRule="exact" w:val="284"/>
        </w:trPr>
        <w:tc>
          <w:tcPr>
            <w:tcW w:w="764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5B9A518C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Molise</w:t>
            </w:r>
          </w:p>
        </w:tc>
        <w:tc>
          <w:tcPr>
            <w:tcW w:w="440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4A374392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301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45281E77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301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2F25A0AF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301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5192312A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301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7074FF0F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301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5369C461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301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1B9FA6AA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301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56C99109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301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0DCDF8D7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301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31CFF92B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301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1296AEC8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6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39BBDF10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b/>
                <w:bCs/>
                <w:color w:val="404040"/>
                <w:sz w:val="18"/>
                <w:szCs w:val="18"/>
                <w:lang w:eastAsia="it-IT"/>
              </w:rPr>
              <w:t>2</w:t>
            </w:r>
          </w:p>
        </w:tc>
      </w:tr>
      <w:tr w:rsidR="00977AC0" w:rsidRPr="008640C1" w14:paraId="3CD42206" w14:textId="77777777" w:rsidTr="00A9145D">
        <w:trPr>
          <w:trHeight w:hRule="exact" w:val="284"/>
        </w:trPr>
        <w:tc>
          <w:tcPr>
            <w:tcW w:w="764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18633E0E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Piemonte</w:t>
            </w:r>
          </w:p>
        </w:tc>
        <w:tc>
          <w:tcPr>
            <w:tcW w:w="440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32505DF4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301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50311C53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301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07188F52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301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543EF73B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301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0E9F865A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301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18F1DE19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301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11E22FCA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301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2D500F88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301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7370A241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301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430D8D40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301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79F0B0FB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6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21C27A22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b/>
                <w:bCs/>
                <w:color w:val="404040"/>
                <w:sz w:val="18"/>
                <w:szCs w:val="18"/>
                <w:lang w:eastAsia="it-IT"/>
              </w:rPr>
              <w:t>3</w:t>
            </w:r>
          </w:p>
        </w:tc>
      </w:tr>
      <w:tr w:rsidR="00977AC0" w:rsidRPr="008640C1" w14:paraId="5843DA83" w14:textId="77777777" w:rsidTr="00A9145D">
        <w:trPr>
          <w:trHeight w:hRule="exact" w:val="284"/>
        </w:trPr>
        <w:tc>
          <w:tcPr>
            <w:tcW w:w="764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312A1872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Puglia</w:t>
            </w:r>
          </w:p>
        </w:tc>
        <w:tc>
          <w:tcPr>
            <w:tcW w:w="440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36F8A634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301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7C0CFC18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301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19301171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301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6419E51B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301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50771A78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301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043F4963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301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0AEEFBA3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301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0D385730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301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45757E0A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301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477128EA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301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5B3B6655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786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10D1B61B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b/>
                <w:bCs/>
                <w:color w:val="404040"/>
                <w:sz w:val="18"/>
                <w:szCs w:val="18"/>
                <w:lang w:eastAsia="it-IT"/>
              </w:rPr>
              <w:t>8</w:t>
            </w:r>
          </w:p>
        </w:tc>
      </w:tr>
      <w:tr w:rsidR="00977AC0" w:rsidRPr="008640C1" w14:paraId="2F5B22DA" w14:textId="77777777" w:rsidTr="00A9145D">
        <w:trPr>
          <w:trHeight w:hRule="exact" w:val="284"/>
        </w:trPr>
        <w:tc>
          <w:tcPr>
            <w:tcW w:w="764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3E22AFFA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 xml:space="preserve">Sicilia </w:t>
            </w:r>
          </w:p>
        </w:tc>
        <w:tc>
          <w:tcPr>
            <w:tcW w:w="440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53C5E23C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301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6984FE85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301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2E2535A5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301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6487C20C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301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472C2EA9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301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0506DD3E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301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736250D0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301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1DC32BBC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301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63717BA0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301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13A08909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17</w:t>
            </w:r>
          </w:p>
        </w:tc>
        <w:tc>
          <w:tcPr>
            <w:tcW w:w="301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10B5E4EE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786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2D1C3CF4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b/>
                <w:bCs/>
                <w:color w:val="404040"/>
                <w:sz w:val="18"/>
                <w:szCs w:val="18"/>
                <w:lang w:eastAsia="it-IT"/>
              </w:rPr>
              <w:t>69</w:t>
            </w:r>
          </w:p>
        </w:tc>
      </w:tr>
      <w:tr w:rsidR="00977AC0" w:rsidRPr="008640C1" w14:paraId="2DD6BACA" w14:textId="77777777" w:rsidTr="00A9145D">
        <w:trPr>
          <w:trHeight w:hRule="exact" w:val="284"/>
        </w:trPr>
        <w:tc>
          <w:tcPr>
            <w:tcW w:w="764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5654C03D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Toscana</w:t>
            </w:r>
          </w:p>
        </w:tc>
        <w:tc>
          <w:tcPr>
            <w:tcW w:w="440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0C5FC319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301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50CC4EE1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301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48FADB70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301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5AC13F63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301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42A9A1CA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301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00B0A0A6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301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130FA0C0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301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5996B22D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301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053E582F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301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43C9A731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301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2A1FCB68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color w:val="40404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6" w:type="pct"/>
            <w:tcBorders>
              <w:top w:val="single" w:sz="2" w:space="0" w:color="C00000"/>
              <w:left w:val="nil"/>
              <w:bottom w:val="single" w:sz="2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20CB2EFF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b/>
                <w:bCs/>
                <w:color w:val="404040"/>
                <w:sz w:val="18"/>
                <w:szCs w:val="18"/>
                <w:lang w:eastAsia="it-IT"/>
              </w:rPr>
              <w:t>1</w:t>
            </w:r>
          </w:p>
        </w:tc>
      </w:tr>
      <w:tr w:rsidR="00977AC0" w:rsidRPr="008640C1" w14:paraId="1D01FACA" w14:textId="77777777" w:rsidTr="00A9145D">
        <w:trPr>
          <w:trHeight w:hRule="exact" w:val="284"/>
        </w:trPr>
        <w:tc>
          <w:tcPr>
            <w:tcW w:w="764" w:type="pct"/>
            <w:tcBorders>
              <w:top w:val="single" w:sz="2" w:space="0" w:color="C00000"/>
              <w:left w:val="nil"/>
              <w:bottom w:val="single" w:sz="8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21C89C2B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b/>
                <w:bCs/>
                <w:color w:val="404040"/>
                <w:sz w:val="18"/>
                <w:szCs w:val="18"/>
                <w:lang w:eastAsia="it-IT"/>
              </w:rPr>
              <w:t>Totale</w:t>
            </w:r>
          </w:p>
        </w:tc>
        <w:tc>
          <w:tcPr>
            <w:tcW w:w="440" w:type="pct"/>
            <w:tcBorders>
              <w:top w:val="single" w:sz="2" w:space="0" w:color="C00000"/>
              <w:left w:val="nil"/>
              <w:bottom w:val="single" w:sz="8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281BEDB9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b/>
                <w:bCs/>
                <w:color w:val="40404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301" w:type="pct"/>
            <w:tcBorders>
              <w:top w:val="single" w:sz="2" w:space="0" w:color="C00000"/>
              <w:left w:val="nil"/>
              <w:bottom w:val="single" w:sz="8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527B8C5A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b/>
                <w:bCs/>
                <w:color w:val="40404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301" w:type="pct"/>
            <w:tcBorders>
              <w:top w:val="single" w:sz="2" w:space="0" w:color="C00000"/>
              <w:left w:val="nil"/>
              <w:bottom w:val="single" w:sz="8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68C430BC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b/>
                <w:bCs/>
                <w:color w:val="404040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301" w:type="pct"/>
            <w:tcBorders>
              <w:top w:val="single" w:sz="2" w:space="0" w:color="C00000"/>
              <w:left w:val="nil"/>
              <w:bottom w:val="single" w:sz="8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498E868C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b/>
                <w:bCs/>
                <w:color w:val="404040"/>
                <w:sz w:val="18"/>
                <w:szCs w:val="18"/>
                <w:lang w:eastAsia="it-IT"/>
              </w:rPr>
              <w:t>21</w:t>
            </w:r>
          </w:p>
        </w:tc>
        <w:tc>
          <w:tcPr>
            <w:tcW w:w="301" w:type="pct"/>
            <w:tcBorders>
              <w:top w:val="single" w:sz="2" w:space="0" w:color="C00000"/>
              <w:left w:val="nil"/>
              <w:bottom w:val="single" w:sz="8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7BCC7210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b/>
                <w:bCs/>
                <w:color w:val="404040"/>
                <w:sz w:val="18"/>
                <w:szCs w:val="18"/>
                <w:lang w:eastAsia="it-IT"/>
              </w:rPr>
              <w:t>25</w:t>
            </w:r>
          </w:p>
        </w:tc>
        <w:tc>
          <w:tcPr>
            <w:tcW w:w="301" w:type="pct"/>
            <w:tcBorders>
              <w:top w:val="single" w:sz="2" w:space="0" w:color="C00000"/>
              <w:left w:val="nil"/>
              <w:bottom w:val="single" w:sz="8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6D40BB68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b/>
                <w:bCs/>
                <w:color w:val="404040"/>
                <w:sz w:val="18"/>
                <w:szCs w:val="18"/>
                <w:lang w:eastAsia="it-IT"/>
              </w:rPr>
              <w:t>35</w:t>
            </w:r>
          </w:p>
        </w:tc>
        <w:tc>
          <w:tcPr>
            <w:tcW w:w="301" w:type="pct"/>
            <w:tcBorders>
              <w:top w:val="single" w:sz="2" w:space="0" w:color="C00000"/>
              <w:left w:val="nil"/>
              <w:bottom w:val="single" w:sz="8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67627EB0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b/>
                <w:bCs/>
                <w:color w:val="404040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301" w:type="pct"/>
            <w:tcBorders>
              <w:top w:val="single" w:sz="2" w:space="0" w:color="C00000"/>
              <w:left w:val="nil"/>
              <w:bottom w:val="single" w:sz="8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48A31428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b/>
                <w:bCs/>
                <w:color w:val="404040"/>
                <w:sz w:val="18"/>
                <w:szCs w:val="18"/>
                <w:lang w:eastAsia="it-IT"/>
              </w:rPr>
              <w:t>22</w:t>
            </w:r>
          </w:p>
        </w:tc>
        <w:tc>
          <w:tcPr>
            <w:tcW w:w="301" w:type="pct"/>
            <w:tcBorders>
              <w:top w:val="single" w:sz="2" w:space="0" w:color="C00000"/>
              <w:left w:val="nil"/>
              <w:bottom w:val="single" w:sz="8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334923CA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b/>
                <w:bCs/>
                <w:color w:val="404040"/>
                <w:sz w:val="18"/>
                <w:szCs w:val="18"/>
                <w:lang w:eastAsia="it-IT"/>
              </w:rPr>
              <w:t>23</w:t>
            </w:r>
          </w:p>
        </w:tc>
        <w:tc>
          <w:tcPr>
            <w:tcW w:w="301" w:type="pct"/>
            <w:tcBorders>
              <w:top w:val="single" w:sz="2" w:space="0" w:color="C00000"/>
              <w:left w:val="nil"/>
              <w:bottom w:val="single" w:sz="8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17EECD62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b/>
                <w:bCs/>
                <w:color w:val="404040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301" w:type="pct"/>
            <w:tcBorders>
              <w:top w:val="single" w:sz="2" w:space="0" w:color="C00000"/>
              <w:left w:val="nil"/>
              <w:bottom w:val="single" w:sz="8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3F49E9A4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b/>
                <w:bCs/>
                <w:color w:val="40404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786" w:type="pct"/>
            <w:tcBorders>
              <w:top w:val="single" w:sz="2" w:space="0" w:color="C00000"/>
              <w:left w:val="nil"/>
              <w:bottom w:val="single" w:sz="8" w:space="0" w:color="C00000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11950588" w14:textId="77777777" w:rsidR="00977AC0" w:rsidRPr="008640C1" w:rsidRDefault="00977AC0" w:rsidP="00A914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04040"/>
                <w:sz w:val="18"/>
                <w:szCs w:val="18"/>
                <w:lang w:eastAsia="it-IT"/>
              </w:rPr>
            </w:pPr>
            <w:r w:rsidRPr="008640C1">
              <w:rPr>
                <w:rFonts w:eastAsia="Times New Roman" w:cstheme="minorHAnsi"/>
                <w:b/>
                <w:bCs/>
                <w:color w:val="404040"/>
                <w:sz w:val="18"/>
                <w:szCs w:val="18"/>
                <w:lang w:eastAsia="it-IT"/>
              </w:rPr>
              <w:t>213</w:t>
            </w:r>
          </w:p>
        </w:tc>
      </w:tr>
      <w:tr w:rsidR="00977AC0" w:rsidRPr="002516ED" w14:paraId="2546F8C5" w14:textId="77777777" w:rsidTr="00A9145D">
        <w:trPr>
          <w:trHeight w:val="300"/>
        </w:trPr>
        <w:tc>
          <w:tcPr>
            <w:tcW w:w="764" w:type="pct"/>
            <w:tcBorders>
              <w:top w:val="single" w:sz="8" w:space="0" w:color="C00000"/>
              <w:left w:val="nil"/>
              <w:bottom w:val="nil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6FFEDCB0" w14:textId="77777777" w:rsidR="00977AC0" w:rsidRPr="002516ED" w:rsidRDefault="00977AC0" w:rsidP="00A9145D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it-IT"/>
              </w:rPr>
            </w:pPr>
            <w:r w:rsidRPr="002516ED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it-IT"/>
              </w:rPr>
              <w:t xml:space="preserve"> * Stato= aperti</w:t>
            </w:r>
          </w:p>
        </w:tc>
        <w:tc>
          <w:tcPr>
            <w:tcW w:w="440" w:type="pct"/>
            <w:tcBorders>
              <w:top w:val="single" w:sz="8" w:space="0" w:color="C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54CD1" w14:textId="77777777" w:rsidR="00977AC0" w:rsidRPr="002516ED" w:rsidRDefault="00977AC0" w:rsidP="00A9145D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it-IT"/>
              </w:rPr>
            </w:pPr>
          </w:p>
        </w:tc>
        <w:tc>
          <w:tcPr>
            <w:tcW w:w="301" w:type="pct"/>
            <w:tcBorders>
              <w:top w:val="single" w:sz="8" w:space="0" w:color="C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0B197" w14:textId="77777777" w:rsidR="00977AC0" w:rsidRPr="002516ED" w:rsidRDefault="00977AC0" w:rsidP="00A9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1" w:type="pct"/>
            <w:tcBorders>
              <w:top w:val="single" w:sz="8" w:space="0" w:color="C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9A228" w14:textId="77777777" w:rsidR="00977AC0" w:rsidRPr="002516ED" w:rsidRDefault="00977AC0" w:rsidP="00A9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1" w:type="pct"/>
            <w:tcBorders>
              <w:top w:val="single" w:sz="8" w:space="0" w:color="C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EAA21" w14:textId="77777777" w:rsidR="00977AC0" w:rsidRPr="002516ED" w:rsidRDefault="00977AC0" w:rsidP="00A9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1" w:type="pct"/>
            <w:tcBorders>
              <w:top w:val="single" w:sz="8" w:space="0" w:color="C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18669" w14:textId="77777777" w:rsidR="00977AC0" w:rsidRPr="002516ED" w:rsidRDefault="00977AC0" w:rsidP="00A9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1" w:type="pct"/>
            <w:tcBorders>
              <w:top w:val="single" w:sz="8" w:space="0" w:color="C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3C7E" w14:textId="77777777" w:rsidR="00977AC0" w:rsidRPr="002516ED" w:rsidRDefault="00977AC0" w:rsidP="00A9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1" w:type="pct"/>
            <w:tcBorders>
              <w:top w:val="single" w:sz="8" w:space="0" w:color="C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7927" w14:textId="77777777" w:rsidR="00977AC0" w:rsidRPr="002516ED" w:rsidRDefault="00977AC0" w:rsidP="00A9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1" w:type="pct"/>
            <w:tcBorders>
              <w:top w:val="single" w:sz="8" w:space="0" w:color="C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9CAB" w14:textId="77777777" w:rsidR="00977AC0" w:rsidRPr="002516ED" w:rsidRDefault="00977AC0" w:rsidP="00A9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1" w:type="pct"/>
            <w:tcBorders>
              <w:top w:val="single" w:sz="8" w:space="0" w:color="C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61B3F" w14:textId="77777777" w:rsidR="00977AC0" w:rsidRPr="002516ED" w:rsidRDefault="00977AC0" w:rsidP="00A9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1" w:type="pct"/>
            <w:tcBorders>
              <w:top w:val="single" w:sz="8" w:space="0" w:color="C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01288" w14:textId="77777777" w:rsidR="00977AC0" w:rsidRPr="002516ED" w:rsidRDefault="00977AC0" w:rsidP="00A9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1" w:type="pct"/>
            <w:tcBorders>
              <w:top w:val="single" w:sz="8" w:space="0" w:color="C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3D2A9" w14:textId="77777777" w:rsidR="00977AC0" w:rsidRPr="002516ED" w:rsidRDefault="00977AC0" w:rsidP="00A9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86" w:type="pct"/>
            <w:tcBorders>
              <w:top w:val="single" w:sz="8" w:space="0" w:color="C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5C69" w14:textId="77777777" w:rsidR="00977AC0" w:rsidRPr="002516ED" w:rsidRDefault="00977AC0" w:rsidP="00A9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2EC26221" w14:textId="77777777" w:rsidR="00977AC0" w:rsidRDefault="00977AC0" w:rsidP="00977AC0">
      <w:pPr>
        <w:spacing w:before="60" w:after="0" w:line="240" w:lineRule="auto"/>
        <w:rPr>
          <w:i/>
          <w:sz w:val="17"/>
          <w:szCs w:val="17"/>
        </w:rPr>
      </w:pPr>
      <w:r w:rsidRPr="009564B4">
        <w:rPr>
          <w:i/>
          <w:sz w:val="17"/>
          <w:szCs w:val="17"/>
        </w:rPr>
        <w:t xml:space="preserve">Fonte: Elaborazioni </w:t>
      </w:r>
      <w:r>
        <w:rPr>
          <w:i/>
          <w:sz w:val="17"/>
          <w:szCs w:val="17"/>
        </w:rPr>
        <w:t xml:space="preserve">FNC </w:t>
      </w:r>
      <w:r w:rsidRPr="009564B4">
        <w:rPr>
          <w:i/>
          <w:sz w:val="17"/>
          <w:szCs w:val="17"/>
        </w:rPr>
        <w:t xml:space="preserve">su dati </w:t>
      </w:r>
      <w:r>
        <w:rPr>
          <w:i/>
          <w:sz w:val="17"/>
          <w:szCs w:val="17"/>
        </w:rPr>
        <w:t xml:space="preserve">IFEL </w:t>
      </w:r>
    </w:p>
    <w:p w14:paraId="723B472E" w14:textId="77777777" w:rsidR="00977AC0" w:rsidRPr="00AF1A84" w:rsidRDefault="00977AC0" w:rsidP="00977AC0">
      <w:pPr>
        <w:spacing w:after="120" w:line="240" w:lineRule="auto"/>
        <w:jc w:val="both"/>
        <w:rPr>
          <w:rFonts w:ascii="Arial" w:hAnsi="Arial" w:cs="Arial"/>
          <w:b/>
          <w:bCs/>
        </w:rPr>
      </w:pPr>
    </w:p>
    <w:p w14:paraId="67269C94" w14:textId="247BDC35" w:rsidR="00977AC0" w:rsidRDefault="00977AC0" w:rsidP="00271926">
      <w:pPr>
        <w:spacing w:after="0" w:line="240" w:lineRule="auto"/>
        <w:jc w:val="both"/>
        <w:rPr>
          <w:rFonts w:ascii="Arial" w:hAnsi="Arial" w:cs="Arial"/>
        </w:rPr>
      </w:pPr>
      <w:r w:rsidRPr="00271926">
        <w:rPr>
          <w:rFonts w:ascii="Arial" w:hAnsi="Arial" w:cs="Arial"/>
        </w:rPr>
        <w:t xml:space="preserve">Come per i predissesti, anche per questa fattispecie </w:t>
      </w:r>
      <w:r w:rsidRPr="00271926">
        <w:rPr>
          <w:rFonts w:ascii="Arial" w:hAnsi="Arial" w:cs="Arial"/>
          <w:b/>
          <w:bCs/>
        </w:rPr>
        <w:t>quasi il 45%</w:t>
      </w:r>
      <w:r w:rsidRPr="00271926">
        <w:rPr>
          <w:rFonts w:ascii="Arial" w:hAnsi="Arial" w:cs="Arial"/>
        </w:rPr>
        <w:t xml:space="preserve"> dei casi riguarda enti con popolazione </w:t>
      </w:r>
      <w:r w:rsidRPr="00271926">
        <w:rPr>
          <w:rFonts w:ascii="Arial" w:hAnsi="Arial" w:cs="Arial"/>
          <w:b/>
          <w:bCs/>
        </w:rPr>
        <w:t>inferiore a 5.000 abitanti</w:t>
      </w:r>
      <w:r w:rsidRPr="00271926">
        <w:rPr>
          <w:rFonts w:ascii="Arial" w:hAnsi="Arial" w:cs="Arial"/>
        </w:rPr>
        <w:t xml:space="preserve"> (e fra questi il 24% rappresentato enti con popolazione inferiore a 2.000 abitanti), mentre </w:t>
      </w:r>
      <w:r w:rsidRPr="00271926">
        <w:rPr>
          <w:rFonts w:ascii="Arial" w:hAnsi="Arial" w:cs="Arial"/>
          <w:b/>
          <w:bCs/>
        </w:rPr>
        <w:t>il 55 %</w:t>
      </w:r>
      <w:r w:rsidRPr="00271926">
        <w:rPr>
          <w:rFonts w:ascii="Arial" w:hAnsi="Arial" w:cs="Arial"/>
        </w:rPr>
        <w:t xml:space="preserve"> è raggruppato nelle classi con popolazione compresa tra </w:t>
      </w:r>
      <w:r w:rsidRPr="00271926">
        <w:rPr>
          <w:rFonts w:ascii="Arial" w:hAnsi="Arial" w:cs="Arial"/>
          <w:b/>
          <w:bCs/>
        </w:rPr>
        <w:t>i 5.000 e i 99.999 abitanti</w:t>
      </w:r>
      <w:r w:rsidRPr="00271926">
        <w:rPr>
          <w:rFonts w:ascii="Arial" w:hAnsi="Arial" w:cs="Arial"/>
        </w:rPr>
        <w:t xml:space="preserve">. Nei Comuni con popolazione superiore a </w:t>
      </w:r>
      <w:r w:rsidRPr="00271926">
        <w:rPr>
          <w:rFonts w:ascii="Arial" w:hAnsi="Arial" w:cs="Arial"/>
          <w:b/>
          <w:bCs/>
        </w:rPr>
        <w:t>100.000 abitanti</w:t>
      </w:r>
      <w:r w:rsidRPr="00271926">
        <w:rPr>
          <w:rFonts w:ascii="Arial" w:hAnsi="Arial" w:cs="Arial"/>
        </w:rPr>
        <w:t xml:space="preserve"> l’unico Comune capoluogo di provincia è </w:t>
      </w:r>
      <w:r w:rsidRPr="00271926">
        <w:rPr>
          <w:rFonts w:ascii="Arial" w:hAnsi="Arial" w:cs="Arial"/>
          <w:b/>
          <w:bCs/>
        </w:rPr>
        <w:t>Catania</w:t>
      </w:r>
      <w:r w:rsidRPr="00271926">
        <w:rPr>
          <w:rFonts w:ascii="Arial" w:hAnsi="Arial" w:cs="Arial"/>
        </w:rPr>
        <w:t>.</w:t>
      </w:r>
    </w:p>
    <w:p w14:paraId="3F21AB49" w14:textId="77777777" w:rsidR="00271926" w:rsidRPr="00271926" w:rsidRDefault="00271926" w:rsidP="00271926">
      <w:pPr>
        <w:spacing w:after="0" w:line="240" w:lineRule="auto"/>
        <w:jc w:val="both"/>
        <w:rPr>
          <w:rFonts w:ascii="Arial" w:hAnsi="Arial" w:cs="Arial"/>
        </w:rPr>
      </w:pPr>
    </w:p>
    <w:p w14:paraId="4F51D71F" w14:textId="77777777" w:rsidR="00977AC0" w:rsidRPr="00271926" w:rsidRDefault="00977AC0" w:rsidP="00271926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271926">
        <w:rPr>
          <w:rFonts w:ascii="Arial" w:hAnsi="Arial" w:cs="Arial"/>
          <w:b/>
          <w:bCs/>
        </w:rPr>
        <w:t>LE PROPOSTE DEI COMMERCIALISTI</w:t>
      </w:r>
    </w:p>
    <w:p w14:paraId="7952C3A8" w14:textId="77777777" w:rsidR="00271926" w:rsidRDefault="00271926" w:rsidP="00271926">
      <w:pPr>
        <w:spacing w:after="0" w:line="240" w:lineRule="auto"/>
        <w:jc w:val="both"/>
        <w:rPr>
          <w:rFonts w:ascii="Arial" w:hAnsi="Arial" w:cs="Arial"/>
        </w:rPr>
      </w:pPr>
    </w:p>
    <w:p w14:paraId="11B695AF" w14:textId="09B4D4C2" w:rsidR="00977AC0" w:rsidRPr="00271926" w:rsidRDefault="00977AC0" w:rsidP="00271926">
      <w:pPr>
        <w:spacing w:after="0" w:line="240" w:lineRule="auto"/>
        <w:jc w:val="both"/>
        <w:rPr>
          <w:rFonts w:ascii="Arial" w:hAnsi="Arial" w:cs="Arial"/>
        </w:rPr>
      </w:pPr>
      <w:r w:rsidRPr="00271926">
        <w:rPr>
          <w:rFonts w:ascii="Arial" w:hAnsi="Arial" w:cs="Arial"/>
        </w:rPr>
        <w:t xml:space="preserve">“Il quadro delineato da questa ricerca – afferma il presidente del Consiglio nazionale dei commercialisti, </w:t>
      </w:r>
      <w:r w:rsidRPr="00271926">
        <w:rPr>
          <w:rFonts w:ascii="Arial" w:hAnsi="Arial" w:cs="Arial"/>
          <w:b/>
          <w:bCs/>
        </w:rPr>
        <w:t>Elbano de Nuccio</w:t>
      </w:r>
      <w:r w:rsidRPr="00271926">
        <w:rPr>
          <w:rFonts w:ascii="Arial" w:hAnsi="Arial" w:cs="Arial"/>
        </w:rPr>
        <w:t xml:space="preserve"> </w:t>
      </w:r>
      <w:r w:rsidR="00AC2E48" w:rsidRPr="00271926">
        <w:rPr>
          <w:rFonts w:ascii="Arial" w:hAnsi="Arial" w:cs="Arial"/>
        </w:rPr>
        <w:t>–</w:t>
      </w:r>
      <w:r w:rsidRPr="00271926">
        <w:rPr>
          <w:rFonts w:ascii="Arial" w:hAnsi="Arial" w:cs="Arial"/>
        </w:rPr>
        <w:t xml:space="preserve"> mostra l’importanza strategica di individuare </w:t>
      </w:r>
      <w:r w:rsidRPr="00271926">
        <w:rPr>
          <w:rFonts w:ascii="Arial" w:hAnsi="Arial" w:cs="Arial"/>
          <w:b/>
          <w:bCs/>
        </w:rPr>
        <w:t>procedure operative</w:t>
      </w:r>
      <w:r w:rsidRPr="00271926">
        <w:rPr>
          <w:rFonts w:ascii="Arial" w:hAnsi="Arial" w:cs="Arial"/>
        </w:rPr>
        <w:t xml:space="preserve"> in grado di garantire la </w:t>
      </w:r>
      <w:r w:rsidRPr="00271926">
        <w:rPr>
          <w:rFonts w:ascii="Arial" w:hAnsi="Arial" w:cs="Arial"/>
          <w:b/>
          <w:bCs/>
        </w:rPr>
        <w:t>continuità</w:t>
      </w:r>
      <w:r w:rsidRPr="00271926">
        <w:rPr>
          <w:rFonts w:ascii="Arial" w:hAnsi="Arial" w:cs="Arial"/>
        </w:rPr>
        <w:t xml:space="preserve"> dell’attività dell’organizzazione o dell’ente. Urgenza che, nel caso dei </w:t>
      </w:r>
      <w:r w:rsidR="00FA687C" w:rsidRPr="00271926">
        <w:rPr>
          <w:rFonts w:ascii="Arial" w:hAnsi="Arial" w:cs="Arial"/>
        </w:rPr>
        <w:t>C</w:t>
      </w:r>
      <w:r w:rsidRPr="00271926">
        <w:rPr>
          <w:rFonts w:ascii="Arial" w:hAnsi="Arial" w:cs="Arial"/>
        </w:rPr>
        <w:t xml:space="preserve">omuni, è accresciuta dal fatto che il </w:t>
      </w:r>
      <w:r w:rsidRPr="00271926">
        <w:rPr>
          <w:rFonts w:ascii="Arial" w:hAnsi="Arial" w:cs="Arial"/>
          <w:b/>
          <w:bCs/>
        </w:rPr>
        <w:t>dissesto</w:t>
      </w:r>
      <w:r w:rsidRPr="00271926">
        <w:rPr>
          <w:rFonts w:ascii="Arial" w:hAnsi="Arial" w:cs="Arial"/>
        </w:rPr>
        <w:t>, oltre a ostacolare la ordinata estinzione dei debiti e</w:t>
      </w:r>
      <w:r w:rsidR="00FA687C" w:rsidRPr="00271926">
        <w:rPr>
          <w:rFonts w:ascii="Arial" w:hAnsi="Arial" w:cs="Arial"/>
        </w:rPr>
        <w:t>,</w:t>
      </w:r>
      <w:r w:rsidRPr="00271926">
        <w:rPr>
          <w:rFonts w:ascii="Arial" w:hAnsi="Arial" w:cs="Arial"/>
        </w:rPr>
        <w:t xml:space="preserve"> dunque</w:t>
      </w:r>
      <w:r w:rsidR="00FA687C" w:rsidRPr="00271926">
        <w:rPr>
          <w:rFonts w:ascii="Arial" w:hAnsi="Arial" w:cs="Arial"/>
        </w:rPr>
        <w:t>,</w:t>
      </w:r>
      <w:r w:rsidRPr="00271926">
        <w:rPr>
          <w:rFonts w:ascii="Arial" w:hAnsi="Arial" w:cs="Arial"/>
        </w:rPr>
        <w:t xml:space="preserve"> la salute economica dei fornitori a vario titolo, interrompe il </w:t>
      </w:r>
      <w:r w:rsidRPr="00271926">
        <w:rPr>
          <w:rFonts w:ascii="Arial" w:hAnsi="Arial" w:cs="Arial"/>
          <w:b/>
          <w:bCs/>
        </w:rPr>
        <w:t>funzionamento democratico</w:t>
      </w:r>
      <w:r w:rsidRPr="00271926">
        <w:rPr>
          <w:rFonts w:ascii="Arial" w:hAnsi="Arial" w:cs="Arial"/>
        </w:rPr>
        <w:t xml:space="preserve"> dell’ente locale e la continuità degli organi eletti”. </w:t>
      </w:r>
    </w:p>
    <w:p w14:paraId="78DF82C8" w14:textId="77777777" w:rsidR="00271926" w:rsidRDefault="00271926" w:rsidP="00271926">
      <w:pPr>
        <w:spacing w:after="0" w:line="240" w:lineRule="auto"/>
        <w:jc w:val="both"/>
        <w:rPr>
          <w:rFonts w:ascii="Arial" w:hAnsi="Arial" w:cs="Arial"/>
        </w:rPr>
      </w:pPr>
    </w:p>
    <w:p w14:paraId="249910C0" w14:textId="7728F22C" w:rsidR="00977AC0" w:rsidRPr="00271926" w:rsidRDefault="00977AC0" w:rsidP="00271926">
      <w:pPr>
        <w:spacing w:after="0" w:line="240" w:lineRule="auto"/>
        <w:jc w:val="both"/>
        <w:rPr>
          <w:rFonts w:ascii="Arial" w:hAnsi="Arial" w:cs="Arial"/>
        </w:rPr>
      </w:pPr>
      <w:r w:rsidRPr="00271926">
        <w:rPr>
          <w:rFonts w:ascii="Arial" w:hAnsi="Arial" w:cs="Arial"/>
        </w:rPr>
        <w:t xml:space="preserve">“È ormai nota – aggiunge </w:t>
      </w:r>
      <w:r w:rsidR="00FA687C" w:rsidRPr="00271926">
        <w:rPr>
          <w:rFonts w:ascii="Arial" w:hAnsi="Arial" w:cs="Arial"/>
        </w:rPr>
        <w:t>–</w:t>
      </w:r>
      <w:r w:rsidRPr="00271926">
        <w:rPr>
          <w:rFonts w:ascii="Arial" w:hAnsi="Arial" w:cs="Arial"/>
        </w:rPr>
        <w:t xml:space="preserve"> l’inadeguatezza a farvi fronte da parte delle regole attuali del </w:t>
      </w:r>
      <w:r w:rsidRPr="00271926">
        <w:rPr>
          <w:rFonts w:ascii="Arial" w:hAnsi="Arial" w:cs="Arial"/>
          <w:b/>
          <w:bCs/>
        </w:rPr>
        <w:t>predissesto</w:t>
      </w:r>
      <w:r w:rsidRPr="00271926">
        <w:rPr>
          <w:rFonts w:ascii="Arial" w:hAnsi="Arial" w:cs="Arial"/>
        </w:rPr>
        <w:t>: i vari interventi normativi che sono stati introdotti in maniera disomogenea negli ultimi anni hanno creato ancor più confusione in una materia che richiede un intervento armonico e strutturale necessario a porre rimedio a</w:t>
      </w:r>
      <w:r w:rsidR="00FA687C" w:rsidRPr="00271926">
        <w:rPr>
          <w:rFonts w:ascii="Arial" w:hAnsi="Arial" w:cs="Arial"/>
        </w:rPr>
        <w:t>d</w:t>
      </w:r>
      <w:r w:rsidRPr="00271926">
        <w:rPr>
          <w:rFonts w:ascii="Arial" w:hAnsi="Arial" w:cs="Arial"/>
        </w:rPr>
        <w:t xml:space="preserve"> un funzionamento imperfetto di tutta la catena di regole che dovrebbero </w:t>
      </w:r>
      <w:r w:rsidRPr="00271926">
        <w:rPr>
          <w:rFonts w:ascii="Arial" w:hAnsi="Arial" w:cs="Arial"/>
          <w:b/>
          <w:bCs/>
        </w:rPr>
        <w:t>prevenire il manifestarsi del default</w:t>
      </w:r>
      <w:r w:rsidRPr="00271926">
        <w:rPr>
          <w:rFonts w:ascii="Arial" w:hAnsi="Arial" w:cs="Arial"/>
        </w:rPr>
        <w:t xml:space="preserve">”. </w:t>
      </w:r>
    </w:p>
    <w:p w14:paraId="447563A2" w14:textId="77777777" w:rsidR="00271926" w:rsidRDefault="00271926" w:rsidP="00271926">
      <w:pPr>
        <w:spacing w:after="0" w:line="240" w:lineRule="auto"/>
        <w:jc w:val="both"/>
        <w:rPr>
          <w:rFonts w:ascii="Arial" w:hAnsi="Arial" w:cs="Arial"/>
        </w:rPr>
      </w:pPr>
    </w:p>
    <w:p w14:paraId="1F2455BE" w14:textId="31A93C27" w:rsidR="00977AC0" w:rsidRPr="00271926" w:rsidRDefault="00977AC0" w:rsidP="002719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1926">
        <w:rPr>
          <w:rFonts w:ascii="Arial" w:hAnsi="Arial" w:cs="Arial"/>
        </w:rPr>
        <w:lastRenderedPageBreak/>
        <w:t>In vista della possibile prossima pubblicazione dello schema di disegno di legge sulla revisione delle leggi sull’ordinamento degli enti locali, i commercialisti avanzano alcune proposte. Innanzitutto, quella di una r</w:t>
      </w:r>
      <w:r w:rsidRPr="00271926">
        <w:rPr>
          <w:rFonts w:ascii="Arial" w:hAnsi="Arial" w:cs="Arial"/>
          <w:b/>
          <w:bCs/>
        </w:rPr>
        <w:t xml:space="preserve">evisione dei parametri di </w:t>
      </w:r>
      <w:proofErr w:type="spellStart"/>
      <w:r w:rsidRPr="00271926">
        <w:rPr>
          <w:rFonts w:ascii="Arial" w:hAnsi="Arial" w:cs="Arial"/>
          <w:b/>
          <w:bCs/>
        </w:rPr>
        <w:t>deficitarietà</w:t>
      </w:r>
      <w:proofErr w:type="spellEnd"/>
      <w:r w:rsidRPr="00271926">
        <w:rPr>
          <w:rFonts w:ascii="Arial" w:hAnsi="Arial" w:cs="Arial"/>
          <w:b/>
          <w:bCs/>
        </w:rPr>
        <w:t xml:space="preserve"> e degli istituti </w:t>
      </w:r>
      <w:r w:rsidRPr="00271926">
        <w:rPr>
          <w:rFonts w:ascii="Arial" w:hAnsi="Arial" w:cs="Arial"/>
        </w:rPr>
        <w:t xml:space="preserve">attraverso l’individuazione di </w:t>
      </w:r>
      <w:r w:rsidRPr="00271926">
        <w:rPr>
          <w:rFonts w:ascii="Arial" w:hAnsi="Arial" w:cs="Arial"/>
          <w:b/>
          <w:bCs/>
        </w:rPr>
        <w:t>indicatori più stringenti</w:t>
      </w:r>
      <w:r w:rsidRPr="00271926">
        <w:rPr>
          <w:rFonts w:ascii="Arial" w:hAnsi="Arial" w:cs="Arial"/>
        </w:rPr>
        <w:t xml:space="preserve"> in grado di far </w:t>
      </w:r>
      <w:r w:rsidRPr="00271926">
        <w:rPr>
          <w:rFonts w:ascii="Arial" w:hAnsi="Arial" w:cs="Arial"/>
          <w:b/>
          <w:bCs/>
        </w:rPr>
        <w:t xml:space="preserve">emergere tempestivamente </w:t>
      </w:r>
      <w:r w:rsidRPr="00271926">
        <w:rPr>
          <w:rFonts w:ascii="Arial" w:hAnsi="Arial" w:cs="Arial"/>
        </w:rPr>
        <w:t xml:space="preserve">situazioni di </w:t>
      </w:r>
      <w:r w:rsidRPr="00271926">
        <w:rPr>
          <w:rFonts w:ascii="Arial" w:hAnsi="Arial" w:cs="Arial"/>
          <w:b/>
          <w:bCs/>
        </w:rPr>
        <w:t xml:space="preserve">squilibrio </w:t>
      </w:r>
      <w:r w:rsidRPr="00271926">
        <w:rPr>
          <w:rFonts w:ascii="Arial" w:hAnsi="Arial" w:cs="Arial"/>
        </w:rPr>
        <w:t xml:space="preserve">e di rispondere alla loro funzione di </w:t>
      </w:r>
      <w:r w:rsidRPr="00271926">
        <w:rPr>
          <w:rFonts w:ascii="Arial" w:hAnsi="Arial" w:cs="Arial"/>
          <w:b/>
          <w:bCs/>
        </w:rPr>
        <w:t>allarme preventivo</w:t>
      </w:r>
      <w:r w:rsidRPr="00271926">
        <w:rPr>
          <w:rFonts w:ascii="Arial" w:hAnsi="Arial" w:cs="Arial"/>
        </w:rPr>
        <w:t xml:space="preserve"> sulla situazione contabile degli enti. I professionisti propongono anche l’introduzione di un </w:t>
      </w:r>
      <w:r w:rsidRPr="00271926">
        <w:rPr>
          <w:rFonts w:ascii="Arial" w:hAnsi="Arial" w:cs="Arial"/>
          <w:b/>
          <w:bCs/>
        </w:rPr>
        <w:t xml:space="preserve">“rating della salute finanziaria” </w:t>
      </w:r>
      <w:r w:rsidRPr="00271926">
        <w:rPr>
          <w:rFonts w:ascii="Arial" w:hAnsi="Arial" w:cs="Arial"/>
        </w:rPr>
        <w:t>e un</w:t>
      </w:r>
      <w:r w:rsidRPr="00271926">
        <w:rPr>
          <w:rFonts w:ascii="Arial" w:hAnsi="Arial" w:cs="Arial"/>
          <w:b/>
          <w:bCs/>
        </w:rPr>
        <w:t xml:space="preserve"> rafforzamento dei controlli </w:t>
      </w:r>
      <w:r w:rsidRPr="00271926">
        <w:rPr>
          <w:rFonts w:ascii="Arial" w:hAnsi="Arial" w:cs="Arial"/>
        </w:rPr>
        <w:t xml:space="preserve">nei </w:t>
      </w:r>
      <w:r w:rsidR="00FA687C" w:rsidRPr="00271926">
        <w:rPr>
          <w:rFonts w:ascii="Arial" w:hAnsi="Arial" w:cs="Arial"/>
        </w:rPr>
        <w:t>C</w:t>
      </w:r>
      <w:r w:rsidRPr="00271926">
        <w:rPr>
          <w:rFonts w:ascii="Arial" w:hAnsi="Arial" w:cs="Arial"/>
        </w:rPr>
        <w:t>omuni con meno di</w:t>
      </w:r>
      <w:r w:rsidRPr="00271926">
        <w:rPr>
          <w:rFonts w:ascii="Arial" w:hAnsi="Arial" w:cs="Arial"/>
          <w:b/>
          <w:bCs/>
        </w:rPr>
        <w:t xml:space="preserve"> 15.000 abitanti, </w:t>
      </w:r>
      <w:r w:rsidRPr="00271926">
        <w:rPr>
          <w:rFonts w:ascii="Arial" w:hAnsi="Arial" w:cs="Arial"/>
        </w:rPr>
        <w:t>ampliando il numero di enti per i quali l’</w:t>
      </w:r>
      <w:r w:rsidRPr="00271926">
        <w:rPr>
          <w:rFonts w:ascii="Arial" w:hAnsi="Arial" w:cs="Arial"/>
          <w:b/>
          <w:bCs/>
        </w:rPr>
        <w:t xml:space="preserve">organo di revisione </w:t>
      </w:r>
      <w:r w:rsidRPr="00271926">
        <w:rPr>
          <w:rFonts w:ascii="Arial" w:hAnsi="Arial" w:cs="Arial"/>
        </w:rPr>
        <w:t xml:space="preserve">deve essere previsto in </w:t>
      </w:r>
      <w:r w:rsidRPr="00271926">
        <w:rPr>
          <w:rFonts w:ascii="Arial" w:hAnsi="Arial" w:cs="Arial"/>
          <w:b/>
          <w:bCs/>
        </w:rPr>
        <w:t>forma collegiale</w:t>
      </w:r>
      <w:r w:rsidRPr="00271926">
        <w:rPr>
          <w:rFonts w:ascii="Arial" w:hAnsi="Arial" w:cs="Arial"/>
        </w:rPr>
        <w:t xml:space="preserve"> in base alla soglia demografica”.</w:t>
      </w:r>
    </w:p>
    <w:p w14:paraId="554B39F9" w14:textId="65466018" w:rsidR="00977AC0" w:rsidRPr="00271926" w:rsidRDefault="00977AC0" w:rsidP="00271926">
      <w:pPr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14:paraId="6E0E933F" w14:textId="77777777" w:rsidR="00977AC0" w:rsidRPr="00271926" w:rsidRDefault="00977AC0" w:rsidP="00271926">
      <w:pPr>
        <w:spacing w:after="0" w:line="240" w:lineRule="auto"/>
        <w:rPr>
          <w:rFonts w:ascii="Arial" w:hAnsi="Arial" w:cs="Arial"/>
          <w:sz w:val="23"/>
          <w:szCs w:val="23"/>
        </w:rPr>
      </w:pPr>
    </w:p>
    <w:sectPr w:rsidR="00977AC0" w:rsidRPr="00271926" w:rsidSect="00977AC0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709D71" w14:textId="77777777" w:rsidR="005E1786" w:rsidRDefault="005E1786">
      <w:pPr>
        <w:spacing w:after="0" w:line="240" w:lineRule="auto"/>
      </w:pPr>
      <w:r>
        <w:separator/>
      </w:r>
    </w:p>
  </w:endnote>
  <w:endnote w:type="continuationSeparator" w:id="0">
    <w:p w14:paraId="2B619367" w14:textId="77777777" w:rsidR="005E1786" w:rsidRDefault="005E1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48482B" w14:textId="77777777" w:rsidR="005E1786" w:rsidRDefault="005E1786">
      <w:pPr>
        <w:spacing w:after="0" w:line="240" w:lineRule="auto"/>
      </w:pPr>
      <w:r>
        <w:separator/>
      </w:r>
    </w:p>
  </w:footnote>
  <w:footnote w:type="continuationSeparator" w:id="0">
    <w:p w14:paraId="35A79005" w14:textId="77777777" w:rsidR="005E1786" w:rsidRDefault="005E1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FBF52D" w14:textId="77777777" w:rsidR="00F963B2" w:rsidRDefault="00000000" w:rsidP="002529AE">
    <w:pPr>
      <w:pStyle w:val="Intestazione"/>
      <w:jc w:val="center"/>
    </w:pPr>
    <w:r>
      <w:rPr>
        <w:noProof/>
      </w:rPr>
      <w:drawing>
        <wp:inline distT="0" distB="0" distL="0" distR="0" wp14:anchorId="7676C39E" wp14:editId="453B735E">
          <wp:extent cx="2314575" cy="786130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CNDCEC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AC0"/>
    <w:rsid w:val="00271926"/>
    <w:rsid w:val="0043660B"/>
    <w:rsid w:val="005E1786"/>
    <w:rsid w:val="006E0E5E"/>
    <w:rsid w:val="00885CFB"/>
    <w:rsid w:val="00977AC0"/>
    <w:rsid w:val="00AC2E48"/>
    <w:rsid w:val="00AD6286"/>
    <w:rsid w:val="00CC7C37"/>
    <w:rsid w:val="00F963B2"/>
    <w:rsid w:val="00FA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67F35"/>
  <w15:chartTrackingRefBased/>
  <w15:docId w15:val="{CFAC08D7-0D9F-485B-91CC-5947FF0B4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7AC0"/>
    <w:pPr>
      <w:spacing w:line="259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77AC0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77AC0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77AC0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77AC0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77AC0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77AC0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77AC0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77AC0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77AC0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77AC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77AC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77AC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77AC0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77AC0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77AC0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77AC0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77AC0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77AC0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977AC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77A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77AC0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77AC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977AC0"/>
    <w:pPr>
      <w:spacing w:before="160" w:line="278" w:lineRule="auto"/>
      <w:jc w:val="center"/>
    </w:pPr>
    <w:rPr>
      <w:i/>
      <w:iCs/>
      <w:color w:val="404040" w:themeColor="text1" w:themeTint="BF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77AC0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977AC0"/>
    <w:pPr>
      <w:spacing w:line="278" w:lineRule="auto"/>
      <w:ind w:left="720"/>
      <w:contextualSpacing/>
    </w:pPr>
    <w:rPr>
      <w:sz w:val="24"/>
      <w:szCs w:val="24"/>
    </w:rPr>
  </w:style>
  <w:style w:type="character" w:styleId="Enfasiintensa">
    <w:name w:val="Intense Emphasis"/>
    <w:basedOn w:val="Carpredefinitoparagrafo"/>
    <w:uiPriority w:val="21"/>
    <w:qFormat/>
    <w:rsid w:val="00977AC0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77AC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77AC0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977AC0"/>
    <w:rPr>
      <w:b/>
      <w:bCs/>
      <w:smallCaps/>
      <w:color w:val="0F4761" w:themeColor="accent1" w:themeShade="BF"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977A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7AC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8</cp:revision>
  <dcterms:created xsi:type="dcterms:W3CDTF">2024-06-14T08:42:00Z</dcterms:created>
  <dcterms:modified xsi:type="dcterms:W3CDTF">2024-06-14T09:00:00Z</dcterms:modified>
</cp:coreProperties>
</file>