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620C9" w14:textId="77777777" w:rsidR="004B1B08" w:rsidRPr="00C175FF" w:rsidRDefault="004B1B08" w:rsidP="00C175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780FB2" w14:textId="50EC7108" w:rsidR="00D20531" w:rsidRPr="00B93141" w:rsidRDefault="00B93141" w:rsidP="00B93141">
      <w:pPr>
        <w:pStyle w:val="NormaleWeb"/>
        <w:jc w:val="center"/>
        <w:rPr>
          <w:rFonts w:ascii="Arial" w:hAnsi="Arial" w:cs="Arial"/>
          <w:b/>
          <w:bCs/>
          <w:color w:val="000000"/>
          <w:u w:val="single"/>
        </w:rPr>
      </w:pPr>
      <w:r w:rsidRPr="00B93141"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2422E389" w14:textId="545AFC8D" w:rsidR="00806A13" w:rsidRPr="00C72A4B" w:rsidRDefault="00C72A4B" w:rsidP="00C72A4B">
      <w:pPr>
        <w:pStyle w:val="NormaleWeb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FOCUS SUI </w:t>
      </w:r>
      <w:r w:rsidR="00806A13" w:rsidRPr="00C72A4B">
        <w:rPr>
          <w:rFonts w:ascii="Arial" w:hAnsi="Arial" w:cs="Arial"/>
          <w:b/>
          <w:bCs/>
          <w:color w:val="000000"/>
        </w:rPr>
        <w:t>TRUST</w:t>
      </w:r>
      <w:r>
        <w:rPr>
          <w:rFonts w:ascii="Arial" w:hAnsi="Arial" w:cs="Arial"/>
          <w:b/>
          <w:bCs/>
          <w:color w:val="000000"/>
        </w:rPr>
        <w:t xml:space="preserve"> ISTITUITI PRIMA DELLA CIRCOLARE 34/E 2022</w:t>
      </w:r>
    </w:p>
    <w:p w14:paraId="3A45E48C" w14:textId="722EB246" w:rsidR="00806A13" w:rsidRPr="00C72A4B" w:rsidRDefault="00C72A4B" w:rsidP="00C72A4B">
      <w:pPr>
        <w:pStyle w:val="NormaleWeb"/>
        <w:jc w:val="center"/>
        <w:rPr>
          <w:rFonts w:ascii="Arial" w:hAnsi="Arial" w:cs="Arial"/>
          <w:b/>
          <w:bCs/>
          <w:color w:val="000000"/>
        </w:rPr>
      </w:pPr>
      <w:r w:rsidRPr="00C72A4B">
        <w:rPr>
          <w:rFonts w:ascii="Arial" w:hAnsi="Arial" w:cs="Arial"/>
          <w:b/>
          <w:bCs/>
          <w:color w:val="000000"/>
        </w:rPr>
        <w:t xml:space="preserve">Documento </w:t>
      </w:r>
      <w:r w:rsidR="00DE49CC">
        <w:rPr>
          <w:rFonts w:ascii="Arial" w:hAnsi="Arial" w:cs="Arial"/>
          <w:b/>
          <w:bCs/>
          <w:color w:val="000000"/>
        </w:rPr>
        <w:t xml:space="preserve">dei commercialisti </w:t>
      </w:r>
      <w:r w:rsidR="00806A13" w:rsidRPr="00C72A4B">
        <w:rPr>
          <w:rFonts w:ascii="Arial" w:hAnsi="Arial" w:cs="Arial"/>
          <w:b/>
          <w:bCs/>
          <w:color w:val="000000"/>
        </w:rPr>
        <w:t>su</w:t>
      </w:r>
      <w:r w:rsidRPr="00C72A4B">
        <w:rPr>
          <w:rFonts w:ascii="Arial" w:hAnsi="Arial" w:cs="Arial"/>
          <w:b/>
          <w:bCs/>
          <w:color w:val="000000"/>
        </w:rPr>
        <w:t>lle problematiche relative ai trust</w:t>
      </w:r>
      <w:r w:rsidRPr="00C72A4B">
        <w:rPr>
          <w:rFonts w:ascii="Arial" w:hAnsi="Arial" w:cs="Arial"/>
          <w:b/>
          <w:bCs/>
        </w:rPr>
        <w:t xml:space="preserve"> le cui dotazioni patrimoniali sono state perfezionate anteriormente all’emanazione della circolare</w:t>
      </w:r>
    </w:p>
    <w:p w14:paraId="240A77D6" w14:textId="7F97EBC0" w:rsidR="00D20531" w:rsidRPr="00D20531" w:rsidRDefault="00806A13" w:rsidP="00D20531">
      <w:pPr>
        <w:pStyle w:val="NormaleWeb"/>
        <w:jc w:val="both"/>
        <w:rPr>
          <w:rFonts w:ascii="Arial" w:hAnsi="Arial" w:cs="Arial"/>
        </w:rPr>
      </w:pPr>
      <w:r w:rsidRPr="00806A13">
        <w:rPr>
          <w:rFonts w:ascii="Arial" w:hAnsi="Arial" w:cs="Arial"/>
          <w:i/>
          <w:iCs/>
          <w:color w:val="000000"/>
        </w:rPr>
        <w:t xml:space="preserve">Roma, </w:t>
      </w:r>
      <w:r w:rsidR="00B44B6F">
        <w:rPr>
          <w:rFonts w:ascii="Arial" w:hAnsi="Arial" w:cs="Arial"/>
          <w:i/>
          <w:iCs/>
          <w:color w:val="000000"/>
        </w:rPr>
        <w:t>6</w:t>
      </w:r>
      <w:r w:rsidRPr="00806A13">
        <w:rPr>
          <w:rFonts w:ascii="Arial" w:hAnsi="Arial" w:cs="Arial"/>
          <w:i/>
          <w:iCs/>
          <w:color w:val="000000"/>
        </w:rPr>
        <w:t xml:space="preserve"> giugno 2024 -</w:t>
      </w:r>
      <w:r>
        <w:rPr>
          <w:rFonts w:ascii="Arial" w:hAnsi="Arial" w:cs="Arial"/>
          <w:color w:val="000000"/>
        </w:rPr>
        <w:t xml:space="preserve"> </w:t>
      </w:r>
      <w:r w:rsidR="00D20531">
        <w:rPr>
          <w:rFonts w:ascii="Arial" w:hAnsi="Arial" w:cs="Arial"/>
          <w:color w:val="000000"/>
        </w:rPr>
        <w:t>“I</w:t>
      </w:r>
      <w:r w:rsidR="00D20531" w:rsidRPr="00D20531">
        <w:rPr>
          <w:rFonts w:ascii="Arial" w:hAnsi="Arial" w:cs="Arial"/>
          <w:color w:val="000000"/>
        </w:rPr>
        <w:t xml:space="preserve"> trust istituiti prima della </w:t>
      </w:r>
      <w:r w:rsidR="00D20531" w:rsidRPr="00806A13">
        <w:rPr>
          <w:rFonts w:ascii="Arial" w:hAnsi="Arial" w:cs="Arial"/>
          <w:b/>
          <w:bCs/>
          <w:color w:val="000000"/>
        </w:rPr>
        <w:t>circolare n. 34/e del 2022</w:t>
      </w:r>
      <w:r w:rsidR="00D20531" w:rsidRPr="00D20531">
        <w:rPr>
          <w:rFonts w:ascii="Arial" w:hAnsi="Arial" w:cs="Arial"/>
          <w:color w:val="000000"/>
        </w:rPr>
        <w:t xml:space="preserve"> tra tassazione “in entrata”, tassazione “in uscita” e tutela dell’affidamento del contribuente</w:t>
      </w:r>
      <w:r w:rsidR="00D20531">
        <w:rPr>
          <w:rFonts w:ascii="Arial" w:hAnsi="Arial" w:cs="Arial"/>
          <w:color w:val="000000"/>
        </w:rPr>
        <w:t>” è il titolo del documento pubblicato oggi da Consiglio e Fondazionale nazionali dei commercialisti</w:t>
      </w:r>
      <w:r>
        <w:rPr>
          <w:rFonts w:ascii="Arial" w:hAnsi="Arial" w:cs="Arial"/>
          <w:color w:val="000000"/>
        </w:rPr>
        <w:t xml:space="preserve">, che si </w:t>
      </w:r>
      <w:r w:rsidR="00D20531" w:rsidRPr="00D20531">
        <w:rPr>
          <w:rFonts w:ascii="Arial" w:hAnsi="Arial" w:cs="Arial"/>
        </w:rPr>
        <w:t xml:space="preserve"> si propone di esaminare, con taglio operativo, le principali tematiche inerenti ai trust le cui </w:t>
      </w:r>
      <w:r w:rsidR="00D20531" w:rsidRPr="00806A13">
        <w:rPr>
          <w:rFonts w:ascii="Arial" w:hAnsi="Arial" w:cs="Arial"/>
          <w:b/>
          <w:bCs/>
        </w:rPr>
        <w:t>dotazioni patrimoniali</w:t>
      </w:r>
      <w:r w:rsidR="00D20531" w:rsidRPr="00D20531">
        <w:rPr>
          <w:rFonts w:ascii="Arial" w:hAnsi="Arial" w:cs="Arial"/>
        </w:rPr>
        <w:t xml:space="preserve"> sono state perfezionate anteriormente all’emanazione della circolare dell’Agenzia delle entrate.</w:t>
      </w:r>
    </w:p>
    <w:p w14:paraId="40A413D9" w14:textId="2FBFE388" w:rsidR="00D20531" w:rsidRPr="00D20531" w:rsidRDefault="00D20531" w:rsidP="00D205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0531">
        <w:rPr>
          <w:rFonts w:ascii="Arial" w:hAnsi="Arial" w:cs="Arial"/>
          <w:sz w:val="24"/>
          <w:szCs w:val="24"/>
        </w:rPr>
        <w:t xml:space="preserve">La Circolare, aderendo ad un ormai consolidato orientamento della </w:t>
      </w:r>
      <w:r w:rsidRPr="00806A13">
        <w:rPr>
          <w:rFonts w:ascii="Arial" w:hAnsi="Arial" w:cs="Arial"/>
          <w:b/>
          <w:bCs/>
          <w:sz w:val="24"/>
          <w:szCs w:val="24"/>
        </w:rPr>
        <w:t>Corte di cassazione</w:t>
      </w:r>
      <w:r w:rsidRPr="00D20531">
        <w:rPr>
          <w:rFonts w:ascii="Arial" w:hAnsi="Arial" w:cs="Arial"/>
          <w:sz w:val="24"/>
          <w:szCs w:val="24"/>
        </w:rPr>
        <w:t xml:space="preserve">, secondo il quale è </w:t>
      </w:r>
      <w:r w:rsidRPr="00806A13">
        <w:rPr>
          <w:rFonts w:ascii="Arial" w:hAnsi="Arial" w:cs="Arial"/>
          <w:b/>
          <w:bCs/>
          <w:sz w:val="24"/>
          <w:szCs w:val="24"/>
        </w:rPr>
        <w:t>rilevante</w:t>
      </w:r>
      <w:r w:rsidRPr="00D20531">
        <w:rPr>
          <w:rFonts w:ascii="Arial" w:hAnsi="Arial" w:cs="Arial"/>
          <w:sz w:val="24"/>
          <w:szCs w:val="24"/>
        </w:rPr>
        <w:t xml:space="preserve">, ai fini dell’applicazione delle imposte sulle successioni e donazioni di cui al d.lgs. n. 346 del 1990, il solo </w:t>
      </w:r>
      <w:r w:rsidRPr="00806A13">
        <w:rPr>
          <w:rFonts w:ascii="Arial" w:hAnsi="Arial" w:cs="Arial"/>
          <w:b/>
          <w:bCs/>
          <w:sz w:val="24"/>
          <w:szCs w:val="24"/>
        </w:rPr>
        <w:t>trasferimento stabile e definitivo</w:t>
      </w:r>
      <w:r w:rsidRPr="00D20531">
        <w:rPr>
          <w:rFonts w:ascii="Arial" w:hAnsi="Arial" w:cs="Arial"/>
          <w:sz w:val="24"/>
          <w:szCs w:val="24"/>
        </w:rPr>
        <w:t xml:space="preserve"> dei beni in trust a favore dei beneficiari, ha rovesciato la precedente impostazione dell’Amministrazione finanziaria che prevedeva l’applicazione delle imposte di successione e donazione all’atto della destinazione dei beni in trust, aderendo al diverso schema di tassazione al momento del trasferimento dei beni in trust ai beneficiari del medesimo.</w:t>
      </w:r>
    </w:p>
    <w:p w14:paraId="489A7032" w14:textId="21284C4A" w:rsidR="00D20531" w:rsidRPr="00D20531" w:rsidRDefault="00D20531" w:rsidP="00D205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20531">
        <w:rPr>
          <w:rFonts w:ascii="Arial" w:hAnsi="Arial" w:cs="Arial"/>
          <w:sz w:val="24"/>
          <w:szCs w:val="24"/>
        </w:rPr>
        <w:t xml:space="preserve">Il passaggio dalla regola di tassazione “in entrata” a quella “in uscita” </w:t>
      </w:r>
      <w:r>
        <w:rPr>
          <w:rFonts w:ascii="Arial" w:hAnsi="Arial" w:cs="Arial"/>
          <w:sz w:val="24"/>
          <w:szCs w:val="24"/>
        </w:rPr>
        <w:t xml:space="preserve">– scrivono i commercialisti nella prefazione - </w:t>
      </w:r>
      <w:r w:rsidRPr="00D20531">
        <w:rPr>
          <w:rFonts w:ascii="Arial" w:hAnsi="Arial" w:cs="Arial"/>
          <w:sz w:val="24"/>
          <w:szCs w:val="24"/>
        </w:rPr>
        <w:t xml:space="preserve">pone la necessità di risolvere una </w:t>
      </w:r>
      <w:r w:rsidRPr="00C72A4B">
        <w:rPr>
          <w:rFonts w:ascii="Arial" w:hAnsi="Arial" w:cs="Arial"/>
          <w:b/>
          <w:bCs/>
          <w:sz w:val="24"/>
          <w:szCs w:val="24"/>
        </w:rPr>
        <w:t>serie di problemi di coordinamento intertemporale</w:t>
      </w:r>
      <w:r w:rsidRPr="00D20531">
        <w:rPr>
          <w:rFonts w:ascii="Arial" w:hAnsi="Arial" w:cs="Arial"/>
          <w:sz w:val="24"/>
          <w:szCs w:val="24"/>
        </w:rPr>
        <w:t xml:space="preserve"> con riferimento ai trust le cui dotazioni patrimoniali si sono (almeno in parte) perfezionate in costanza del precedente orientamento manifestato dalla prassi amministrativa. Ciò in quanto le vicende che riguardano i trust si sviluppano nel corso del tempo e non esauriscono i loro effetti istantaneamente</w:t>
      </w:r>
      <w:r>
        <w:rPr>
          <w:rFonts w:ascii="Arial" w:hAnsi="Arial" w:cs="Arial"/>
          <w:sz w:val="24"/>
          <w:szCs w:val="24"/>
        </w:rPr>
        <w:t>”</w:t>
      </w:r>
      <w:r w:rsidRPr="00D20531">
        <w:rPr>
          <w:rFonts w:ascii="Arial" w:hAnsi="Arial" w:cs="Arial"/>
          <w:sz w:val="24"/>
          <w:szCs w:val="24"/>
        </w:rPr>
        <w:t>.</w:t>
      </w:r>
    </w:p>
    <w:p w14:paraId="67CF11E4" w14:textId="4813A5EA" w:rsidR="00D20531" w:rsidRPr="00C72A4B" w:rsidRDefault="00D20531" w:rsidP="00D205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72A4B">
        <w:rPr>
          <w:rFonts w:ascii="Arial" w:hAnsi="Arial" w:cs="Arial"/>
          <w:sz w:val="24"/>
          <w:szCs w:val="24"/>
        </w:rPr>
        <w:t>Il document</w:t>
      </w:r>
      <w:r w:rsidR="00806A13" w:rsidRPr="00C72A4B">
        <w:rPr>
          <w:rFonts w:ascii="Arial" w:hAnsi="Arial" w:cs="Arial"/>
          <w:sz w:val="24"/>
          <w:szCs w:val="24"/>
        </w:rPr>
        <w:t xml:space="preserve">o, predisposto </w:t>
      </w:r>
      <w:r w:rsidRPr="00C72A4B">
        <w:rPr>
          <w:rFonts w:ascii="Arial" w:hAnsi="Arial" w:cs="Arial"/>
          <w:sz w:val="24"/>
          <w:szCs w:val="24"/>
        </w:rPr>
        <w:t xml:space="preserve">dalla Commissione </w:t>
      </w:r>
      <w:r w:rsidR="00806A13" w:rsidRPr="00C72A4B">
        <w:rPr>
          <w:rFonts w:ascii="Arial" w:hAnsi="Arial" w:cs="Arial"/>
          <w:sz w:val="24"/>
          <w:szCs w:val="24"/>
        </w:rPr>
        <w:t>“</w:t>
      </w:r>
      <w:r w:rsidR="00806A13" w:rsidRPr="00C72A4B">
        <w:rPr>
          <w:rFonts w:ascii="Arial" w:hAnsi="Arial" w:cs="Arial"/>
          <w:color w:val="000000"/>
          <w:sz w:val="24"/>
          <w:szCs w:val="24"/>
        </w:rPr>
        <w:t xml:space="preserve">Fiscalità del trust e norme di comportamento tributario per il trustee”, presieduta da </w:t>
      </w:r>
      <w:r w:rsidR="00806A13" w:rsidRPr="00C72A4B">
        <w:rPr>
          <w:rFonts w:ascii="Arial" w:hAnsi="Arial" w:cs="Arial"/>
          <w:b/>
          <w:bCs/>
          <w:color w:val="000000"/>
          <w:sz w:val="24"/>
          <w:szCs w:val="24"/>
        </w:rPr>
        <w:t>Roberto D’Imperio</w:t>
      </w:r>
      <w:r w:rsidR="00806A13" w:rsidRPr="00C72A4B">
        <w:rPr>
          <w:rFonts w:ascii="Arial" w:hAnsi="Arial" w:cs="Arial"/>
          <w:color w:val="000000"/>
          <w:sz w:val="24"/>
          <w:szCs w:val="24"/>
        </w:rPr>
        <w:t xml:space="preserve"> e operante nell’area fiscalità alla quale è delegato il Consigliere nazionale tesoriere </w:t>
      </w:r>
      <w:r w:rsidR="00806A13" w:rsidRPr="00C72A4B">
        <w:rPr>
          <w:rFonts w:ascii="Arial" w:hAnsi="Arial" w:cs="Arial"/>
          <w:b/>
          <w:bCs/>
          <w:color w:val="000000"/>
          <w:sz w:val="24"/>
          <w:szCs w:val="24"/>
        </w:rPr>
        <w:t xml:space="preserve">Salvatore </w:t>
      </w:r>
      <w:r w:rsidR="00C72A4B" w:rsidRPr="00C72A4B">
        <w:rPr>
          <w:rFonts w:ascii="Arial" w:hAnsi="Arial" w:cs="Arial"/>
          <w:b/>
          <w:bCs/>
          <w:color w:val="000000"/>
          <w:sz w:val="24"/>
          <w:szCs w:val="24"/>
        </w:rPr>
        <w:t>Regalbuto</w:t>
      </w:r>
      <w:r w:rsidR="00C72A4B" w:rsidRPr="00C72A4B">
        <w:rPr>
          <w:rFonts w:ascii="Arial" w:hAnsi="Arial" w:cs="Arial"/>
          <w:color w:val="000000"/>
          <w:sz w:val="24"/>
          <w:szCs w:val="24"/>
        </w:rPr>
        <w:t>, prende</w:t>
      </w:r>
      <w:r w:rsidRPr="00C72A4B">
        <w:rPr>
          <w:rFonts w:ascii="Arial" w:hAnsi="Arial" w:cs="Arial"/>
          <w:sz w:val="24"/>
          <w:szCs w:val="24"/>
        </w:rPr>
        <w:t xml:space="preserve"> in considerazione le fattispecie che potrebbero presentarsi con maggiore frequenza e propone delle </w:t>
      </w:r>
      <w:r w:rsidRPr="00C72A4B">
        <w:rPr>
          <w:rFonts w:ascii="Arial" w:hAnsi="Arial" w:cs="Arial"/>
          <w:b/>
          <w:bCs/>
          <w:sz w:val="24"/>
          <w:szCs w:val="24"/>
        </w:rPr>
        <w:t>linee interpretative</w:t>
      </w:r>
      <w:r w:rsidRPr="00C72A4B">
        <w:rPr>
          <w:rFonts w:ascii="Arial" w:hAnsi="Arial" w:cs="Arial"/>
          <w:sz w:val="24"/>
          <w:szCs w:val="24"/>
        </w:rPr>
        <w:t xml:space="preserve"> da impiegare per altre casistiche che potrebbero sorgere nella pratica.</w:t>
      </w:r>
    </w:p>
    <w:p w14:paraId="1E237905" w14:textId="77777777" w:rsidR="00520625" w:rsidRDefault="00520625" w:rsidP="00561A59">
      <w:p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  <w14:ligatures w14:val="none"/>
        </w:rPr>
      </w:pPr>
    </w:p>
    <w:sectPr w:rsidR="0052062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1D793" w14:textId="77777777" w:rsidR="00126F39" w:rsidRDefault="00126F39" w:rsidP="002529AE">
      <w:pPr>
        <w:spacing w:after="0" w:line="240" w:lineRule="auto"/>
      </w:pPr>
      <w:r>
        <w:separator/>
      </w:r>
    </w:p>
  </w:endnote>
  <w:endnote w:type="continuationSeparator" w:id="0">
    <w:p w14:paraId="471C026F" w14:textId="77777777" w:rsidR="00126F39" w:rsidRDefault="00126F39" w:rsidP="0025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7AA04" w14:textId="77777777" w:rsidR="00126F39" w:rsidRDefault="00126F39" w:rsidP="002529AE">
      <w:pPr>
        <w:spacing w:after="0" w:line="240" w:lineRule="auto"/>
      </w:pPr>
      <w:r>
        <w:separator/>
      </w:r>
    </w:p>
  </w:footnote>
  <w:footnote w:type="continuationSeparator" w:id="0">
    <w:p w14:paraId="22C7540F" w14:textId="77777777" w:rsidR="00126F39" w:rsidRDefault="00126F39" w:rsidP="0025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7D05D" w14:textId="1D394E81" w:rsidR="002529AE" w:rsidRDefault="004B1B08" w:rsidP="002529AE">
    <w:pPr>
      <w:pStyle w:val="Intestazione"/>
      <w:jc w:val="center"/>
    </w:pPr>
    <w:r>
      <w:rPr>
        <w:noProof/>
      </w:rPr>
      <w:drawing>
        <wp:inline distT="0" distB="0" distL="0" distR="0" wp14:anchorId="3A85769E" wp14:editId="2D245761">
          <wp:extent cx="2314575" cy="78613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550708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E"/>
    <w:rsid w:val="00014440"/>
    <w:rsid w:val="00020733"/>
    <w:rsid w:val="00023E2E"/>
    <w:rsid w:val="001239B8"/>
    <w:rsid w:val="00126F39"/>
    <w:rsid w:val="00135D97"/>
    <w:rsid w:val="00137172"/>
    <w:rsid w:val="0017242B"/>
    <w:rsid w:val="001A2621"/>
    <w:rsid w:val="001F119D"/>
    <w:rsid w:val="001F7FB0"/>
    <w:rsid w:val="00207194"/>
    <w:rsid w:val="00212B7E"/>
    <w:rsid w:val="00212F79"/>
    <w:rsid w:val="002529AE"/>
    <w:rsid w:val="002647A9"/>
    <w:rsid w:val="00270C9D"/>
    <w:rsid w:val="002B6582"/>
    <w:rsid w:val="002B73EA"/>
    <w:rsid w:val="002C0792"/>
    <w:rsid w:val="002D288D"/>
    <w:rsid w:val="002D7FB3"/>
    <w:rsid w:val="002F3818"/>
    <w:rsid w:val="002F46E3"/>
    <w:rsid w:val="00304F0C"/>
    <w:rsid w:val="0031757C"/>
    <w:rsid w:val="00332481"/>
    <w:rsid w:val="00337292"/>
    <w:rsid w:val="003671AE"/>
    <w:rsid w:val="00367390"/>
    <w:rsid w:val="003A624A"/>
    <w:rsid w:val="003E3515"/>
    <w:rsid w:val="003F7109"/>
    <w:rsid w:val="004233BF"/>
    <w:rsid w:val="004272DD"/>
    <w:rsid w:val="00440355"/>
    <w:rsid w:val="00473F0F"/>
    <w:rsid w:val="004777EC"/>
    <w:rsid w:val="00490712"/>
    <w:rsid w:val="00496C7E"/>
    <w:rsid w:val="004A3510"/>
    <w:rsid w:val="004B1B08"/>
    <w:rsid w:val="004B6C7E"/>
    <w:rsid w:val="004D05DC"/>
    <w:rsid w:val="00515B0A"/>
    <w:rsid w:val="00520625"/>
    <w:rsid w:val="00535204"/>
    <w:rsid w:val="00546881"/>
    <w:rsid w:val="00561A59"/>
    <w:rsid w:val="00570CD9"/>
    <w:rsid w:val="00573006"/>
    <w:rsid w:val="0059205B"/>
    <w:rsid w:val="005A68D3"/>
    <w:rsid w:val="005A6DA4"/>
    <w:rsid w:val="005C6A24"/>
    <w:rsid w:val="00645A7C"/>
    <w:rsid w:val="00675640"/>
    <w:rsid w:val="00676DAD"/>
    <w:rsid w:val="00676E3C"/>
    <w:rsid w:val="00685AC0"/>
    <w:rsid w:val="006D6FFA"/>
    <w:rsid w:val="007057A4"/>
    <w:rsid w:val="00721BD0"/>
    <w:rsid w:val="0073207F"/>
    <w:rsid w:val="007576A9"/>
    <w:rsid w:val="00773A2F"/>
    <w:rsid w:val="00790E58"/>
    <w:rsid w:val="007B0315"/>
    <w:rsid w:val="00806A13"/>
    <w:rsid w:val="00847807"/>
    <w:rsid w:val="0087211F"/>
    <w:rsid w:val="00896A68"/>
    <w:rsid w:val="008D2CB5"/>
    <w:rsid w:val="008E045B"/>
    <w:rsid w:val="008E2699"/>
    <w:rsid w:val="00926E20"/>
    <w:rsid w:val="009737DD"/>
    <w:rsid w:val="00973C1F"/>
    <w:rsid w:val="009777F2"/>
    <w:rsid w:val="00987A16"/>
    <w:rsid w:val="009D2894"/>
    <w:rsid w:val="009E0269"/>
    <w:rsid w:val="00A05DD5"/>
    <w:rsid w:val="00A852D9"/>
    <w:rsid w:val="00A863D4"/>
    <w:rsid w:val="00AA21B0"/>
    <w:rsid w:val="00B44B6F"/>
    <w:rsid w:val="00B472D1"/>
    <w:rsid w:val="00B516AE"/>
    <w:rsid w:val="00B552D6"/>
    <w:rsid w:val="00B73FE1"/>
    <w:rsid w:val="00B93141"/>
    <w:rsid w:val="00BB6502"/>
    <w:rsid w:val="00BD6570"/>
    <w:rsid w:val="00C17110"/>
    <w:rsid w:val="00C175FF"/>
    <w:rsid w:val="00C379E9"/>
    <w:rsid w:val="00C4088C"/>
    <w:rsid w:val="00C7020F"/>
    <w:rsid w:val="00C72A4B"/>
    <w:rsid w:val="00CA15A5"/>
    <w:rsid w:val="00CB65C5"/>
    <w:rsid w:val="00D02E2F"/>
    <w:rsid w:val="00D20531"/>
    <w:rsid w:val="00D95618"/>
    <w:rsid w:val="00DE49CC"/>
    <w:rsid w:val="00EA3FE2"/>
    <w:rsid w:val="00EB0DAF"/>
    <w:rsid w:val="00EC1E8F"/>
    <w:rsid w:val="00ED395F"/>
    <w:rsid w:val="00EF1551"/>
    <w:rsid w:val="00F05FD7"/>
    <w:rsid w:val="00F33E9E"/>
    <w:rsid w:val="00F3758A"/>
    <w:rsid w:val="00F40C7D"/>
    <w:rsid w:val="00F41FDD"/>
    <w:rsid w:val="00F51BA3"/>
    <w:rsid w:val="00F91CC8"/>
    <w:rsid w:val="00F95B8D"/>
    <w:rsid w:val="00FC7EF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44A2"/>
  <w15:chartTrackingRefBased/>
  <w15:docId w15:val="{AF4F9998-FCF1-4FCB-BA04-5FFB7E8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29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29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29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529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529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29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29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29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29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29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29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529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529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529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29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29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29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529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29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2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29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29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529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529A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529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529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529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529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529A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9AE"/>
  </w:style>
  <w:style w:type="paragraph" w:styleId="Pidipagina">
    <w:name w:val="footer"/>
    <w:basedOn w:val="Normale"/>
    <w:link w:val="PidipaginaCarattere"/>
    <w:uiPriority w:val="99"/>
    <w:unhideWhenUsed/>
    <w:rsid w:val="00252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9AE"/>
  </w:style>
  <w:style w:type="character" w:styleId="Collegamentoipertestuale">
    <w:name w:val="Hyperlink"/>
    <w:basedOn w:val="Carpredefinitoparagrafo"/>
    <w:uiPriority w:val="99"/>
    <w:unhideWhenUsed/>
    <w:rsid w:val="002529A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1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8D3"/>
    <w:rPr>
      <w:color w:val="96607D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014440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84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76A9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75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E76C-4D41-4A1D-8EB4-252716CD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Parracino Mauro</cp:lastModifiedBy>
  <cp:revision>3</cp:revision>
  <dcterms:created xsi:type="dcterms:W3CDTF">2024-06-06T09:36:00Z</dcterms:created>
  <dcterms:modified xsi:type="dcterms:W3CDTF">2024-06-06T09:37:00Z</dcterms:modified>
</cp:coreProperties>
</file>