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30D86" w14:textId="51AD25B0" w:rsidR="00376C52" w:rsidRPr="001A0DF6" w:rsidRDefault="00B27628" w:rsidP="001A0DF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1A0DF6">
        <w:rPr>
          <w:rFonts w:ascii="Arial" w:hAnsi="Arial" w:cs="Arial"/>
          <w:b/>
          <w:bCs/>
          <w:sz w:val="23"/>
          <w:szCs w:val="23"/>
          <w:u w:val="single"/>
        </w:rPr>
        <w:t>Comunicato stampa</w:t>
      </w:r>
    </w:p>
    <w:p w14:paraId="608970A3" w14:textId="77777777" w:rsidR="00B27628" w:rsidRPr="001A0DF6" w:rsidRDefault="00B27628" w:rsidP="001A0DF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A3DC31B" w14:textId="74324E04" w:rsidR="00741347" w:rsidRPr="001A0DF6" w:rsidRDefault="001A0DF6" w:rsidP="001A0DF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A0DF6">
        <w:rPr>
          <w:rFonts w:ascii="Arial" w:hAnsi="Arial" w:cs="Arial"/>
          <w:b/>
          <w:bCs/>
          <w:sz w:val="23"/>
          <w:szCs w:val="23"/>
        </w:rPr>
        <w:t>COMMERCIALISTI, DOCUMENTO SU PREVENZIONE DELLE CONTROVERSIE IN MATERIA FISCALE</w:t>
      </w:r>
    </w:p>
    <w:p w14:paraId="52D7B14E" w14:textId="77777777" w:rsidR="001A0DF6" w:rsidRPr="001A0DF6" w:rsidRDefault="001A0DF6" w:rsidP="001A0DF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049E1F7" w14:textId="6CA1B21A" w:rsidR="001A0DF6" w:rsidRPr="001A0DF6" w:rsidRDefault="001A0DF6" w:rsidP="001A0DF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A0DF6">
        <w:rPr>
          <w:rFonts w:ascii="Arial" w:hAnsi="Arial" w:cs="Arial"/>
          <w:b/>
          <w:bCs/>
          <w:sz w:val="23"/>
          <w:szCs w:val="23"/>
        </w:rPr>
        <w:t xml:space="preserve">Focus sui meccanismi di risoluzione amichevole previsti dagli organismi </w:t>
      </w:r>
      <w:r w:rsidR="001F2F6C">
        <w:rPr>
          <w:rFonts w:ascii="Arial" w:hAnsi="Arial" w:cs="Arial"/>
          <w:b/>
          <w:bCs/>
          <w:sz w:val="23"/>
          <w:szCs w:val="23"/>
        </w:rPr>
        <w:t xml:space="preserve">nazionali e </w:t>
      </w:r>
      <w:r w:rsidRPr="001A0DF6">
        <w:rPr>
          <w:rFonts w:ascii="Arial" w:hAnsi="Arial" w:cs="Arial"/>
          <w:b/>
          <w:bCs/>
          <w:sz w:val="23"/>
          <w:szCs w:val="23"/>
        </w:rPr>
        <w:t>sovranazionali per risolvere i fenomeni di doppia imposizione tra gli Stati</w:t>
      </w:r>
    </w:p>
    <w:p w14:paraId="563FEB28" w14:textId="77777777" w:rsidR="001A0DF6" w:rsidRPr="001A0DF6" w:rsidRDefault="001A0DF6" w:rsidP="001A0DF6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312E40EA" w14:textId="356D3CD2" w:rsidR="001A0DF6" w:rsidRDefault="00FA7C3B" w:rsidP="001A0DF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A0DF6">
        <w:rPr>
          <w:rFonts w:ascii="Arial" w:hAnsi="Arial" w:cs="Arial"/>
          <w:i/>
          <w:iCs/>
          <w:sz w:val="23"/>
          <w:szCs w:val="23"/>
        </w:rPr>
        <w:t xml:space="preserve">Roma, </w:t>
      </w:r>
      <w:r w:rsidR="00B27628" w:rsidRPr="001A0DF6">
        <w:rPr>
          <w:rFonts w:ascii="Arial" w:hAnsi="Arial" w:cs="Arial"/>
          <w:i/>
          <w:iCs/>
          <w:sz w:val="23"/>
          <w:szCs w:val="23"/>
        </w:rPr>
        <w:t>2</w:t>
      </w:r>
      <w:r w:rsidR="001A0DF6" w:rsidRPr="001A0DF6">
        <w:rPr>
          <w:rFonts w:ascii="Arial" w:hAnsi="Arial" w:cs="Arial"/>
          <w:i/>
          <w:iCs/>
          <w:sz w:val="23"/>
          <w:szCs w:val="23"/>
        </w:rPr>
        <w:t>3</w:t>
      </w:r>
      <w:r w:rsidR="00B27628" w:rsidRPr="001A0DF6">
        <w:rPr>
          <w:rFonts w:ascii="Arial" w:hAnsi="Arial" w:cs="Arial"/>
          <w:i/>
          <w:iCs/>
          <w:sz w:val="23"/>
          <w:szCs w:val="23"/>
        </w:rPr>
        <w:t xml:space="preserve"> maggio</w:t>
      </w:r>
      <w:r w:rsidRPr="001A0DF6">
        <w:rPr>
          <w:rFonts w:ascii="Arial" w:hAnsi="Arial" w:cs="Arial"/>
          <w:i/>
          <w:iCs/>
          <w:sz w:val="23"/>
          <w:szCs w:val="23"/>
        </w:rPr>
        <w:t xml:space="preserve"> 202</w:t>
      </w:r>
      <w:r w:rsidR="00084024" w:rsidRPr="001A0DF6">
        <w:rPr>
          <w:rFonts w:ascii="Arial" w:hAnsi="Arial" w:cs="Arial"/>
          <w:i/>
          <w:iCs/>
          <w:sz w:val="23"/>
          <w:szCs w:val="23"/>
        </w:rPr>
        <w:t>4</w:t>
      </w:r>
      <w:r w:rsidRPr="001A0DF6">
        <w:rPr>
          <w:rFonts w:ascii="Arial" w:hAnsi="Arial" w:cs="Arial"/>
          <w:sz w:val="23"/>
          <w:szCs w:val="23"/>
        </w:rPr>
        <w:t xml:space="preserve"> – </w:t>
      </w:r>
      <w:r w:rsidR="001A0DF6" w:rsidRPr="001A0DF6">
        <w:rPr>
          <w:rFonts w:ascii="Arial" w:hAnsi="Arial" w:cs="Arial"/>
          <w:sz w:val="23"/>
          <w:szCs w:val="23"/>
        </w:rPr>
        <w:t>I meccanismi di prevenzione e risoluzione amichevole delle controversie in materia fiscale sono il tema affrontato nel documento di ricerca "</w:t>
      </w:r>
      <w:r w:rsidR="001A0DF6" w:rsidRPr="001A0DF6">
        <w:rPr>
          <w:rStyle w:val="Enfasigrassetto"/>
          <w:rFonts w:ascii="Arial" w:hAnsi="Arial" w:cs="Arial"/>
          <w:sz w:val="23"/>
          <w:szCs w:val="23"/>
        </w:rPr>
        <w:t>Meccanismi di prevenzione e risoluzione amichevole delle controversie (MAP). Profili tecnici e spunti operativi</w:t>
      </w:r>
      <w:r w:rsidR="001A0DF6" w:rsidRPr="001A0DF6">
        <w:rPr>
          <w:rFonts w:ascii="Arial" w:hAnsi="Arial" w:cs="Arial"/>
          <w:sz w:val="23"/>
          <w:szCs w:val="23"/>
        </w:rPr>
        <w:t>", pubblicato oggi dal Consiglio Nazionale e dalla Fondazione Ricerca dei commercialisti. Il testo è stato elaborato dalla commissione di studio “</w:t>
      </w:r>
      <w:r w:rsidR="001A0DF6" w:rsidRPr="001A0DF6">
        <w:rPr>
          <w:rStyle w:val="Enfasicorsivo"/>
          <w:rFonts w:ascii="Arial" w:hAnsi="Arial" w:cs="Arial"/>
          <w:sz w:val="23"/>
          <w:szCs w:val="23"/>
        </w:rPr>
        <w:t>Tax policy</w:t>
      </w:r>
      <w:r w:rsidR="001A0DF6" w:rsidRPr="001A0DF6">
        <w:rPr>
          <w:rFonts w:ascii="Arial" w:hAnsi="Arial" w:cs="Arial"/>
          <w:sz w:val="23"/>
          <w:szCs w:val="23"/>
        </w:rPr>
        <w:t xml:space="preserve"> internazionale e relazione con Enti istituzionali” nell</w:t>
      </w:r>
      <w:r w:rsidR="001F2F6C">
        <w:rPr>
          <w:rFonts w:ascii="Arial" w:hAnsi="Arial" w:cs="Arial"/>
          <w:sz w:val="23"/>
          <w:szCs w:val="23"/>
        </w:rPr>
        <w:t>’</w:t>
      </w:r>
      <w:r w:rsidR="001A0DF6" w:rsidRPr="001A0DF6">
        <w:rPr>
          <w:rFonts w:ascii="Arial" w:hAnsi="Arial" w:cs="Arial"/>
          <w:sz w:val="23"/>
          <w:szCs w:val="23"/>
        </w:rPr>
        <w:t>ambito dell</w:t>
      </w:r>
      <w:r w:rsidR="00105083">
        <w:rPr>
          <w:rFonts w:ascii="Arial" w:hAnsi="Arial" w:cs="Arial"/>
          <w:sz w:val="23"/>
          <w:szCs w:val="23"/>
        </w:rPr>
        <w:t>’</w:t>
      </w:r>
      <w:r w:rsidR="001A0DF6" w:rsidRPr="001A0DF6">
        <w:rPr>
          <w:rFonts w:ascii="Arial" w:hAnsi="Arial" w:cs="Arial"/>
          <w:sz w:val="23"/>
          <w:szCs w:val="23"/>
        </w:rPr>
        <w:t xml:space="preserve">area di delega Fiscalità, affidata al consigliere </w:t>
      </w:r>
      <w:r w:rsidR="001A0DF6" w:rsidRPr="001A0DF6">
        <w:rPr>
          <w:rStyle w:val="Enfasigrassetto"/>
          <w:rFonts w:ascii="Arial" w:hAnsi="Arial" w:cs="Arial"/>
          <w:sz w:val="23"/>
          <w:szCs w:val="23"/>
        </w:rPr>
        <w:t>Salvatore Regalbuto</w:t>
      </w:r>
      <w:r w:rsidR="001A0DF6" w:rsidRPr="001A0DF6">
        <w:rPr>
          <w:rFonts w:ascii="Arial" w:hAnsi="Arial" w:cs="Arial"/>
          <w:sz w:val="23"/>
          <w:szCs w:val="23"/>
        </w:rPr>
        <w:t>.</w:t>
      </w:r>
    </w:p>
    <w:p w14:paraId="2D80E834" w14:textId="77777777" w:rsidR="001A0DF6" w:rsidRPr="001A0DF6" w:rsidRDefault="001A0DF6" w:rsidP="001A0DF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14:paraId="567D0E39" w14:textId="3AC311C4" w:rsidR="001A0DF6" w:rsidRDefault="001A0DF6" w:rsidP="001A0DF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A0DF6">
        <w:rPr>
          <w:rFonts w:ascii="Arial" w:hAnsi="Arial" w:cs="Arial"/>
          <w:sz w:val="23"/>
          <w:szCs w:val="23"/>
        </w:rPr>
        <w:t>Il documento prende in esame i meccanismi di prevenzione (</w:t>
      </w:r>
      <w:r w:rsidRPr="001A0DF6">
        <w:rPr>
          <w:rStyle w:val="Enfasicorsivo"/>
          <w:rFonts w:ascii="Arial" w:hAnsi="Arial" w:cs="Arial"/>
          <w:sz w:val="23"/>
          <w:szCs w:val="23"/>
        </w:rPr>
        <w:t>e.g.</w:t>
      </w:r>
      <w:r w:rsidRPr="001A0DF6">
        <w:rPr>
          <w:rFonts w:ascii="Arial" w:hAnsi="Arial" w:cs="Arial"/>
          <w:sz w:val="23"/>
          <w:szCs w:val="23"/>
        </w:rPr>
        <w:t>, APA) e risoluzione amichevole delle controversie (cd. MAP o “</w:t>
      </w:r>
      <w:proofErr w:type="spellStart"/>
      <w:r w:rsidRPr="001A0DF6">
        <w:rPr>
          <w:rStyle w:val="Enfasicorsivo"/>
          <w:rFonts w:ascii="Arial" w:hAnsi="Arial" w:cs="Arial"/>
          <w:sz w:val="23"/>
          <w:szCs w:val="23"/>
        </w:rPr>
        <w:t>Mutual</w:t>
      </w:r>
      <w:proofErr w:type="spellEnd"/>
      <w:r w:rsidRPr="001A0DF6">
        <w:rPr>
          <w:rStyle w:val="Enfasicorsivo"/>
          <w:rFonts w:ascii="Arial" w:hAnsi="Arial" w:cs="Arial"/>
          <w:sz w:val="23"/>
          <w:szCs w:val="23"/>
        </w:rPr>
        <w:t xml:space="preserve"> Agreement Procedure</w:t>
      </w:r>
      <w:r w:rsidRPr="001A0DF6">
        <w:rPr>
          <w:rFonts w:ascii="Arial" w:hAnsi="Arial" w:cs="Arial"/>
          <w:sz w:val="23"/>
          <w:szCs w:val="23"/>
        </w:rPr>
        <w:t xml:space="preserve">”) previsti dagli </w:t>
      </w:r>
      <w:r w:rsidRPr="001A0DF6">
        <w:rPr>
          <w:rStyle w:val="Enfasigrassetto"/>
          <w:rFonts w:ascii="Arial" w:hAnsi="Arial" w:cs="Arial"/>
          <w:sz w:val="23"/>
          <w:szCs w:val="23"/>
        </w:rPr>
        <w:t>organismi sovranazionali</w:t>
      </w:r>
      <w:r w:rsidRPr="001A0DF6">
        <w:rPr>
          <w:rFonts w:ascii="Arial" w:hAnsi="Arial" w:cs="Arial"/>
          <w:sz w:val="23"/>
          <w:szCs w:val="23"/>
        </w:rPr>
        <w:t xml:space="preserve"> (</w:t>
      </w:r>
      <w:r w:rsidRPr="001A0DF6">
        <w:rPr>
          <w:rStyle w:val="Enfasicorsivo"/>
          <w:rFonts w:ascii="Arial" w:hAnsi="Arial" w:cs="Arial"/>
          <w:sz w:val="23"/>
          <w:szCs w:val="23"/>
        </w:rPr>
        <w:t>in primis,</w:t>
      </w:r>
      <w:r w:rsidRPr="001A0DF6">
        <w:rPr>
          <w:rFonts w:ascii="Arial" w:hAnsi="Arial" w:cs="Arial"/>
          <w:sz w:val="23"/>
          <w:szCs w:val="23"/>
        </w:rPr>
        <w:t xml:space="preserve"> OCSE e UE) </w:t>
      </w:r>
      <w:r w:rsidRPr="001A0DF6">
        <w:rPr>
          <w:rStyle w:val="Enfasigrassetto"/>
          <w:rFonts w:ascii="Arial" w:hAnsi="Arial" w:cs="Arial"/>
          <w:sz w:val="23"/>
          <w:szCs w:val="23"/>
        </w:rPr>
        <w:t>e nazionali</w:t>
      </w:r>
      <w:r w:rsidR="00105083">
        <w:rPr>
          <w:rStyle w:val="Enfasigrassetto"/>
          <w:rFonts w:ascii="Arial" w:hAnsi="Arial" w:cs="Arial"/>
          <w:b w:val="0"/>
          <w:bCs w:val="0"/>
          <w:sz w:val="23"/>
          <w:szCs w:val="23"/>
        </w:rPr>
        <w:t>,</w:t>
      </w:r>
      <w:r w:rsidRPr="001A0DF6">
        <w:rPr>
          <w:rFonts w:ascii="Arial" w:hAnsi="Arial" w:cs="Arial"/>
          <w:sz w:val="23"/>
          <w:szCs w:val="23"/>
        </w:rPr>
        <w:t xml:space="preserve"> volti a risolvere in maniera efficace ed efficiente le problematiche che riguardano la </w:t>
      </w:r>
      <w:r w:rsidRPr="00105083">
        <w:rPr>
          <w:rFonts w:ascii="Arial" w:hAnsi="Arial" w:cs="Arial"/>
          <w:b/>
          <w:bCs/>
          <w:sz w:val="23"/>
          <w:szCs w:val="23"/>
        </w:rPr>
        <w:t xml:space="preserve">presenza di fenomeni di doppia imposizione tra gli Stati </w:t>
      </w:r>
      <w:r w:rsidRPr="001A0DF6">
        <w:rPr>
          <w:rFonts w:ascii="Arial" w:hAnsi="Arial" w:cs="Arial"/>
          <w:sz w:val="23"/>
          <w:szCs w:val="23"/>
        </w:rPr>
        <w:t>ovvero di incertezza e disaccordo sull’interpretazione delle normative fiscali internazionali.</w:t>
      </w:r>
    </w:p>
    <w:p w14:paraId="7B7F41A4" w14:textId="77777777" w:rsidR="001A0DF6" w:rsidRPr="001A0DF6" w:rsidRDefault="001A0DF6" w:rsidP="001A0DF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14:paraId="169789E9" w14:textId="77777777" w:rsidR="001A0DF6" w:rsidRDefault="001A0DF6" w:rsidP="001A0DF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A0DF6">
        <w:rPr>
          <w:rFonts w:ascii="Arial" w:hAnsi="Arial" w:cs="Arial"/>
          <w:sz w:val="23"/>
          <w:szCs w:val="23"/>
        </w:rPr>
        <w:t xml:space="preserve">Diversi sono </w:t>
      </w:r>
      <w:r w:rsidRPr="001A0DF6">
        <w:rPr>
          <w:rStyle w:val="Enfasigrassetto"/>
          <w:rFonts w:ascii="Arial" w:hAnsi="Arial" w:cs="Arial"/>
          <w:sz w:val="23"/>
          <w:szCs w:val="23"/>
        </w:rPr>
        <w:t>gli obiettivi dei meccanismi di prevenzione</w:t>
      </w:r>
      <w:r w:rsidRPr="001A0DF6">
        <w:rPr>
          <w:rFonts w:ascii="Arial" w:hAnsi="Arial" w:cs="Arial"/>
          <w:sz w:val="23"/>
          <w:szCs w:val="23"/>
        </w:rPr>
        <w:t xml:space="preserve"> e risoluzione amichevole delle controversie, tra cui incoraggiare gli Stati a rispettare le obbligazioni assunte nei trattati contro le doppie imposizioni; permettere alle Amministrazioni finanziarie degli Stati contraenti coinvolti di giungere, a seguito della richiesta effettuata dal contribuente, ad un accordo in attuazione dei principi di dialogo e collaborazione; giungere ad una composizione della controversia in maniera efficace e rispettosa dell’integrità del sistema di tassazione di ogni singolo Stato.</w:t>
      </w:r>
    </w:p>
    <w:p w14:paraId="75DD6B24" w14:textId="77777777" w:rsidR="001A0DF6" w:rsidRPr="001A0DF6" w:rsidRDefault="001A0DF6" w:rsidP="001A0DF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14:paraId="4E926405" w14:textId="4F449539" w:rsidR="001A0DF6" w:rsidRDefault="001A0DF6" w:rsidP="001A0DF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A0DF6">
        <w:rPr>
          <w:rFonts w:ascii="Arial" w:hAnsi="Arial" w:cs="Arial"/>
          <w:sz w:val="23"/>
          <w:szCs w:val="23"/>
        </w:rPr>
        <w:t xml:space="preserve">Inoltre, l’introduzione, il rafforzamento e il continuo miglioramento di strumenti unilaterali, bilaterali e multilaterali di prevenzione e risoluzione delle controversie - oltre a favorire lo sviluppo delle transazioni e dei rapporti </w:t>
      </w:r>
      <w:r w:rsidRPr="001A0DF6">
        <w:rPr>
          <w:rStyle w:val="Enfasicorsivo"/>
          <w:rFonts w:ascii="Arial" w:hAnsi="Arial" w:cs="Arial"/>
          <w:sz w:val="23"/>
          <w:szCs w:val="23"/>
        </w:rPr>
        <w:t>cross-</w:t>
      </w:r>
      <w:proofErr w:type="spellStart"/>
      <w:r w:rsidRPr="001A0DF6">
        <w:rPr>
          <w:rStyle w:val="Enfasicorsivo"/>
          <w:rFonts w:ascii="Arial" w:hAnsi="Arial" w:cs="Arial"/>
          <w:sz w:val="23"/>
          <w:szCs w:val="23"/>
        </w:rPr>
        <w:t>borders</w:t>
      </w:r>
      <w:proofErr w:type="spellEnd"/>
      <w:r w:rsidRPr="001A0DF6">
        <w:rPr>
          <w:rFonts w:ascii="Arial" w:hAnsi="Arial" w:cs="Arial"/>
          <w:sz w:val="23"/>
          <w:szCs w:val="23"/>
        </w:rPr>
        <w:t xml:space="preserve"> - sono necessari per garantire ai contribuenti </w:t>
      </w:r>
      <w:r w:rsidR="009803B9">
        <w:rPr>
          <w:rFonts w:ascii="Arial" w:hAnsi="Arial" w:cs="Arial"/>
          <w:sz w:val="23"/>
          <w:szCs w:val="23"/>
        </w:rPr>
        <w:t xml:space="preserve">e </w:t>
      </w:r>
      <w:r w:rsidRPr="001A0DF6">
        <w:rPr>
          <w:rFonts w:ascii="Arial" w:hAnsi="Arial" w:cs="Arial"/>
          <w:sz w:val="23"/>
          <w:szCs w:val="23"/>
        </w:rPr>
        <w:t xml:space="preserve">alle Amministrazioni finanziarie una </w:t>
      </w:r>
      <w:r w:rsidRPr="001A0DF6">
        <w:rPr>
          <w:rStyle w:val="Enfasigrassetto"/>
          <w:rFonts w:ascii="Arial" w:hAnsi="Arial" w:cs="Arial"/>
          <w:sz w:val="23"/>
          <w:szCs w:val="23"/>
        </w:rPr>
        <w:t>maggiore certezza tributaria</w:t>
      </w:r>
      <w:r w:rsidRPr="001A0DF6">
        <w:rPr>
          <w:rFonts w:ascii="Arial" w:hAnsi="Arial" w:cs="Arial"/>
          <w:sz w:val="23"/>
          <w:szCs w:val="23"/>
        </w:rPr>
        <w:t xml:space="preserve">, la </w:t>
      </w:r>
      <w:r w:rsidRPr="001A0DF6">
        <w:rPr>
          <w:rStyle w:val="Enfasigrassetto"/>
          <w:rFonts w:ascii="Arial" w:hAnsi="Arial" w:cs="Arial"/>
          <w:sz w:val="23"/>
          <w:szCs w:val="23"/>
        </w:rPr>
        <w:t>risoluzione dei casi di doppia imposizione ed elusione/evasione fiscale</w:t>
      </w:r>
      <w:r w:rsidRPr="001A0DF6">
        <w:rPr>
          <w:rFonts w:ascii="Arial" w:hAnsi="Arial" w:cs="Arial"/>
          <w:sz w:val="23"/>
          <w:szCs w:val="23"/>
        </w:rPr>
        <w:t xml:space="preserve"> nonché una più </w:t>
      </w:r>
      <w:r w:rsidRPr="001A0DF6">
        <w:rPr>
          <w:rStyle w:val="Enfasigrassetto"/>
          <w:rFonts w:ascii="Arial" w:hAnsi="Arial" w:cs="Arial"/>
          <w:sz w:val="23"/>
          <w:szCs w:val="23"/>
        </w:rPr>
        <w:t>efficace gestione delle risorse e dei tempi</w:t>
      </w:r>
      <w:r w:rsidRPr="001A0DF6">
        <w:rPr>
          <w:rFonts w:ascii="Arial" w:hAnsi="Arial" w:cs="Arial"/>
          <w:sz w:val="23"/>
          <w:szCs w:val="23"/>
        </w:rPr>
        <w:t xml:space="preserve"> a disposizione.</w:t>
      </w:r>
    </w:p>
    <w:p w14:paraId="00B3D154" w14:textId="77777777" w:rsidR="001A0DF6" w:rsidRPr="001A0DF6" w:rsidRDefault="001A0DF6" w:rsidP="001A0DF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14:paraId="6113EC61" w14:textId="08987FA9" w:rsidR="001A0DF6" w:rsidRDefault="001A0DF6" w:rsidP="001A0DF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A0DF6">
        <w:rPr>
          <w:rFonts w:ascii="Arial" w:hAnsi="Arial" w:cs="Arial"/>
          <w:sz w:val="23"/>
          <w:szCs w:val="23"/>
        </w:rPr>
        <w:t xml:space="preserve">Secondo i commercialisti, sarebbe opportuno </w:t>
      </w:r>
      <w:r w:rsidRPr="001A0DF6">
        <w:rPr>
          <w:rStyle w:val="Enfasigrassetto"/>
          <w:rFonts w:ascii="Arial" w:hAnsi="Arial" w:cs="Arial"/>
          <w:sz w:val="23"/>
          <w:szCs w:val="23"/>
        </w:rPr>
        <w:t>rafforzare l’interazione tra l’istituto delle procedure amichevoli (MAP) e l’istituto degli accordi preventivi (APA)</w:t>
      </w:r>
      <w:r w:rsidRPr="001A0DF6">
        <w:rPr>
          <w:rFonts w:ascii="Arial" w:hAnsi="Arial" w:cs="Arial"/>
          <w:sz w:val="23"/>
          <w:szCs w:val="23"/>
        </w:rPr>
        <w:t xml:space="preserve"> e potrebbe essere utile prevedere un </w:t>
      </w:r>
      <w:r w:rsidRPr="001A0DF6">
        <w:rPr>
          <w:rStyle w:val="Enfasigrassetto"/>
          <w:rFonts w:ascii="Arial" w:hAnsi="Arial" w:cs="Arial"/>
          <w:sz w:val="23"/>
          <w:szCs w:val="23"/>
        </w:rPr>
        <w:t xml:space="preserve">maggiore coinvolgimento </w:t>
      </w:r>
      <w:r w:rsidR="009803B9">
        <w:rPr>
          <w:rStyle w:val="Enfasigrassetto"/>
          <w:rFonts w:ascii="Arial" w:hAnsi="Arial" w:cs="Arial"/>
          <w:sz w:val="23"/>
          <w:szCs w:val="23"/>
        </w:rPr>
        <w:t xml:space="preserve">nella procedura amichevole </w:t>
      </w:r>
      <w:r w:rsidRPr="001A0DF6">
        <w:rPr>
          <w:rStyle w:val="Enfasigrassetto"/>
          <w:rFonts w:ascii="Arial" w:hAnsi="Arial" w:cs="Arial"/>
          <w:sz w:val="23"/>
          <w:szCs w:val="23"/>
        </w:rPr>
        <w:t>del contribuente</w:t>
      </w:r>
      <w:r w:rsidR="009803B9">
        <w:rPr>
          <w:rStyle w:val="Enfasigrassetto"/>
          <w:rFonts w:ascii="Arial" w:hAnsi="Arial" w:cs="Arial"/>
          <w:sz w:val="23"/>
          <w:szCs w:val="23"/>
        </w:rPr>
        <w:t xml:space="preserve"> </w:t>
      </w:r>
      <w:r w:rsidR="009803B9" w:rsidRPr="009803B9">
        <w:rPr>
          <w:rStyle w:val="Enfasigrassetto"/>
          <w:rFonts w:ascii="Arial" w:hAnsi="Arial" w:cs="Arial"/>
          <w:b w:val="0"/>
          <w:bCs w:val="0"/>
          <w:sz w:val="23"/>
          <w:szCs w:val="23"/>
        </w:rPr>
        <w:t>– che</w:t>
      </w:r>
      <w:r w:rsidR="009803B9">
        <w:rPr>
          <w:rStyle w:val="Enfasigrassetto"/>
          <w:rFonts w:ascii="Arial" w:hAnsi="Arial" w:cs="Arial"/>
          <w:sz w:val="23"/>
          <w:szCs w:val="23"/>
        </w:rPr>
        <w:t xml:space="preserve"> </w:t>
      </w:r>
      <w:r w:rsidRPr="001A0DF6">
        <w:rPr>
          <w:rFonts w:ascii="Arial" w:hAnsi="Arial" w:cs="Arial"/>
          <w:sz w:val="23"/>
          <w:szCs w:val="23"/>
        </w:rPr>
        <w:t>oggi “</w:t>
      </w:r>
      <w:r w:rsidRPr="001A0DF6">
        <w:rPr>
          <w:rStyle w:val="Enfasicorsivo"/>
          <w:rFonts w:ascii="Arial" w:hAnsi="Arial" w:cs="Arial"/>
          <w:sz w:val="23"/>
          <w:szCs w:val="23"/>
        </w:rPr>
        <w:t>gioca</w:t>
      </w:r>
      <w:r w:rsidRPr="001A0DF6">
        <w:rPr>
          <w:rFonts w:ascii="Arial" w:hAnsi="Arial" w:cs="Arial"/>
          <w:sz w:val="23"/>
          <w:szCs w:val="23"/>
        </w:rPr>
        <w:t>” generalmente un ruolo passivo</w:t>
      </w:r>
      <w:r w:rsidR="009803B9">
        <w:rPr>
          <w:rFonts w:ascii="Arial" w:hAnsi="Arial" w:cs="Arial"/>
          <w:sz w:val="23"/>
          <w:szCs w:val="23"/>
        </w:rPr>
        <w:t xml:space="preserve"> – </w:t>
      </w:r>
      <w:r w:rsidRPr="001A0DF6">
        <w:rPr>
          <w:rFonts w:ascii="Arial" w:hAnsi="Arial" w:cs="Arial"/>
          <w:sz w:val="23"/>
          <w:szCs w:val="23"/>
        </w:rPr>
        <w:t xml:space="preserve">nonché una </w:t>
      </w:r>
      <w:r w:rsidRPr="001A0DF6">
        <w:rPr>
          <w:rStyle w:val="Enfasigrassetto"/>
          <w:rFonts w:ascii="Arial" w:hAnsi="Arial" w:cs="Arial"/>
          <w:sz w:val="23"/>
          <w:szCs w:val="23"/>
        </w:rPr>
        <w:t>comunicazione dell’</w:t>
      </w:r>
      <w:proofErr w:type="spellStart"/>
      <w:r w:rsidRPr="001A0DF6">
        <w:rPr>
          <w:rStyle w:val="Enfasicorsivo"/>
          <w:rFonts w:ascii="Arial" w:hAnsi="Arial" w:cs="Arial"/>
          <w:b/>
          <w:bCs/>
          <w:sz w:val="23"/>
          <w:szCs w:val="23"/>
        </w:rPr>
        <w:t>outcome</w:t>
      </w:r>
      <w:proofErr w:type="spellEnd"/>
      <w:r w:rsidRPr="001A0DF6">
        <w:rPr>
          <w:rStyle w:val="Enfasicorsivo"/>
          <w:rFonts w:ascii="Arial" w:hAnsi="Arial" w:cs="Arial"/>
          <w:b/>
          <w:bCs/>
          <w:sz w:val="23"/>
          <w:szCs w:val="23"/>
        </w:rPr>
        <w:t xml:space="preserve"> </w:t>
      </w:r>
      <w:r w:rsidRPr="001A0DF6">
        <w:rPr>
          <w:rStyle w:val="Enfasigrassetto"/>
          <w:rFonts w:ascii="Arial" w:hAnsi="Arial" w:cs="Arial"/>
          <w:sz w:val="23"/>
          <w:szCs w:val="23"/>
        </w:rPr>
        <w:t>dell’accordo che contenga dei contenuti minimi</w:t>
      </w:r>
      <w:r w:rsidRPr="001A0DF6">
        <w:rPr>
          <w:rFonts w:ascii="Arial" w:hAnsi="Arial" w:cs="Arial"/>
          <w:sz w:val="23"/>
          <w:szCs w:val="23"/>
        </w:rPr>
        <w:t xml:space="preserve"> relativamente alle modalità tecniche di rideterminazione dell’imponibile, considerando che attualmente il contribuente riceve esclusivamente l’importo dell’imponibile rideterminato a seguito delle negoziazioni tra le Autorità competenti.</w:t>
      </w:r>
    </w:p>
    <w:p w14:paraId="709DAC7D" w14:textId="77777777" w:rsidR="001A0DF6" w:rsidRPr="001A0DF6" w:rsidRDefault="001A0DF6" w:rsidP="001A0DF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14:paraId="54DF870F" w14:textId="70EF6653" w:rsidR="00413474" w:rsidRPr="001A0DF6" w:rsidRDefault="001A0DF6" w:rsidP="001A0DF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A0DF6">
        <w:rPr>
          <w:rFonts w:ascii="Arial" w:hAnsi="Arial" w:cs="Arial"/>
          <w:sz w:val="23"/>
          <w:szCs w:val="23"/>
        </w:rPr>
        <w:t xml:space="preserve">Infine, per garantire una maggiore certezza </w:t>
      </w:r>
      <w:r w:rsidR="001009A9">
        <w:rPr>
          <w:rFonts w:ascii="Arial" w:hAnsi="Arial" w:cs="Arial"/>
          <w:sz w:val="23"/>
          <w:szCs w:val="23"/>
        </w:rPr>
        <w:t>ai</w:t>
      </w:r>
      <w:r w:rsidRPr="001A0DF6">
        <w:rPr>
          <w:rFonts w:ascii="Arial" w:hAnsi="Arial" w:cs="Arial"/>
          <w:sz w:val="23"/>
          <w:szCs w:val="23"/>
        </w:rPr>
        <w:t xml:space="preserve"> contribuenti </w:t>
      </w:r>
      <w:r w:rsidR="001009A9">
        <w:rPr>
          <w:rFonts w:ascii="Arial" w:hAnsi="Arial" w:cs="Arial"/>
          <w:sz w:val="23"/>
          <w:szCs w:val="23"/>
        </w:rPr>
        <w:t>e al</w:t>
      </w:r>
      <w:r w:rsidRPr="001A0DF6">
        <w:rPr>
          <w:rFonts w:ascii="Arial" w:hAnsi="Arial" w:cs="Arial"/>
          <w:sz w:val="23"/>
          <w:szCs w:val="23"/>
        </w:rPr>
        <w:t xml:space="preserve">le Amministrazioni e la coerenza nelle modalità di tassazione di determinate fattispecie in diversi periodi di imposta caratterizzati dalla presenza delle medesime circostanze di fatto e di diritto, le diverse giurisdizioni dovrebbero </w:t>
      </w:r>
      <w:r w:rsidRPr="001009A9">
        <w:rPr>
          <w:rStyle w:val="Enfasigrassetto"/>
          <w:rFonts w:ascii="Arial" w:hAnsi="Arial" w:cs="Arial"/>
          <w:b w:val="0"/>
          <w:bCs w:val="0"/>
          <w:sz w:val="23"/>
          <w:szCs w:val="23"/>
        </w:rPr>
        <w:t>lavorare sulle</w:t>
      </w:r>
      <w:r w:rsidRPr="001A0DF6">
        <w:rPr>
          <w:rStyle w:val="Enfasigrassetto"/>
          <w:rFonts w:ascii="Arial" w:hAnsi="Arial" w:cs="Arial"/>
          <w:sz w:val="23"/>
          <w:szCs w:val="23"/>
        </w:rPr>
        <w:t xml:space="preserve"> modalità di coordinamento tra le autorità </w:t>
      </w:r>
      <w:r w:rsidRPr="001009A9">
        <w:rPr>
          <w:rStyle w:val="Enfasigrassetto"/>
          <w:rFonts w:ascii="Arial" w:hAnsi="Arial" w:cs="Arial"/>
          <w:b w:val="0"/>
          <w:bCs w:val="0"/>
          <w:sz w:val="23"/>
          <w:szCs w:val="23"/>
        </w:rPr>
        <w:t>svolgenti funzioni di accertamento e controllo</w:t>
      </w:r>
      <w:r w:rsidRPr="001009A9">
        <w:rPr>
          <w:rFonts w:ascii="Arial" w:hAnsi="Arial" w:cs="Arial"/>
          <w:b/>
          <w:bCs/>
          <w:sz w:val="23"/>
          <w:szCs w:val="23"/>
        </w:rPr>
        <w:t xml:space="preserve"> </w:t>
      </w:r>
      <w:r w:rsidRPr="001009A9">
        <w:rPr>
          <w:rFonts w:ascii="Arial" w:hAnsi="Arial" w:cs="Arial"/>
          <w:sz w:val="23"/>
          <w:szCs w:val="23"/>
        </w:rPr>
        <w:t>e quelle responsabili per le</w:t>
      </w:r>
      <w:r w:rsidRPr="001009A9">
        <w:rPr>
          <w:rFonts w:ascii="Arial" w:hAnsi="Arial" w:cs="Arial"/>
          <w:b/>
          <w:bCs/>
          <w:sz w:val="23"/>
          <w:szCs w:val="23"/>
        </w:rPr>
        <w:t xml:space="preserve"> </w:t>
      </w:r>
      <w:r w:rsidRPr="001009A9">
        <w:rPr>
          <w:rStyle w:val="Enfasigrassetto"/>
          <w:rFonts w:ascii="Arial" w:hAnsi="Arial" w:cs="Arial"/>
          <w:b w:val="0"/>
          <w:bCs w:val="0"/>
          <w:sz w:val="23"/>
          <w:szCs w:val="23"/>
        </w:rPr>
        <w:t>procedure amichevoli e gli accordi preventivi</w:t>
      </w:r>
      <w:r w:rsidRPr="001A0DF6">
        <w:rPr>
          <w:rFonts w:ascii="Arial" w:hAnsi="Arial" w:cs="Arial"/>
          <w:sz w:val="23"/>
          <w:szCs w:val="23"/>
        </w:rPr>
        <w:t>.</w:t>
      </w:r>
    </w:p>
    <w:sectPr w:rsidR="00413474" w:rsidRPr="001A0DF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A0FCE" w14:textId="77777777" w:rsidR="00D67B8D" w:rsidRDefault="00D67B8D" w:rsidP="00FA7C3B">
      <w:pPr>
        <w:spacing w:after="0" w:line="240" w:lineRule="auto"/>
      </w:pPr>
      <w:r>
        <w:separator/>
      </w:r>
    </w:p>
  </w:endnote>
  <w:endnote w:type="continuationSeparator" w:id="0">
    <w:p w14:paraId="0123CB7E" w14:textId="77777777" w:rsidR="00D67B8D" w:rsidRDefault="00D67B8D" w:rsidP="00FA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91C35" w14:textId="77777777" w:rsidR="00D67B8D" w:rsidRDefault="00D67B8D" w:rsidP="00FA7C3B">
      <w:pPr>
        <w:spacing w:after="0" w:line="240" w:lineRule="auto"/>
      </w:pPr>
      <w:r>
        <w:separator/>
      </w:r>
    </w:p>
  </w:footnote>
  <w:footnote w:type="continuationSeparator" w:id="0">
    <w:p w14:paraId="3F224DBE" w14:textId="77777777" w:rsidR="00D67B8D" w:rsidRDefault="00D67B8D" w:rsidP="00FA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F2847" w14:textId="31567906" w:rsidR="00FA7C3B" w:rsidRDefault="00FA7C3B" w:rsidP="00FA7C3B">
    <w:pPr>
      <w:pStyle w:val="Intestazione"/>
      <w:jc w:val="center"/>
    </w:pPr>
    <w:r>
      <w:rPr>
        <w:noProof/>
      </w:rPr>
      <w:drawing>
        <wp:inline distT="0" distB="0" distL="0" distR="0" wp14:anchorId="5D6DB59E" wp14:editId="0FFA52B4">
          <wp:extent cx="2314575" cy="786201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564" cy="79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4B"/>
    <w:rsid w:val="00011773"/>
    <w:rsid w:val="000729B6"/>
    <w:rsid w:val="00077A68"/>
    <w:rsid w:val="00084024"/>
    <w:rsid w:val="00091901"/>
    <w:rsid w:val="000A59A9"/>
    <w:rsid w:val="000B6F91"/>
    <w:rsid w:val="000C31F6"/>
    <w:rsid w:val="000C47FE"/>
    <w:rsid w:val="000E6884"/>
    <w:rsid w:val="000E76EF"/>
    <w:rsid w:val="000F4DE4"/>
    <w:rsid w:val="001009A9"/>
    <w:rsid w:val="00105083"/>
    <w:rsid w:val="00121F76"/>
    <w:rsid w:val="00127444"/>
    <w:rsid w:val="00145010"/>
    <w:rsid w:val="0015573D"/>
    <w:rsid w:val="0018149B"/>
    <w:rsid w:val="00184380"/>
    <w:rsid w:val="00186BE6"/>
    <w:rsid w:val="0019204F"/>
    <w:rsid w:val="00193AD8"/>
    <w:rsid w:val="001A0DF6"/>
    <w:rsid w:val="001B2141"/>
    <w:rsid w:val="001C59DF"/>
    <w:rsid w:val="001F2F6C"/>
    <w:rsid w:val="002071D7"/>
    <w:rsid w:val="00214C72"/>
    <w:rsid w:val="00245C2C"/>
    <w:rsid w:val="00247F96"/>
    <w:rsid w:val="002512D0"/>
    <w:rsid w:val="002635C1"/>
    <w:rsid w:val="00270454"/>
    <w:rsid w:val="002726AF"/>
    <w:rsid w:val="002820C4"/>
    <w:rsid w:val="00292202"/>
    <w:rsid w:val="002C06CE"/>
    <w:rsid w:val="002D0EAF"/>
    <w:rsid w:val="002D31D3"/>
    <w:rsid w:val="002E506B"/>
    <w:rsid w:val="002F4127"/>
    <w:rsid w:val="002F54CE"/>
    <w:rsid w:val="00300D47"/>
    <w:rsid w:val="003148D5"/>
    <w:rsid w:val="003214A7"/>
    <w:rsid w:val="003364C3"/>
    <w:rsid w:val="003545CD"/>
    <w:rsid w:val="0036232A"/>
    <w:rsid w:val="00366EAF"/>
    <w:rsid w:val="00376C52"/>
    <w:rsid w:val="00391AD9"/>
    <w:rsid w:val="003954CE"/>
    <w:rsid w:val="003A02E2"/>
    <w:rsid w:val="003B3D55"/>
    <w:rsid w:val="003C32E5"/>
    <w:rsid w:val="003D0378"/>
    <w:rsid w:val="003D601B"/>
    <w:rsid w:val="003F28BF"/>
    <w:rsid w:val="00411FF0"/>
    <w:rsid w:val="00413474"/>
    <w:rsid w:val="00434355"/>
    <w:rsid w:val="00451051"/>
    <w:rsid w:val="004845B0"/>
    <w:rsid w:val="00491627"/>
    <w:rsid w:val="004A76A3"/>
    <w:rsid w:val="004F10F1"/>
    <w:rsid w:val="00527058"/>
    <w:rsid w:val="00545677"/>
    <w:rsid w:val="00551447"/>
    <w:rsid w:val="00560958"/>
    <w:rsid w:val="00592CE0"/>
    <w:rsid w:val="005B7BA9"/>
    <w:rsid w:val="005C5A5D"/>
    <w:rsid w:val="005D56C7"/>
    <w:rsid w:val="005D7BB6"/>
    <w:rsid w:val="00631DEE"/>
    <w:rsid w:val="00637AB3"/>
    <w:rsid w:val="00665046"/>
    <w:rsid w:val="00677D2B"/>
    <w:rsid w:val="00685416"/>
    <w:rsid w:val="006F29DA"/>
    <w:rsid w:val="0070602F"/>
    <w:rsid w:val="00716A7F"/>
    <w:rsid w:val="007267DA"/>
    <w:rsid w:val="00741347"/>
    <w:rsid w:val="007438AF"/>
    <w:rsid w:val="00780B5E"/>
    <w:rsid w:val="00787ABF"/>
    <w:rsid w:val="0079411C"/>
    <w:rsid w:val="00796380"/>
    <w:rsid w:val="007B008F"/>
    <w:rsid w:val="007B0BD3"/>
    <w:rsid w:val="007C222F"/>
    <w:rsid w:val="007C3EFE"/>
    <w:rsid w:val="007C7EF6"/>
    <w:rsid w:val="007F5D3F"/>
    <w:rsid w:val="00812807"/>
    <w:rsid w:val="00842129"/>
    <w:rsid w:val="00851CD4"/>
    <w:rsid w:val="00851F45"/>
    <w:rsid w:val="008577F5"/>
    <w:rsid w:val="00871774"/>
    <w:rsid w:val="008A2877"/>
    <w:rsid w:val="008B1E5F"/>
    <w:rsid w:val="008D450D"/>
    <w:rsid w:val="009168DE"/>
    <w:rsid w:val="00963CBF"/>
    <w:rsid w:val="009803B9"/>
    <w:rsid w:val="00987253"/>
    <w:rsid w:val="0099695B"/>
    <w:rsid w:val="00997178"/>
    <w:rsid w:val="00997419"/>
    <w:rsid w:val="009B4BA0"/>
    <w:rsid w:val="009C0445"/>
    <w:rsid w:val="009D5412"/>
    <w:rsid w:val="009D68F3"/>
    <w:rsid w:val="009E05B9"/>
    <w:rsid w:val="009F0102"/>
    <w:rsid w:val="00A36025"/>
    <w:rsid w:val="00A40380"/>
    <w:rsid w:val="00A51904"/>
    <w:rsid w:val="00A66BEE"/>
    <w:rsid w:val="00A71BBD"/>
    <w:rsid w:val="00A850A4"/>
    <w:rsid w:val="00A955B1"/>
    <w:rsid w:val="00AA59D6"/>
    <w:rsid w:val="00AC79F0"/>
    <w:rsid w:val="00AC7F18"/>
    <w:rsid w:val="00B01B48"/>
    <w:rsid w:val="00B04F11"/>
    <w:rsid w:val="00B25408"/>
    <w:rsid w:val="00B267EC"/>
    <w:rsid w:val="00B27628"/>
    <w:rsid w:val="00B557B9"/>
    <w:rsid w:val="00B64A4F"/>
    <w:rsid w:val="00B93E30"/>
    <w:rsid w:val="00BA5102"/>
    <w:rsid w:val="00BD0C6D"/>
    <w:rsid w:val="00BE3C26"/>
    <w:rsid w:val="00BE4B83"/>
    <w:rsid w:val="00BF3B6B"/>
    <w:rsid w:val="00C16E94"/>
    <w:rsid w:val="00C23EEB"/>
    <w:rsid w:val="00C24CC1"/>
    <w:rsid w:val="00C53D4B"/>
    <w:rsid w:val="00C81649"/>
    <w:rsid w:val="00C8446E"/>
    <w:rsid w:val="00C849AF"/>
    <w:rsid w:val="00CB3C1A"/>
    <w:rsid w:val="00CC3AA3"/>
    <w:rsid w:val="00CC58D5"/>
    <w:rsid w:val="00CC60BD"/>
    <w:rsid w:val="00CD528A"/>
    <w:rsid w:val="00CE34EC"/>
    <w:rsid w:val="00CE4DF8"/>
    <w:rsid w:val="00CE4F46"/>
    <w:rsid w:val="00CF59DD"/>
    <w:rsid w:val="00CF5A5A"/>
    <w:rsid w:val="00D169A2"/>
    <w:rsid w:val="00D27815"/>
    <w:rsid w:val="00D33E97"/>
    <w:rsid w:val="00D62E95"/>
    <w:rsid w:val="00D67B8D"/>
    <w:rsid w:val="00D71DEB"/>
    <w:rsid w:val="00D8053C"/>
    <w:rsid w:val="00E00E2C"/>
    <w:rsid w:val="00E05BCA"/>
    <w:rsid w:val="00E222FD"/>
    <w:rsid w:val="00E34D28"/>
    <w:rsid w:val="00E36C66"/>
    <w:rsid w:val="00E73117"/>
    <w:rsid w:val="00EE6E5C"/>
    <w:rsid w:val="00EF2CCC"/>
    <w:rsid w:val="00F424A5"/>
    <w:rsid w:val="00F451FA"/>
    <w:rsid w:val="00F51775"/>
    <w:rsid w:val="00F572F3"/>
    <w:rsid w:val="00F72FF4"/>
    <w:rsid w:val="00FA1F4D"/>
    <w:rsid w:val="00FA7C3B"/>
    <w:rsid w:val="00FC6A4F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0F3A"/>
  <w15:chartTrackingRefBased/>
  <w15:docId w15:val="{1505FA01-0CDF-4A79-B26B-B9408F2D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C3B"/>
  </w:style>
  <w:style w:type="paragraph" w:styleId="Pidipagina">
    <w:name w:val="footer"/>
    <w:basedOn w:val="Normale"/>
    <w:link w:val="PidipaginaCarattere"/>
    <w:uiPriority w:val="99"/>
    <w:unhideWhenUsed/>
    <w:rsid w:val="00FA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C3B"/>
  </w:style>
  <w:style w:type="paragraph" w:styleId="NormaleWeb">
    <w:name w:val="Normal (Web)"/>
    <w:basedOn w:val="Normale"/>
    <w:uiPriority w:val="99"/>
    <w:unhideWhenUsed/>
    <w:rsid w:val="00F7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F72FF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C3E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3EFE"/>
    <w:rPr>
      <w:color w:val="605E5C"/>
      <w:shd w:val="clear" w:color="auto" w:fill="E1DFDD"/>
    </w:rPr>
  </w:style>
  <w:style w:type="paragraph" w:customStyle="1" w:styleId="Default">
    <w:name w:val="Default"/>
    <w:rsid w:val="00B27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A0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</cp:revision>
  <dcterms:created xsi:type="dcterms:W3CDTF">2024-05-23T09:57:00Z</dcterms:created>
  <dcterms:modified xsi:type="dcterms:W3CDTF">2024-05-23T10:05:00Z</dcterms:modified>
</cp:coreProperties>
</file>