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FA37" w14:textId="77777777" w:rsidR="00AB4D4B" w:rsidRDefault="00AB4D4B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</w:p>
    <w:p w14:paraId="6884F405" w14:textId="77777777" w:rsidR="00AB4D4B" w:rsidRDefault="00AB4D4B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</w:p>
    <w:p w14:paraId="4B6A4E75" w14:textId="77777777" w:rsidR="00AB4D4B" w:rsidRPr="00AB4D4B" w:rsidRDefault="00AB4D4B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u w:val="single"/>
          <w:lang w:eastAsia="it-IT"/>
          <w14:ligatures w14:val="none"/>
        </w:rPr>
      </w:pPr>
      <w:r w:rsidRPr="00AB4D4B">
        <w:rPr>
          <w:rFonts w:ascii="Arial" w:eastAsia="Times New Roman" w:hAnsi="Arial" w:cs="Arial"/>
          <w:b/>
          <w:bCs/>
          <w:kern w:val="0"/>
          <w:u w:val="single"/>
          <w:lang w:eastAsia="it-IT"/>
          <w14:ligatures w14:val="none"/>
        </w:rPr>
        <w:t>Comunicato stampa</w:t>
      </w:r>
    </w:p>
    <w:p w14:paraId="5A278BE0" w14:textId="77777777" w:rsidR="00AB4D4B" w:rsidRPr="00AB4D4B" w:rsidRDefault="00AB4D4B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</w:p>
    <w:p w14:paraId="3A59906D" w14:textId="4850ADC7" w:rsidR="00AB4D4B" w:rsidRPr="00AB4D4B" w:rsidRDefault="00AB4D4B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  <w:r w:rsidRPr="00AB4D4B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VALUE CHAIN, LA RENDICONTAZIONE DELLE SOCIETÀ SECONDO L'ESRS1</w:t>
      </w:r>
    </w:p>
    <w:p w14:paraId="460CCC2A" w14:textId="77777777" w:rsidR="00AB4D4B" w:rsidRPr="00AB4D4B" w:rsidRDefault="00AB4D4B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</w:p>
    <w:p w14:paraId="40694662" w14:textId="7665C355" w:rsidR="00AB4D4B" w:rsidRDefault="00AB4D4B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  <w:r w:rsidRPr="00AB4D4B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Il Consiglio nazionale dei commercialisti pubblica il quinto numero dell’Informativa Reporting di Sostenibilità (IRS) con focus sull’utilizzo di stime e proxy di settore</w:t>
      </w:r>
    </w:p>
    <w:p w14:paraId="5E2CE9D2" w14:textId="77777777" w:rsidR="004B79DB" w:rsidRPr="00AB4D4B" w:rsidRDefault="004B79DB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</w:p>
    <w:p w14:paraId="01EBCA7D" w14:textId="77777777" w:rsidR="002F1808" w:rsidRPr="00AB4D4B" w:rsidRDefault="002F1808" w:rsidP="002F180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1A6FB66" w14:textId="760DB732" w:rsidR="00AB4D4B" w:rsidRPr="00AB4D4B" w:rsidRDefault="002F1808" w:rsidP="00AB4D4B">
      <w:pPr>
        <w:spacing w:after="0" w:line="240" w:lineRule="auto"/>
        <w:jc w:val="both"/>
        <w:rPr>
          <w:rFonts w:ascii="Arial" w:hAnsi="Arial" w:cs="Arial"/>
        </w:rPr>
      </w:pPr>
      <w:r w:rsidRPr="00AB4D4B">
        <w:rPr>
          <w:rFonts w:ascii="Arial" w:hAnsi="Arial" w:cs="Arial"/>
          <w:i/>
          <w:iCs/>
        </w:rPr>
        <w:t xml:space="preserve">Roma, </w:t>
      </w:r>
      <w:r w:rsidR="00AB4D4B" w:rsidRPr="00AB4D4B">
        <w:rPr>
          <w:rFonts w:ascii="Arial" w:hAnsi="Arial" w:cs="Arial"/>
          <w:i/>
          <w:iCs/>
        </w:rPr>
        <w:t>21</w:t>
      </w:r>
      <w:r w:rsidRPr="00AB4D4B">
        <w:rPr>
          <w:rFonts w:ascii="Arial" w:hAnsi="Arial" w:cs="Arial"/>
          <w:i/>
          <w:iCs/>
        </w:rPr>
        <w:t xml:space="preserve"> maggio 202</w:t>
      </w:r>
      <w:r w:rsidR="00A27023" w:rsidRPr="00AB4D4B">
        <w:rPr>
          <w:rFonts w:ascii="Arial" w:hAnsi="Arial" w:cs="Arial"/>
          <w:i/>
          <w:iCs/>
        </w:rPr>
        <w:t>4</w:t>
      </w:r>
      <w:r w:rsidRPr="00AB4D4B">
        <w:rPr>
          <w:rFonts w:ascii="Arial" w:hAnsi="Arial" w:cs="Arial"/>
        </w:rPr>
        <w:t xml:space="preserve"> – </w:t>
      </w:r>
      <w:r w:rsidR="00AB4D4B" w:rsidRPr="00AB4D4B">
        <w:rPr>
          <w:rFonts w:ascii="Arial" w:hAnsi="Arial" w:cs="Arial"/>
        </w:rPr>
        <w:t>"</w:t>
      </w:r>
      <w:r w:rsidR="00AB4D4B" w:rsidRPr="004B79DB">
        <w:rPr>
          <w:rFonts w:ascii="Arial" w:hAnsi="Arial" w:cs="Arial"/>
          <w:b/>
          <w:bCs/>
        </w:rPr>
        <w:t>Value Chain: Rendicontazione da parte delle società degli impatti, dei rischi e delle opportunità materiali connessi con la catena del valore secondo l’ESRS1. Utilizzo di stime e proxy di settore</w:t>
      </w:r>
      <w:r w:rsidR="00AB4D4B" w:rsidRPr="00AB4D4B">
        <w:rPr>
          <w:rFonts w:ascii="Arial" w:hAnsi="Arial" w:cs="Arial"/>
        </w:rPr>
        <w:t>" è il titolo del quinto numero dell'Informativa Reporting di Sostenibilità (IRS), pubblicato dal Consiglio nazionale dei commercialisti.</w:t>
      </w:r>
    </w:p>
    <w:p w14:paraId="4E0741B5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</w:p>
    <w:p w14:paraId="0770ABCD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  <w:r w:rsidRPr="00AB4D4B">
        <w:rPr>
          <w:rFonts w:ascii="Arial" w:hAnsi="Arial" w:cs="Arial"/>
        </w:rPr>
        <w:t xml:space="preserve">Il documento, elaborato dalla commissione Reporting di sostenibilità, presieduta da </w:t>
      </w:r>
      <w:proofErr w:type="spellStart"/>
      <w:r w:rsidRPr="004B79DB">
        <w:rPr>
          <w:rFonts w:ascii="Arial" w:hAnsi="Arial" w:cs="Arial"/>
          <w:b/>
          <w:bCs/>
        </w:rPr>
        <w:t>Angeloantonio</w:t>
      </w:r>
      <w:proofErr w:type="spellEnd"/>
      <w:r w:rsidRPr="004B79DB">
        <w:rPr>
          <w:rFonts w:ascii="Arial" w:hAnsi="Arial" w:cs="Arial"/>
          <w:b/>
          <w:bCs/>
        </w:rPr>
        <w:t xml:space="preserve"> Russo</w:t>
      </w:r>
      <w:r w:rsidRPr="00AB4D4B">
        <w:rPr>
          <w:rFonts w:ascii="Arial" w:hAnsi="Arial" w:cs="Arial"/>
        </w:rPr>
        <w:t xml:space="preserve"> nell'ambito dell'area di delega Sviluppo sostenibile del consigliere </w:t>
      </w:r>
      <w:r w:rsidRPr="004B79DB">
        <w:rPr>
          <w:rFonts w:ascii="Arial" w:hAnsi="Arial" w:cs="Arial"/>
          <w:b/>
          <w:bCs/>
        </w:rPr>
        <w:t>Gian Luca Galletti</w:t>
      </w:r>
      <w:r w:rsidRPr="00AB4D4B">
        <w:rPr>
          <w:rFonts w:ascii="Arial" w:hAnsi="Arial" w:cs="Arial"/>
        </w:rPr>
        <w:t xml:space="preserve">, è stato curato da </w:t>
      </w:r>
      <w:r w:rsidRPr="004B79DB">
        <w:rPr>
          <w:rFonts w:ascii="Arial" w:hAnsi="Arial" w:cs="Arial"/>
          <w:b/>
          <w:bCs/>
        </w:rPr>
        <w:t>Stefania Milanesi</w:t>
      </w:r>
      <w:r w:rsidRPr="00AB4D4B">
        <w:rPr>
          <w:rFonts w:ascii="Arial" w:hAnsi="Arial" w:cs="Arial"/>
        </w:rPr>
        <w:t xml:space="preserve"> ed </w:t>
      </w:r>
      <w:proofErr w:type="spellStart"/>
      <w:r w:rsidRPr="004B79DB">
        <w:rPr>
          <w:rFonts w:ascii="Arial" w:hAnsi="Arial" w:cs="Arial"/>
          <w:b/>
          <w:bCs/>
        </w:rPr>
        <w:t>Emmanuela</w:t>
      </w:r>
      <w:proofErr w:type="spellEnd"/>
      <w:r w:rsidRPr="004B79DB">
        <w:rPr>
          <w:rFonts w:ascii="Arial" w:hAnsi="Arial" w:cs="Arial"/>
          <w:b/>
          <w:bCs/>
        </w:rPr>
        <w:t xml:space="preserve"> Saggese</w:t>
      </w:r>
      <w:r w:rsidRPr="00AB4D4B">
        <w:rPr>
          <w:rFonts w:ascii="Arial" w:hAnsi="Arial" w:cs="Arial"/>
        </w:rPr>
        <w:t>.</w:t>
      </w:r>
    </w:p>
    <w:p w14:paraId="087B924C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</w:p>
    <w:p w14:paraId="07A81147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  <w:r w:rsidRPr="00AB4D4B">
        <w:rPr>
          <w:rFonts w:ascii="Arial" w:hAnsi="Arial" w:cs="Arial"/>
        </w:rPr>
        <w:t xml:space="preserve">La </w:t>
      </w:r>
      <w:r w:rsidRPr="004B79DB">
        <w:rPr>
          <w:rFonts w:ascii="Arial" w:hAnsi="Arial" w:cs="Arial"/>
          <w:b/>
          <w:bCs/>
        </w:rPr>
        <w:t>Value Chain</w:t>
      </w:r>
      <w:r w:rsidRPr="00AB4D4B">
        <w:rPr>
          <w:rFonts w:ascii="Arial" w:hAnsi="Arial" w:cs="Arial"/>
        </w:rPr>
        <w:t>, catena del valore, è costituita dall’insieme dei rapporti commerciali diretti e indiretti a monte e/o a valle che la società che si appresta a redigere il Report di sostenibilità intrattiene con gli attori di tale catena.</w:t>
      </w:r>
    </w:p>
    <w:p w14:paraId="55AB95F3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</w:p>
    <w:p w14:paraId="32A47E38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  <w:r w:rsidRPr="00AB4D4B">
        <w:rPr>
          <w:rFonts w:ascii="Arial" w:hAnsi="Arial" w:cs="Arial"/>
        </w:rPr>
        <w:t xml:space="preserve">Nell’ottica di richiedere a tutte le società obbligate ad effettuare il Rendiconto di sostenibilità un perimetro più ampio rispetto alle informazioni del loro bilancio, l’art. 19 bis della </w:t>
      </w:r>
      <w:r w:rsidRPr="004B79DB">
        <w:rPr>
          <w:rFonts w:ascii="Arial" w:hAnsi="Arial" w:cs="Arial"/>
          <w:b/>
          <w:bCs/>
        </w:rPr>
        <w:t>Direttiva della Comunità Europea n. 34 del 26/06/2013</w:t>
      </w:r>
      <w:r w:rsidRPr="00AB4D4B">
        <w:rPr>
          <w:rFonts w:ascii="Arial" w:hAnsi="Arial" w:cs="Arial"/>
        </w:rPr>
        <w:t xml:space="preserve"> ha previsto la raccolta di informazioni e la valutazione degli impatti negativi, anche potenziali, legati sia all’attività dell’impresa sia alla sua catena del valore.</w:t>
      </w:r>
    </w:p>
    <w:p w14:paraId="6B8AF63E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</w:p>
    <w:p w14:paraId="4D15A8CD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  <w:r w:rsidRPr="00AB4D4B">
        <w:rPr>
          <w:rFonts w:ascii="Arial" w:hAnsi="Arial" w:cs="Arial"/>
        </w:rPr>
        <w:t xml:space="preserve">L’obbligo di prendere in considerazione anche le aziende e gli altri interlocutori che si trovano nella catena del valore dell’impresa è regolamentato anche in altri punti della Direttiva 2013/34/UE: dall’art. 29 bis par. 2, lett. f) p.to ii) che tratta della </w:t>
      </w:r>
      <w:r w:rsidRPr="004B79DB">
        <w:rPr>
          <w:rFonts w:ascii="Arial" w:hAnsi="Arial" w:cs="Arial"/>
          <w:b/>
          <w:bCs/>
        </w:rPr>
        <w:t>Rendicontazione consolidata della sostenibilità</w:t>
      </w:r>
      <w:r w:rsidRPr="00AB4D4B">
        <w:rPr>
          <w:rFonts w:ascii="Arial" w:hAnsi="Arial" w:cs="Arial"/>
        </w:rPr>
        <w:t xml:space="preserve"> e dall’art. 29 ter che espone i </w:t>
      </w:r>
      <w:r w:rsidRPr="004B79DB">
        <w:rPr>
          <w:rFonts w:ascii="Arial" w:hAnsi="Arial" w:cs="Arial"/>
          <w:b/>
          <w:bCs/>
        </w:rPr>
        <w:t>Principi di Rendicontazione di Sostenibilità</w:t>
      </w:r>
      <w:r w:rsidRPr="00AB4D4B">
        <w:rPr>
          <w:rFonts w:ascii="Arial" w:hAnsi="Arial" w:cs="Arial"/>
        </w:rPr>
        <w:t>.</w:t>
      </w:r>
    </w:p>
    <w:p w14:paraId="52F9991D" w14:textId="77777777" w:rsidR="00AB4D4B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</w:p>
    <w:p w14:paraId="7EED69FB" w14:textId="4C73C2CE" w:rsidR="002F1808" w:rsidRPr="00AB4D4B" w:rsidRDefault="00AB4D4B" w:rsidP="00AB4D4B">
      <w:pPr>
        <w:spacing w:after="0" w:line="240" w:lineRule="auto"/>
        <w:jc w:val="both"/>
        <w:rPr>
          <w:rFonts w:ascii="Arial" w:hAnsi="Arial" w:cs="Arial"/>
        </w:rPr>
      </w:pPr>
      <w:r w:rsidRPr="00AB4D4B">
        <w:rPr>
          <w:rFonts w:ascii="Arial" w:hAnsi="Arial" w:cs="Arial"/>
        </w:rPr>
        <w:t xml:space="preserve">L’ESRS 1 affronta il tema della Value chain fornendo delle </w:t>
      </w:r>
      <w:r w:rsidRPr="004B79DB">
        <w:rPr>
          <w:rFonts w:ascii="Arial" w:hAnsi="Arial" w:cs="Arial"/>
          <w:b/>
          <w:bCs/>
        </w:rPr>
        <w:t>linee guida</w:t>
      </w:r>
      <w:r w:rsidRPr="00AB4D4B">
        <w:rPr>
          <w:rFonts w:ascii="Arial" w:hAnsi="Arial" w:cs="Arial"/>
        </w:rPr>
        <w:t xml:space="preserve"> su quando e come applicare l’estensione della raccolta di informazioni. Tale ampiamento è determinato dagli </w:t>
      </w:r>
      <w:r w:rsidRPr="004B79DB">
        <w:rPr>
          <w:rFonts w:ascii="Arial" w:hAnsi="Arial" w:cs="Arial"/>
          <w:b/>
          <w:bCs/>
        </w:rPr>
        <w:t>esiti della Due Diligence</w:t>
      </w:r>
      <w:r w:rsidRPr="00AB4D4B">
        <w:rPr>
          <w:rFonts w:ascii="Arial" w:hAnsi="Arial" w:cs="Arial"/>
        </w:rPr>
        <w:t xml:space="preserve"> e della </w:t>
      </w:r>
      <w:r w:rsidRPr="004B79DB">
        <w:rPr>
          <w:rFonts w:ascii="Arial" w:hAnsi="Arial" w:cs="Arial"/>
          <w:b/>
          <w:bCs/>
        </w:rPr>
        <w:t>Valutazione di doppia materialità</w:t>
      </w:r>
      <w:r w:rsidRPr="00AB4D4B">
        <w:rPr>
          <w:rFonts w:ascii="Arial" w:hAnsi="Arial" w:cs="Arial"/>
        </w:rPr>
        <w:t>. In alcuni casi specifici, l’ESRS 1 prevede la possibilità di utilizzare dei Proxy di settore.</w:t>
      </w:r>
    </w:p>
    <w:sectPr w:rsidR="002F1808" w:rsidRPr="00AB4D4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520A" w14:textId="77777777" w:rsidR="00BA4C62" w:rsidRDefault="00BA4C62" w:rsidP="002F1808">
      <w:pPr>
        <w:spacing w:after="0" w:line="240" w:lineRule="auto"/>
      </w:pPr>
      <w:r>
        <w:separator/>
      </w:r>
    </w:p>
  </w:endnote>
  <w:endnote w:type="continuationSeparator" w:id="0">
    <w:p w14:paraId="265020CD" w14:textId="77777777" w:rsidR="00BA4C62" w:rsidRDefault="00BA4C62" w:rsidP="002F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D9E3" w14:textId="77777777" w:rsidR="00BA4C62" w:rsidRDefault="00BA4C62" w:rsidP="002F1808">
      <w:pPr>
        <w:spacing w:after="0" w:line="240" w:lineRule="auto"/>
      </w:pPr>
      <w:r>
        <w:separator/>
      </w:r>
    </w:p>
  </w:footnote>
  <w:footnote w:type="continuationSeparator" w:id="0">
    <w:p w14:paraId="0E480115" w14:textId="77777777" w:rsidR="00BA4C62" w:rsidRDefault="00BA4C62" w:rsidP="002F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9518" w14:textId="506EF678" w:rsidR="002F1808" w:rsidRDefault="002F1808" w:rsidP="002F1808">
    <w:pPr>
      <w:pStyle w:val="Intestazione"/>
      <w:jc w:val="center"/>
    </w:pPr>
    <w:r>
      <w:rPr>
        <w:noProof/>
      </w:rPr>
      <w:drawing>
        <wp:inline distT="0" distB="0" distL="0" distR="0" wp14:anchorId="4BF2450A" wp14:editId="284F7C9B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8"/>
    <w:rsid w:val="000E46A8"/>
    <w:rsid w:val="000F40DA"/>
    <w:rsid w:val="00101806"/>
    <w:rsid w:val="00117529"/>
    <w:rsid w:val="002226B6"/>
    <w:rsid w:val="002372CC"/>
    <w:rsid w:val="00287E93"/>
    <w:rsid w:val="002F1808"/>
    <w:rsid w:val="002F5130"/>
    <w:rsid w:val="003E4C16"/>
    <w:rsid w:val="004B79DB"/>
    <w:rsid w:val="004F6460"/>
    <w:rsid w:val="00563731"/>
    <w:rsid w:val="0057478B"/>
    <w:rsid w:val="005B3E75"/>
    <w:rsid w:val="006B5466"/>
    <w:rsid w:val="00705365"/>
    <w:rsid w:val="007856BE"/>
    <w:rsid w:val="008B589E"/>
    <w:rsid w:val="00980EF3"/>
    <w:rsid w:val="00A27023"/>
    <w:rsid w:val="00AB4D4B"/>
    <w:rsid w:val="00B550CE"/>
    <w:rsid w:val="00BA4C62"/>
    <w:rsid w:val="00BC6C3B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713"/>
  <w15:chartTrackingRefBased/>
  <w15:docId w15:val="{F39272D5-B4E4-45D6-BFE9-2B51672A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18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18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18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18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18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18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18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18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18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18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18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18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180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180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180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180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180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180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18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18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1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F18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180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F180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F180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18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180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F180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F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2F1808"/>
    <w:rPr>
      <w:i/>
      <w:iCs/>
    </w:rPr>
  </w:style>
  <w:style w:type="character" w:styleId="Enfasigrassetto">
    <w:name w:val="Strong"/>
    <w:basedOn w:val="Carpredefinitoparagrafo"/>
    <w:uiPriority w:val="22"/>
    <w:qFormat/>
    <w:rsid w:val="002F180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180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1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808"/>
  </w:style>
  <w:style w:type="paragraph" w:styleId="Pidipagina">
    <w:name w:val="footer"/>
    <w:basedOn w:val="Normale"/>
    <w:link w:val="PidipaginaCarattere"/>
    <w:uiPriority w:val="99"/>
    <w:unhideWhenUsed/>
    <w:rsid w:val="002F1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</cp:revision>
  <cp:lastPrinted>2024-05-14T09:54:00Z</cp:lastPrinted>
  <dcterms:created xsi:type="dcterms:W3CDTF">2024-05-21T10:18:00Z</dcterms:created>
  <dcterms:modified xsi:type="dcterms:W3CDTF">2024-05-21T10:22:00Z</dcterms:modified>
</cp:coreProperties>
</file>