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8F1F8" w14:textId="77777777" w:rsidR="001A0044" w:rsidRPr="007E7258" w:rsidRDefault="001A0044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FC6340" w14:textId="7E240240" w:rsidR="00A24D5A" w:rsidRDefault="00A24D5A" w:rsidP="00A24D5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0FB7">
        <w:rPr>
          <w:rFonts w:ascii="Arial" w:hAnsi="Arial" w:cs="Arial"/>
          <w:b/>
          <w:bCs/>
          <w:sz w:val="24"/>
          <w:szCs w:val="24"/>
        </w:rPr>
        <w:t>C</w:t>
      </w:r>
      <w:r w:rsidR="00D41B7B" w:rsidRPr="00C70FB7">
        <w:rPr>
          <w:rFonts w:ascii="Arial" w:hAnsi="Arial" w:cs="Arial"/>
          <w:b/>
          <w:bCs/>
          <w:sz w:val="24"/>
          <w:szCs w:val="24"/>
        </w:rPr>
        <w:t>omunicato stampa</w:t>
      </w:r>
    </w:p>
    <w:p w14:paraId="51E32BF7" w14:textId="77777777" w:rsidR="00524E3F" w:rsidRDefault="00524E3F" w:rsidP="00A24D5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A244AD" w14:textId="23C27F2E" w:rsidR="001516BF" w:rsidRDefault="00A04552" w:rsidP="001516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STATI GENERALI COMMERCIALISTI/DE NUCCIO: </w:t>
      </w:r>
      <w:r w:rsidR="001516BF" w:rsidRPr="00A8609B">
        <w:rPr>
          <w:rFonts w:ascii="Arial" w:hAnsi="Arial" w:cs="Arial"/>
          <w:b/>
          <w:bCs/>
          <w:sz w:val="24"/>
          <w:szCs w:val="24"/>
        </w:rPr>
        <w:t xml:space="preserve">“ORA </w:t>
      </w:r>
      <w:r>
        <w:rPr>
          <w:rFonts w:ascii="Arial" w:hAnsi="Arial" w:cs="Arial"/>
          <w:b/>
          <w:bCs/>
          <w:sz w:val="24"/>
          <w:szCs w:val="24"/>
        </w:rPr>
        <w:t>GUARDARE AL</w:t>
      </w:r>
      <w:r w:rsidR="001516BF" w:rsidRPr="00A8609B">
        <w:rPr>
          <w:rFonts w:ascii="Arial" w:hAnsi="Arial" w:cs="Arial"/>
          <w:b/>
          <w:bCs/>
          <w:sz w:val="24"/>
          <w:szCs w:val="24"/>
        </w:rPr>
        <w:t xml:space="preserve"> CETO MEDIO”</w:t>
      </w:r>
    </w:p>
    <w:p w14:paraId="21186424" w14:textId="77777777" w:rsidR="00325031" w:rsidRDefault="00325031" w:rsidP="001516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7A96C5" w14:textId="5A504F82" w:rsidR="00B73645" w:rsidRDefault="00CC251E" w:rsidP="001516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categoria propone di ampliare lo scaglione con aliquota al 35% da 50 a 70mila euro</w:t>
      </w:r>
    </w:p>
    <w:p w14:paraId="6C42C1DA" w14:textId="77777777" w:rsidR="00926020" w:rsidRPr="00A8609B" w:rsidRDefault="00926020" w:rsidP="001516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38ADE0" w14:textId="77685D2D" w:rsidR="00B73645" w:rsidRDefault="00B73645" w:rsidP="00B73645">
      <w:pPr>
        <w:jc w:val="both"/>
        <w:rPr>
          <w:rFonts w:ascii="Arial" w:hAnsi="Arial" w:cs="Arial"/>
          <w:sz w:val="24"/>
          <w:szCs w:val="24"/>
        </w:rPr>
      </w:pPr>
      <w:r w:rsidRPr="0037521F">
        <w:rPr>
          <w:rFonts w:ascii="Arial" w:hAnsi="Arial" w:cs="Arial"/>
          <w:i/>
          <w:iCs/>
          <w:sz w:val="24"/>
          <w:szCs w:val="24"/>
        </w:rPr>
        <w:t>Roma, 7 maggio 2024</w:t>
      </w:r>
      <w:r>
        <w:rPr>
          <w:rFonts w:ascii="Arial" w:hAnsi="Arial" w:cs="Arial"/>
          <w:sz w:val="24"/>
          <w:szCs w:val="24"/>
        </w:rPr>
        <w:t xml:space="preserve"> – “</w:t>
      </w:r>
      <w:r w:rsidRPr="00B73645">
        <w:rPr>
          <w:rFonts w:ascii="Arial" w:hAnsi="Arial" w:cs="Arial"/>
          <w:sz w:val="24"/>
          <w:szCs w:val="24"/>
        </w:rPr>
        <w:t xml:space="preserve">I vantaggi del “primo modulo” della riforma dell’Irpef </w:t>
      </w:r>
      <w:r>
        <w:rPr>
          <w:rFonts w:ascii="Arial" w:hAnsi="Arial" w:cs="Arial"/>
          <w:sz w:val="24"/>
          <w:szCs w:val="24"/>
        </w:rPr>
        <w:t xml:space="preserve">non </w:t>
      </w:r>
      <w:r w:rsidRPr="00B73645">
        <w:rPr>
          <w:rFonts w:ascii="Arial" w:hAnsi="Arial" w:cs="Arial"/>
          <w:sz w:val="24"/>
          <w:szCs w:val="24"/>
        </w:rPr>
        <w:t xml:space="preserve">hanno </w:t>
      </w:r>
      <w:r>
        <w:rPr>
          <w:rFonts w:ascii="Arial" w:hAnsi="Arial" w:cs="Arial"/>
          <w:sz w:val="24"/>
          <w:szCs w:val="24"/>
        </w:rPr>
        <w:t>riguardato</w:t>
      </w:r>
      <w:r w:rsidRPr="00B73645">
        <w:rPr>
          <w:rFonts w:ascii="Arial" w:hAnsi="Arial" w:cs="Arial"/>
          <w:sz w:val="24"/>
          <w:szCs w:val="24"/>
        </w:rPr>
        <w:t xml:space="preserve"> i contribuenti con redditi superiori ai 50mila euro. I redditi superiori a 50mila euro scontano un’aliquota Irpef del 43%.</w:t>
      </w:r>
      <w:r>
        <w:rPr>
          <w:rFonts w:ascii="Arial" w:hAnsi="Arial" w:cs="Arial"/>
          <w:sz w:val="24"/>
          <w:szCs w:val="24"/>
        </w:rPr>
        <w:t xml:space="preserve"> È arrivato a nostro avviso il momento di guardare anche a questa fascia di </w:t>
      </w:r>
      <w:r w:rsidRPr="00B73645">
        <w:rPr>
          <w:rFonts w:ascii="Arial" w:hAnsi="Arial" w:cs="Arial"/>
          <w:b/>
          <w:bCs/>
          <w:sz w:val="24"/>
          <w:szCs w:val="24"/>
        </w:rPr>
        <w:t>ceto medio</w:t>
      </w:r>
      <w:r>
        <w:rPr>
          <w:rFonts w:ascii="Arial" w:hAnsi="Arial" w:cs="Arial"/>
          <w:sz w:val="24"/>
          <w:szCs w:val="24"/>
        </w:rPr>
        <w:t xml:space="preserve">. </w:t>
      </w:r>
      <w:r w:rsidRPr="00B73645">
        <w:rPr>
          <w:rFonts w:ascii="Arial" w:hAnsi="Arial" w:cs="Arial"/>
          <w:sz w:val="24"/>
          <w:szCs w:val="24"/>
        </w:rPr>
        <w:t>Un eventuale intervento</w:t>
      </w:r>
      <w:r w:rsidR="006D7941">
        <w:rPr>
          <w:rFonts w:ascii="Arial" w:hAnsi="Arial" w:cs="Arial"/>
          <w:sz w:val="24"/>
          <w:szCs w:val="24"/>
        </w:rPr>
        <w:t xml:space="preserve"> a</w:t>
      </w:r>
      <w:r w:rsidRPr="00B73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suo favore</w:t>
      </w:r>
      <w:r w:rsidRPr="00B73645">
        <w:rPr>
          <w:rFonts w:ascii="Arial" w:hAnsi="Arial" w:cs="Arial"/>
          <w:sz w:val="24"/>
          <w:szCs w:val="24"/>
        </w:rPr>
        <w:t xml:space="preserve">, da </w:t>
      </w:r>
      <w:r w:rsidRPr="00B73645">
        <w:rPr>
          <w:rFonts w:ascii="Arial" w:hAnsi="Arial" w:cs="Arial"/>
          <w:b/>
          <w:bCs/>
          <w:sz w:val="24"/>
          <w:szCs w:val="24"/>
        </w:rPr>
        <w:t>modulare</w:t>
      </w:r>
      <w:r w:rsidRPr="00B73645">
        <w:rPr>
          <w:rFonts w:ascii="Arial" w:hAnsi="Arial" w:cs="Arial"/>
          <w:sz w:val="24"/>
          <w:szCs w:val="24"/>
        </w:rPr>
        <w:t xml:space="preserve"> in funzione delle </w:t>
      </w:r>
      <w:r w:rsidRPr="00B73645">
        <w:rPr>
          <w:rFonts w:ascii="Arial" w:hAnsi="Arial" w:cs="Arial"/>
          <w:b/>
          <w:bCs/>
          <w:sz w:val="24"/>
          <w:szCs w:val="24"/>
        </w:rPr>
        <w:t>risorse disponibili</w:t>
      </w:r>
      <w:r w:rsidRPr="00B73645">
        <w:rPr>
          <w:rFonts w:ascii="Arial" w:hAnsi="Arial" w:cs="Arial"/>
          <w:sz w:val="24"/>
          <w:szCs w:val="24"/>
        </w:rPr>
        <w:t xml:space="preserve">, potrebbe interessare un </w:t>
      </w:r>
      <w:r w:rsidRPr="00B73645">
        <w:rPr>
          <w:rFonts w:ascii="Arial" w:hAnsi="Arial" w:cs="Arial"/>
          <w:b/>
          <w:bCs/>
          <w:sz w:val="24"/>
          <w:szCs w:val="24"/>
        </w:rPr>
        <w:t>ampliamento del secondo scaglione</w:t>
      </w:r>
      <w:r w:rsidRPr="00B73645">
        <w:rPr>
          <w:rFonts w:ascii="Arial" w:hAnsi="Arial" w:cs="Arial"/>
          <w:sz w:val="24"/>
          <w:szCs w:val="24"/>
        </w:rPr>
        <w:t xml:space="preserve"> di reddito, quello con </w:t>
      </w:r>
      <w:r w:rsidRPr="00B73645">
        <w:rPr>
          <w:rFonts w:ascii="Arial" w:hAnsi="Arial" w:cs="Arial"/>
          <w:b/>
          <w:bCs/>
          <w:sz w:val="24"/>
          <w:szCs w:val="24"/>
        </w:rPr>
        <w:t>aliquota al 35%,</w:t>
      </w:r>
      <w:r w:rsidRPr="00B73645">
        <w:rPr>
          <w:rFonts w:ascii="Arial" w:hAnsi="Arial" w:cs="Arial"/>
          <w:sz w:val="24"/>
          <w:szCs w:val="24"/>
        </w:rPr>
        <w:t xml:space="preserve"> da </w:t>
      </w:r>
      <w:r w:rsidRPr="00B73645">
        <w:rPr>
          <w:rFonts w:ascii="Arial" w:hAnsi="Arial" w:cs="Arial"/>
          <w:b/>
          <w:bCs/>
          <w:sz w:val="24"/>
          <w:szCs w:val="24"/>
        </w:rPr>
        <w:t>50mila a 70mila euro</w:t>
      </w:r>
      <w:r w:rsidRPr="00B73645">
        <w:rPr>
          <w:rFonts w:ascii="Arial" w:hAnsi="Arial" w:cs="Arial"/>
          <w:sz w:val="24"/>
          <w:szCs w:val="24"/>
        </w:rPr>
        <w:t xml:space="preserve">. Tale misura risulterebbe </w:t>
      </w:r>
      <w:r w:rsidRPr="00B73645">
        <w:rPr>
          <w:rFonts w:ascii="Arial" w:hAnsi="Arial" w:cs="Arial"/>
          <w:b/>
          <w:bCs/>
          <w:sz w:val="24"/>
          <w:szCs w:val="24"/>
        </w:rPr>
        <w:t>neutra</w:t>
      </w:r>
      <w:r w:rsidRPr="00B73645">
        <w:rPr>
          <w:rFonts w:ascii="Arial" w:hAnsi="Arial" w:cs="Arial"/>
          <w:sz w:val="24"/>
          <w:szCs w:val="24"/>
        </w:rPr>
        <w:t xml:space="preserve"> rispetto alle varie tipologie di reddito e, pertanto, rispetterebbe il principio di </w:t>
      </w:r>
      <w:r w:rsidRPr="00B73645">
        <w:rPr>
          <w:rFonts w:ascii="Arial" w:hAnsi="Arial" w:cs="Arial"/>
          <w:b/>
          <w:bCs/>
          <w:sz w:val="24"/>
          <w:szCs w:val="24"/>
        </w:rPr>
        <w:t>equità orizzontale</w:t>
      </w:r>
      <w:r>
        <w:rPr>
          <w:rFonts w:ascii="Arial" w:hAnsi="Arial" w:cs="Arial"/>
          <w:sz w:val="24"/>
          <w:szCs w:val="24"/>
        </w:rPr>
        <w:t>”</w:t>
      </w:r>
      <w:r w:rsidRPr="00B7364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È quanto affermato dal presidente del Consiglio nazionale dei commercialisti, </w:t>
      </w:r>
      <w:r w:rsidRPr="00B73645">
        <w:rPr>
          <w:rFonts w:ascii="Arial" w:hAnsi="Arial" w:cs="Arial"/>
          <w:b/>
          <w:bCs/>
          <w:sz w:val="24"/>
          <w:szCs w:val="24"/>
        </w:rPr>
        <w:t>Elbano de Nuccio</w:t>
      </w:r>
      <w:r>
        <w:rPr>
          <w:rFonts w:ascii="Arial" w:hAnsi="Arial" w:cs="Arial"/>
          <w:sz w:val="24"/>
          <w:szCs w:val="24"/>
        </w:rPr>
        <w:t xml:space="preserve">, agli </w:t>
      </w:r>
      <w:r w:rsidRPr="00B73645">
        <w:rPr>
          <w:rFonts w:ascii="Arial" w:hAnsi="Arial" w:cs="Arial"/>
          <w:b/>
          <w:bCs/>
          <w:sz w:val="24"/>
          <w:szCs w:val="24"/>
        </w:rPr>
        <w:t>Stati generali</w:t>
      </w:r>
      <w:r>
        <w:rPr>
          <w:rFonts w:ascii="Arial" w:hAnsi="Arial" w:cs="Arial"/>
          <w:sz w:val="24"/>
          <w:szCs w:val="24"/>
        </w:rPr>
        <w:t xml:space="preserve"> della professione, in corso di svolgimento a Roma. </w:t>
      </w:r>
    </w:p>
    <w:p w14:paraId="5BCB802D" w14:textId="77777777" w:rsidR="00B73645" w:rsidRDefault="00B73645" w:rsidP="00B73645">
      <w:pPr>
        <w:jc w:val="both"/>
        <w:rPr>
          <w:rFonts w:ascii="Arial" w:hAnsi="Arial" w:cs="Arial"/>
          <w:sz w:val="24"/>
          <w:szCs w:val="24"/>
        </w:rPr>
      </w:pPr>
    </w:p>
    <w:p w14:paraId="5592C3D5" w14:textId="092B5C40" w:rsidR="00B73645" w:rsidRDefault="00B73645" w:rsidP="00B73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73645">
        <w:rPr>
          <w:rFonts w:ascii="Arial" w:hAnsi="Arial" w:cs="Arial"/>
          <w:sz w:val="24"/>
          <w:szCs w:val="24"/>
        </w:rPr>
        <w:t xml:space="preserve">L’intervento </w:t>
      </w:r>
      <w:r w:rsidR="00BF43C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ha spiegato </w:t>
      </w:r>
      <w:r w:rsidR="00BF43C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F43C8">
        <w:rPr>
          <w:rFonts w:ascii="Arial" w:hAnsi="Arial" w:cs="Arial"/>
          <w:sz w:val="24"/>
          <w:szCs w:val="24"/>
        </w:rPr>
        <w:t>a</w:t>
      </w:r>
      <w:r w:rsidRPr="00B73645">
        <w:rPr>
          <w:rFonts w:ascii="Arial" w:hAnsi="Arial" w:cs="Arial"/>
          <w:sz w:val="24"/>
          <w:szCs w:val="24"/>
        </w:rPr>
        <w:t xml:space="preserve">vrebbe certamente un </w:t>
      </w:r>
      <w:r w:rsidRPr="00B73645">
        <w:rPr>
          <w:rFonts w:ascii="Arial" w:hAnsi="Arial" w:cs="Arial"/>
          <w:b/>
          <w:bCs/>
          <w:sz w:val="24"/>
          <w:szCs w:val="24"/>
        </w:rPr>
        <w:t>costo</w:t>
      </w:r>
      <w:r w:rsidRPr="00B73645">
        <w:rPr>
          <w:rFonts w:ascii="Arial" w:hAnsi="Arial" w:cs="Arial"/>
          <w:sz w:val="24"/>
          <w:szCs w:val="24"/>
        </w:rPr>
        <w:t xml:space="preserve">, ma sarebbe comunque </w:t>
      </w:r>
      <w:r w:rsidRPr="00B73645">
        <w:rPr>
          <w:rFonts w:ascii="Arial" w:hAnsi="Arial" w:cs="Arial"/>
          <w:b/>
          <w:bCs/>
          <w:sz w:val="24"/>
          <w:szCs w:val="24"/>
        </w:rPr>
        <w:t>contenuto</w:t>
      </w:r>
      <w:r w:rsidRPr="00B73645">
        <w:rPr>
          <w:rFonts w:ascii="Arial" w:hAnsi="Arial" w:cs="Arial"/>
          <w:sz w:val="24"/>
          <w:szCs w:val="24"/>
        </w:rPr>
        <w:t xml:space="preserve"> entro un </w:t>
      </w:r>
      <w:r w:rsidRPr="00B73645">
        <w:rPr>
          <w:rFonts w:ascii="Arial" w:hAnsi="Arial" w:cs="Arial"/>
          <w:b/>
          <w:bCs/>
          <w:sz w:val="24"/>
          <w:szCs w:val="24"/>
        </w:rPr>
        <w:t>limite massimo di 160 euro per contribuente</w:t>
      </w:r>
      <w:r w:rsidRPr="00B73645">
        <w:rPr>
          <w:rFonts w:ascii="Arial" w:hAnsi="Arial" w:cs="Arial"/>
          <w:sz w:val="24"/>
          <w:szCs w:val="24"/>
        </w:rPr>
        <w:t xml:space="preserve">, per cui è certamente da preferire rispetto a un’eventuale </w:t>
      </w:r>
      <w:r w:rsidRPr="00B73645">
        <w:rPr>
          <w:rFonts w:ascii="Arial" w:hAnsi="Arial" w:cs="Arial"/>
          <w:b/>
          <w:bCs/>
          <w:sz w:val="24"/>
          <w:szCs w:val="24"/>
        </w:rPr>
        <w:t>riduzione dell’aliquota del 43%,</w:t>
      </w:r>
      <w:r w:rsidRPr="00B73645">
        <w:rPr>
          <w:rFonts w:ascii="Arial" w:hAnsi="Arial" w:cs="Arial"/>
          <w:sz w:val="24"/>
          <w:szCs w:val="24"/>
        </w:rPr>
        <w:t xml:space="preserve"> che avrebbe costi </w:t>
      </w:r>
      <w:r w:rsidRPr="00B73645">
        <w:rPr>
          <w:rFonts w:ascii="Arial" w:hAnsi="Arial" w:cs="Arial"/>
          <w:b/>
          <w:bCs/>
          <w:sz w:val="24"/>
          <w:szCs w:val="24"/>
        </w:rPr>
        <w:t>decisamente più elevati</w:t>
      </w:r>
      <w:r w:rsidRPr="00B73645">
        <w:rPr>
          <w:rFonts w:ascii="Arial" w:hAnsi="Arial" w:cs="Arial"/>
          <w:sz w:val="24"/>
          <w:szCs w:val="24"/>
        </w:rPr>
        <w:t xml:space="preserve">, in quanto a beneficiare della minore aliquota sarebbe in tal caso l’intera quota di reddito eccedente i 50mila euro anziché soltanto quella da 50mila a 70mila euro. L’intervento, inoltre, potrebbe essere </w:t>
      </w:r>
      <w:r w:rsidRPr="00CC251E">
        <w:rPr>
          <w:rFonts w:ascii="Arial" w:hAnsi="Arial" w:cs="Arial"/>
          <w:b/>
          <w:bCs/>
          <w:sz w:val="24"/>
          <w:szCs w:val="24"/>
        </w:rPr>
        <w:t>graduato nel tempo</w:t>
      </w:r>
      <w:r w:rsidRPr="00B73645">
        <w:rPr>
          <w:rFonts w:ascii="Arial" w:hAnsi="Arial" w:cs="Arial"/>
          <w:sz w:val="24"/>
          <w:szCs w:val="24"/>
        </w:rPr>
        <w:t>, incrementando la soglia massima dello scaglione di reddito a cui applicare il 35%, via via che le risorse si rendano disponibili</w:t>
      </w:r>
      <w:r>
        <w:rPr>
          <w:rFonts w:ascii="Arial" w:hAnsi="Arial" w:cs="Arial"/>
          <w:sz w:val="24"/>
          <w:szCs w:val="24"/>
        </w:rPr>
        <w:t>”</w:t>
      </w:r>
      <w:r w:rsidRPr="00B73645">
        <w:rPr>
          <w:rFonts w:ascii="Arial" w:hAnsi="Arial" w:cs="Arial"/>
          <w:sz w:val="24"/>
          <w:szCs w:val="24"/>
        </w:rPr>
        <w:t>.</w:t>
      </w:r>
    </w:p>
    <w:p w14:paraId="53267A48" w14:textId="77777777" w:rsidR="00B73645" w:rsidRPr="00B73645" w:rsidRDefault="00B73645" w:rsidP="00B73645">
      <w:pPr>
        <w:jc w:val="both"/>
        <w:rPr>
          <w:rFonts w:ascii="Arial" w:hAnsi="Arial" w:cs="Arial"/>
          <w:sz w:val="24"/>
          <w:szCs w:val="24"/>
        </w:rPr>
      </w:pPr>
    </w:p>
    <w:p w14:paraId="5F2AA936" w14:textId="4D4D1865" w:rsidR="001464EA" w:rsidRPr="00B73645" w:rsidRDefault="00B73645" w:rsidP="00774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Nuccio ha sottolineato come “il cet</w:t>
      </w:r>
      <w:r w:rsidRPr="00B73645">
        <w:rPr>
          <w:rFonts w:ascii="Arial" w:hAnsi="Arial" w:cs="Arial"/>
          <w:sz w:val="24"/>
          <w:szCs w:val="24"/>
        </w:rPr>
        <w:t xml:space="preserve">o medio sopporta un </w:t>
      </w:r>
      <w:r w:rsidRPr="00CC251E">
        <w:rPr>
          <w:rFonts w:ascii="Arial" w:hAnsi="Arial" w:cs="Arial"/>
          <w:b/>
          <w:bCs/>
          <w:sz w:val="24"/>
          <w:szCs w:val="24"/>
        </w:rPr>
        <w:t>peso fiscale eccessivo</w:t>
      </w:r>
      <w:r w:rsidRPr="00B73645">
        <w:rPr>
          <w:rFonts w:ascii="Arial" w:hAnsi="Arial" w:cs="Arial"/>
          <w:sz w:val="24"/>
          <w:szCs w:val="24"/>
        </w:rPr>
        <w:t xml:space="preserve">, gravato oltre che della </w:t>
      </w:r>
      <w:r w:rsidRPr="00CC251E">
        <w:rPr>
          <w:rFonts w:ascii="Arial" w:hAnsi="Arial" w:cs="Arial"/>
          <w:b/>
          <w:bCs/>
          <w:sz w:val="24"/>
          <w:szCs w:val="24"/>
        </w:rPr>
        <w:t xml:space="preserve">progressività </w:t>
      </w:r>
      <w:r w:rsidRPr="00B73645">
        <w:rPr>
          <w:rFonts w:ascii="Arial" w:hAnsi="Arial" w:cs="Arial"/>
          <w:sz w:val="24"/>
          <w:szCs w:val="24"/>
        </w:rPr>
        <w:t xml:space="preserve">dell’imposta e quindi da </w:t>
      </w:r>
      <w:r w:rsidRPr="00CC251E">
        <w:rPr>
          <w:rFonts w:ascii="Arial" w:hAnsi="Arial" w:cs="Arial"/>
          <w:b/>
          <w:bCs/>
          <w:sz w:val="24"/>
          <w:szCs w:val="24"/>
        </w:rPr>
        <w:t>aliquote marginali più elevate</w:t>
      </w:r>
      <w:r w:rsidRPr="00B73645">
        <w:rPr>
          <w:rFonts w:ascii="Arial" w:hAnsi="Arial" w:cs="Arial"/>
          <w:sz w:val="24"/>
          <w:szCs w:val="24"/>
        </w:rPr>
        <w:t>, anche dall’</w:t>
      </w:r>
      <w:r w:rsidRPr="00CC251E">
        <w:rPr>
          <w:rFonts w:ascii="Arial" w:hAnsi="Arial" w:cs="Arial"/>
          <w:b/>
          <w:bCs/>
          <w:sz w:val="24"/>
          <w:szCs w:val="24"/>
        </w:rPr>
        <w:t>esclusione</w:t>
      </w:r>
      <w:r w:rsidRPr="00B73645">
        <w:rPr>
          <w:rFonts w:ascii="Arial" w:hAnsi="Arial" w:cs="Arial"/>
          <w:sz w:val="24"/>
          <w:szCs w:val="24"/>
        </w:rPr>
        <w:t xml:space="preserve"> di fatto dalla gran parte delle </w:t>
      </w:r>
      <w:r w:rsidRPr="00CC251E">
        <w:rPr>
          <w:rFonts w:ascii="Arial" w:hAnsi="Arial" w:cs="Arial"/>
          <w:b/>
          <w:bCs/>
          <w:sz w:val="24"/>
          <w:szCs w:val="24"/>
        </w:rPr>
        <w:t>agevolazioni</w:t>
      </w:r>
      <w:r w:rsidRPr="00B73645">
        <w:rPr>
          <w:rFonts w:ascii="Arial" w:hAnsi="Arial" w:cs="Arial"/>
          <w:sz w:val="24"/>
          <w:szCs w:val="24"/>
        </w:rPr>
        <w:t xml:space="preserve"> e dei </w:t>
      </w:r>
      <w:r w:rsidRPr="00CC251E">
        <w:rPr>
          <w:rFonts w:ascii="Arial" w:hAnsi="Arial" w:cs="Arial"/>
          <w:b/>
          <w:bCs/>
          <w:sz w:val="24"/>
          <w:szCs w:val="24"/>
        </w:rPr>
        <w:t>bonus fiscali</w:t>
      </w:r>
      <w:r w:rsidRPr="00B73645">
        <w:rPr>
          <w:rFonts w:ascii="Arial" w:hAnsi="Arial" w:cs="Arial"/>
          <w:sz w:val="24"/>
          <w:szCs w:val="24"/>
        </w:rPr>
        <w:t xml:space="preserve"> che sono concessi in base al reddito individuale o all’ISEE</w:t>
      </w:r>
      <w:r>
        <w:rPr>
          <w:rFonts w:ascii="Arial" w:hAnsi="Arial" w:cs="Arial"/>
          <w:sz w:val="24"/>
          <w:szCs w:val="24"/>
        </w:rPr>
        <w:t xml:space="preserve">. </w:t>
      </w:r>
      <w:r w:rsidRPr="00B73645">
        <w:rPr>
          <w:rFonts w:ascii="Arial" w:hAnsi="Arial" w:cs="Arial"/>
          <w:sz w:val="24"/>
          <w:szCs w:val="24"/>
        </w:rPr>
        <w:t xml:space="preserve">Questo </w:t>
      </w:r>
      <w:r>
        <w:rPr>
          <w:rFonts w:ascii="Arial" w:hAnsi="Arial" w:cs="Arial"/>
          <w:sz w:val="24"/>
          <w:szCs w:val="24"/>
        </w:rPr>
        <w:t xml:space="preserve">lo </w:t>
      </w:r>
      <w:r w:rsidRPr="00B73645">
        <w:rPr>
          <w:rFonts w:ascii="Arial" w:hAnsi="Arial" w:cs="Arial"/>
          <w:sz w:val="24"/>
          <w:szCs w:val="24"/>
        </w:rPr>
        <w:t>penalizza fortemente</w:t>
      </w:r>
      <w:r>
        <w:rPr>
          <w:rFonts w:ascii="Arial" w:hAnsi="Arial" w:cs="Arial"/>
          <w:sz w:val="24"/>
          <w:szCs w:val="24"/>
        </w:rPr>
        <w:t xml:space="preserve">: </w:t>
      </w:r>
      <w:r w:rsidRPr="00B73645">
        <w:rPr>
          <w:rFonts w:ascii="Arial" w:hAnsi="Arial" w:cs="Arial"/>
          <w:sz w:val="24"/>
          <w:szCs w:val="24"/>
        </w:rPr>
        <w:t xml:space="preserve">non solo sostiene il peso maggiore dell’imposta in termini di </w:t>
      </w:r>
      <w:r w:rsidRPr="00CC251E">
        <w:rPr>
          <w:rFonts w:ascii="Arial" w:hAnsi="Arial" w:cs="Arial"/>
          <w:b/>
          <w:bCs/>
          <w:sz w:val="24"/>
          <w:szCs w:val="24"/>
        </w:rPr>
        <w:t>versamenti netti</w:t>
      </w:r>
      <w:r w:rsidRPr="00B73645">
        <w:rPr>
          <w:rFonts w:ascii="Arial" w:hAnsi="Arial" w:cs="Arial"/>
          <w:sz w:val="24"/>
          <w:szCs w:val="24"/>
        </w:rPr>
        <w:t>, ma realizza anche “</w:t>
      </w:r>
      <w:r w:rsidRPr="00CC251E">
        <w:rPr>
          <w:rFonts w:ascii="Arial" w:hAnsi="Arial" w:cs="Arial"/>
          <w:b/>
          <w:bCs/>
          <w:sz w:val="24"/>
          <w:szCs w:val="24"/>
        </w:rPr>
        <w:t>perdite</w:t>
      </w:r>
      <w:r w:rsidRPr="00B73645">
        <w:rPr>
          <w:rFonts w:ascii="Arial" w:hAnsi="Arial" w:cs="Arial"/>
          <w:sz w:val="24"/>
          <w:szCs w:val="24"/>
        </w:rPr>
        <w:t>” significative in termini di minori o mancati sconti o trasferimenti monetari che si traducono in maggiori esborsi</w:t>
      </w:r>
      <w:r w:rsidR="00CC251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B73645">
        <w:rPr>
          <w:rFonts w:ascii="Arial" w:hAnsi="Arial" w:cs="Arial"/>
          <w:sz w:val="24"/>
          <w:szCs w:val="24"/>
        </w:rPr>
        <w:t xml:space="preserve"> </w:t>
      </w:r>
    </w:p>
    <w:sectPr w:rsidR="001464EA" w:rsidRPr="00B7364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8D7AC" w14:textId="77777777" w:rsidR="00577442" w:rsidRDefault="00577442" w:rsidP="00A25D50">
      <w:r>
        <w:separator/>
      </w:r>
    </w:p>
  </w:endnote>
  <w:endnote w:type="continuationSeparator" w:id="0">
    <w:p w14:paraId="633D6B10" w14:textId="77777777" w:rsidR="00577442" w:rsidRDefault="00577442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F3320" w14:textId="77777777" w:rsidR="00577442" w:rsidRDefault="00577442" w:rsidP="00A25D50">
      <w:r>
        <w:separator/>
      </w:r>
    </w:p>
  </w:footnote>
  <w:footnote w:type="continuationSeparator" w:id="0">
    <w:p w14:paraId="5B48766A" w14:textId="77777777" w:rsidR="00577442" w:rsidRDefault="00577442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FFB10" w14:textId="675D21F2" w:rsidR="003B37B2" w:rsidRPr="005816F1" w:rsidRDefault="00D41B7B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7AEC308E" wp14:editId="520FAA27">
          <wp:extent cx="2628900" cy="939800"/>
          <wp:effectExtent l="0" t="0" r="0" b="0"/>
          <wp:docPr id="2036422599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22599" name="Immagine 1" descr="Immagine che contiene testo, Carattere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3"/>
  </w:num>
  <w:num w:numId="2" w16cid:durableId="1968778961">
    <w:abstractNumId w:val="0"/>
  </w:num>
  <w:num w:numId="3" w16cid:durableId="1949697643">
    <w:abstractNumId w:val="1"/>
  </w:num>
  <w:num w:numId="4" w16cid:durableId="285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41437"/>
    <w:rsid w:val="00042BFC"/>
    <w:rsid w:val="00051B2D"/>
    <w:rsid w:val="000555C2"/>
    <w:rsid w:val="00055C12"/>
    <w:rsid w:val="00071CF9"/>
    <w:rsid w:val="00074F9D"/>
    <w:rsid w:val="00080E29"/>
    <w:rsid w:val="0009108B"/>
    <w:rsid w:val="000A3C95"/>
    <w:rsid w:val="000A3D02"/>
    <w:rsid w:val="000B23B8"/>
    <w:rsid w:val="000C2587"/>
    <w:rsid w:val="000C4581"/>
    <w:rsid w:val="000D1140"/>
    <w:rsid w:val="000D46D2"/>
    <w:rsid w:val="000F1CA8"/>
    <w:rsid w:val="000F33BB"/>
    <w:rsid w:val="000F36AE"/>
    <w:rsid w:val="000F659E"/>
    <w:rsid w:val="001072C8"/>
    <w:rsid w:val="0011126C"/>
    <w:rsid w:val="00111CF5"/>
    <w:rsid w:val="001271ED"/>
    <w:rsid w:val="00127A00"/>
    <w:rsid w:val="00136CF7"/>
    <w:rsid w:val="001447D0"/>
    <w:rsid w:val="001464EA"/>
    <w:rsid w:val="001516BF"/>
    <w:rsid w:val="00155682"/>
    <w:rsid w:val="001568B1"/>
    <w:rsid w:val="00164C51"/>
    <w:rsid w:val="00177F55"/>
    <w:rsid w:val="0018410F"/>
    <w:rsid w:val="00190893"/>
    <w:rsid w:val="001A0044"/>
    <w:rsid w:val="001A6EDF"/>
    <w:rsid w:val="001B64D3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3378D"/>
    <w:rsid w:val="00237EC9"/>
    <w:rsid w:val="00241D16"/>
    <w:rsid w:val="0024253C"/>
    <w:rsid w:val="00242B1F"/>
    <w:rsid w:val="00243892"/>
    <w:rsid w:val="00243F31"/>
    <w:rsid w:val="002647CB"/>
    <w:rsid w:val="00267E62"/>
    <w:rsid w:val="00277377"/>
    <w:rsid w:val="00286050"/>
    <w:rsid w:val="0029043A"/>
    <w:rsid w:val="00297E48"/>
    <w:rsid w:val="002A143A"/>
    <w:rsid w:val="002A46B8"/>
    <w:rsid w:val="002A74FE"/>
    <w:rsid w:val="002B687E"/>
    <w:rsid w:val="002B7D2B"/>
    <w:rsid w:val="002F0117"/>
    <w:rsid w:val="002F3F7A"/>
    <w:rsid w:val="003002C5"/>
    <w:rsid w:val="003059CF"/>
    <w:rsid w:val="0031113D"/>
    <w:rsid w:val="00325031"/>
    <w:rsid w:val="00333A0F"/>
    <w:rsid w:val="0034053D"/>
    <w:rsid w:val="0034189F"/>
    <w:rsid w:val="00347274"/>
    <w:rsid w:val="00356418"/>
    <w:rsid w:val="00357E0B"/>
    <w:rsid w:val="003606F3"/>
    <w:rsid w:val="00365441"/>
    <w:rsid w:val="00374AC4"/>
    <w:rsid w:val="0037521F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A7D94"/>
    <w:rsid w:val="003B37B2"/>
    <w:rsid w:val="003E3AB2"/>
    <w:rsid w:val="00407826"/>
    <w:rsid w:val="004328C7"/>
    <w:rsid w:val="00446E08"/>
    <w:rsid w:val="00463C7D"/>
    <w:rsid w:val="004812F0"/>
    <w:rsid w:val="004B1F06"/>
    <w:rsid w:val="004B7F50"/>
    <w:rsid w:val="004C59E2"/>
    <w:rsid w:val="004D3548"/>
    <w:rsid w:val="004E34CF"/>
    <w:rsid w:val="004E3EC6"/>
    <w:rsid w:val="004E6817"/>
    <w:rsid w:val="004F0506"/>
    <w:rsid w:val="004F6EF6"/>
    <w:rsid w:val="0050036C"/>
    <w:rsid w:val="00503FF5"/>
    <w:rsid w:val="005135B9"/>
    <w:rsid w:val="00513CFB"/>
    <w:rsid w:val="0052277C"/>
    <w:rsid w:val="00524E3F"/>
    <w:rsid w:val="0053620E"/>
    <w:rsid w:val="00537AF6"/>
    <w:rsid w:val="005409C2"/>
    <w:rsid w:val="00543803"/>
    <w:rsid w:val="00544C5E"/>
    <w:rsid w:val="005503BE"/>
    <w:rsid w:val="00555FDC"/>
    <w:rsid w:val="00561CB7"/>
    <w:rsid w:val="00564A6A"/>
    <w:rsid w:val="00577442"/>
    <w:rsid w:val="00595B13"/>
    <w:rsid w:val="005B64A0"/>
    <w:rsid w:val="005C28CC"/>
    <w:rsid w:val="006150FC"/>
    <w:rsid w:val="00645F87"/>
    <w:rsid w:val="00646006"/>
    <w:rsid w:val="0065788A"/>
    <w:rsid w:val="0066316D"/>
    <w:rsid w:val="00673CD2"/>
    <w:rsid w:val="006842B5"/>
    <w:rsid w:val="006846CC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6D090E"/>
    <w:rsid w:val="006D7941"/>
    <w:rsid w:val="00713B57"/>
    <w:rsid w:val="00733833"/>
    <w:rsid w:val="00740E06"/>
    <w:rsid w:val="00740F1F"/>
    <w:rsid w:val="007410F9"/>
    <w:rsid w:val="007451A9"/>
    <w:rsid w:val="007451D3"/>
    <w:rsid w:val="00760392"/>
    <w:rsid w:val="00763CE4"/>
    <w:rsid w:val="00772CD8"/>
    <w:rsid w:val="007747AF"/>
    <w:rsid w:val="00777FC6"/>
    <w:rsid w:val="00780F0B"/>
    <w:rsid w:val="007840AA"/>
    <w:rsid w:val="007A2B65"/>
    <w:rsid w:val="007A5D33"/>
    <w:rsid w:val="007B2325"/>
    <w:rsid w:val="007B6CE4"/>
    <w:rsid w:val="007C2A85"/>
    <w:rsid w:val="007E304D"/>
    <w:rsid w:val="007E7258"/>
    <w:rsid w:val="007F49C9"/>
    <w:rsid w:val="0080228B"/>
    <w:rsid w:val="00803B21"/>
    <w:rsid w:val="008168D0"/>
    <w:rsid w:val="0081779E"/>
    <w:rsid w:val="008240B9"/>
    <w:rsid w:val="00840BF8"/>
    <w:rsid w:val="008417DC"/>
    <w:rsid w:val="0088021D"/>
    <w:rsid w:val="00883612"/>
    <w:rsid w:val="00895B38"/>
    <w:rsid w:val="00897909"/>
    <w:rsid w:val="008A3C1D"/>
    <w:rsid w:val="008B3654"/>
    <w:rsid w:val="008B3982"/>
    <w:rsid w:val="008C0436"/>
    <w:rsid w:val="008C35A0"/>
    <w:rsid w:val="008C3FA9"/>
    <w:rsid w:val="008E140C"/>
    <w:rsid w:val="008E55E3"/>
    <w:rsid w:val="008F01F8"/>
    <w:rsid w:val="008F20FF"/>
    <w:rsid w:val="008F69B1"/>
    <w:rsid w:val="00901181"/>
    <w:rsid w:val="00904442"/>
    <w:rsid w:val="00905A89"/>
    <w:rsid w:val="00926020"/>
    <w:rsid w:val="00931E1B"/>
    <w:rsid w:val="009357A4"/>
    <w:rsid w:val="009359D8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A04552"/>
    <w:rsid w:val="00A04E4C"/>
    <w:rsid w:val="00A2361E"/>
    <w:rsid w:val="00A23A10"/>
    <w:rsid w:val="00A24D5A"/>
    <w:rsid w:val="00A25D50"/>
    <w:rsid w:val="00A36955"/>
    <w:rsid w:val="00A41325"/>
    <w:rsid w:val="00A531AC"/>
    <w:rsid w:val="00A53F29"/>
    <w:rsid w:val="00A547B5"/>
    <w:rsid w:val="00A6177B"/>
    <w:rsid w:val="00A618D3"/>
    <w:rsid w:val="00A67C3B"/>
    <w:rsid w:val="00A74AA6"/>
    <w:rsid w:val="00A854AA"/>
    <w:rsid w:val="00AD19AD"/>
    <w:rsid w:val="00AE049F"/>
    <w:rsid w:val="00AE0BB1"/>
    <w:rsid w:val="00AE2F64"/>
    <w:rsid w:val="00AE2FF1"/>
    <w:rsid w:val="00AF2AB2"/>
    <w:rsid w:val="00B05543"/>
    <w:rsid w:val="00B0607B"/>
    <w:rsid w:val="00B154FD"/>
    <w:rsid w:val="00B23555"/>
    <w:rsid w:val="00B235FA"/>
    <w:rsid w:val="00B2654F"/>
    <w:rsid w:val="00B278C1"/>
    <w:rsid w:val="00B27A28"/>
    <w:rsid w:val="00B36517"/>
    <w:rsid w:val="00B4713B"/>
    <w:rsid w:val="00B53EBA"/>
    <w:rsid w:val="00B56245"/>
    <w:rsid w:val="00B623C7"/>
    <w:rsid w:val="00B71213"/>
    <w:rsid w:val="00B73645"/>
    <w:rsid w:val="00B93E34"/>
    <w:rsid w:val="00BA19DE"/>
    <w:rsid w:val="00BB3259"/>
    <w:rsid w:val="00BC0331"/>
    <w:rsid w:val="00BC683F"/>
    <w:rsid w:val="00BE5CB4"/>
    <w:rsid w:val="00BF43C8"/>
    <w:rsid w:val="00BF6083"/>
    <w:rsid w:val="00C01E66"/>
    <w:rsid w:val="00C04C6A"/>
    <w:rsid w:val="00C11198"/>
    <w:rsid w:val="00C17FC9"/>
    <w:rsid w:val="00C20913"/>
    <w:rsid w:val="00C25278"/>
    <w:rsid w:val="00C369B2"/>
    <w:rsid w:val="00C3730F"/>
    <w:rsid w:val="00C66A20"/>
    <w:rsid w:val="00C703AA"/>
    <w:rsid w:val="00C70FB7"/>
    <w:rsid w:val="00C76BEE"/>
    <w:rsid w:val="00C80173"/>
    <w:rsid w:val="00C82382"/>
    <w:rsid w:val="00C84922"/>
    <w:rsid w:val="00C87780"/>
    <w:rsid w:val="00C974AB"/>
    <w:rsid w:val="00CA01E7"/>
    <w:rsid w:val="00CC251E"/>
    <w:rsid w:val="00CC6E36"/>
    <w:rsid w:val="00CE5211"/>
    <w:rsid w:val="00CF5627"/>
    <w:rsid w:val="00D1562E"/>
    <w:rsid w:val="00D304CC"/>
    <w:rsid w:val="00D31EDC"/>
    <w:rsid w:val="00D41B7B"/>
    <w:rsid w:val="00D626C3"/>
    <w:rsid w:val="00D66F96"/>
    <w:rsid w:val="00D742E0"/>
    <w:rsid w:val="00D8383C"/>
    <w:rsid w:val="00D86F1A"/>
    <w:rsid w:val="00DA060C"/>
    <w:rsid w:val="00DA0ED2"/>
    <w:rsid w:val="00DB0771"/>
    <w:rsid w:val="00DB19BE"/>
    <w:rsid w:val="00DC6813"/>
    <w:rsid w:val="00DD2A3D"/>
    <w:rsid w:val="00DE7244"/>
    <w:rsid w:val="00E1446A"/>
    <w:rsid w:val="00E4100D"/>
    <w:rsid w:val="00E80398"/>
    <w:rsid w:val="00E81144"/>
    <w:rsid w:val="00EB0C56"/>
    <w:rsid w:val="00EC1A2D"/>
    <w:rsid w:val="00ED55FF"/>
    <w:rsid w:val="00EE2F69"/>
    <w:rsid w:val="00EE5E61"/>
    <w:rsid w:val="00F011E8"/>
    <w:rsid w:val="00F06907"/>
    <w:rsid w:val="00F21C61"/>
    <w:rsid w:val="00F22B6C"/>
    <w:rsid w:val="00F3003A"/>
    <w:rsid w:val="00F45169"/>
    <w:rsid w:val="00F53C83"/>
    <w:rsid w:val="00F54D2A"/>
    <w:rsid w:val="00F5789E"/>
    <w:rsid w:val="00F63019"/>
    <w:rsid w:val="00F70F2A"/>
    <w:rsid w:val="00F8774F"/>
    <w:rsid w:val="00F910CC"/>
    <w:rsid w:val="00F970FF"/>
    <w:rsid w:val="00FA0468"/>
    <w:rsid w:val="00FB1FE4"/>
    <w:rsid w:val="00FB435B"/>
    <w:rsid w:val="00FB6832"/>
    <w:rsid w:val="00FC23F6"/>
    <w:rsid w:val="00FD5B72"/>
    <w:rsid w:val="00FD6D4F"/>
    <w:rsid w:val="00FE1C1C"/>
    <w:rsid w:val="00FE78CD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9</cp:revision>
  <cp:lastPrinted>2023-12-13T11:29:00Z</cp:lastPrinted>
  <dcterms:created xsi:type="dcterms:W3CDTF">2024-05-02T09:59:00Z</dcterms:created>
  <dcterms:modified xsi:type="dcterms:W3CDTF">2024-05-06T09:39:00Z</dcterms:modified>
</cp:coreProperties>
</file>