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F59E8" w14:textId="77777777" w:rsidR="00FA7C3B" w:rsidRPr="003148D5" w:rsidRDefault="00FA7C3B" w:rsidP="00851CD4">
      <w:pPr>
        <w:spacing w:after="0" w:line="240" w:lineRule="auto"/>
        <w:jc w:val="center"/>
        <w:rPr>
          <w:rFonts w:ascii="Arial" w:hAnsi="Arial" w:cs="Arial"/>
          <w:b/>
          <w:bCs/>
          <w:color w:val="FF0000"/>
        </w:rPr>
      </w:pPr>
    </w:p>
    <w:p w14:paraId="73430D86" w14:textId="51AD25B0" w:rsidR="00376C52" w:rsidRPr="00B04F11" w:rsidRDefault="00B27628" w:rsidP="00413474">
      <w:pPr>
        <w:spacing w:after="0" w:line="240" w:lineRule="auto"/>
        <w:jc w:val="center"/>
        <w:rPr>
          <w:rFonts w:ascii="Arial" w:hAnsi="Arial" w:cs="Arial"/>
          <w:b/>
          <w:bCs/>
          <w:u w:val="single"/>
        </w:rPr>
      </w:pPr>
      <w:r w:rsidRPr="00B04F11">
        <w:rPr>
          <w:rFonts w:ascii="Arial" w:hAnsi="Arial" w:cs="Arial"/>
          <w:b/>
          <w:bCs/>
          <w:u w:val="single"/>
        </w:rPr>
        <w:t>Comunicato stampa</w:t>
      </w:r>
    </w:p>
    <w:p w14:paraId="608970A3" w14:textId="77777777" w:rsidR="00B27628" w:rsidRPr="00B04F11" w:rsidRDefault="00B27628" w:rsidP="00413474">
      <w:pPr>
        <w:spacing w:after="0" w:line="240" w:lineRule="auto"/>
        <w:jc w:val="center"/>
        <w:rPr>
          <w:rFonts w:ascii="Arial" w:hAnsi="Arial" w:cs="Arial"/>
          <w:b/>
          <w:bCs/>
        </w:rPr>
      </w:pPr>
    </w:p>
    <w:p w14:paraId="53DADE71" w14:textId="1B7CD149" w:rsidR="00C23EEB" w:rsidRPr="00B04F11" w:rsidRDefault="00413474" w:rsidP="00413474">
      <w:pPr>
        <w:spacing w:after="0" w:line="240" w:lineRule="auto"/>
        <w:jc w:val="center"/>
        <w:rPr>
          <w:rFonts w:ascii="Arial" w:hAnsi="Arial" w:cs="Arial"/>
          <w:b/>
          <w:bCs/>
        </w:rPr>
      </w:pPr>
      <w:r w:rsidRPr="00B04F11">
        <w:rPr>
          <w:rFonts w:ascii="Arial" w:hAnsi="Arial" w:cs="Arial"/>
          <w:b/>
          <w:bCs/>
        </w:rPr>
        <w:t>INTERFERENZE TRA PROCERURE REALI E CONCORSUALI: LINEE GUIDA DEI COMMERCIALISTI</w:t>
      </w:r>
    </w:p>
    <w:p w14:paraId="227B9374" w14:textId="77777777" w:rsidR="00413474" w:rsidRPr="00B04F11" w:rsidRDefault="00413474" w:rsidP="00413474">
      <w:pPr>
        <w:spacing w:after="0" w:line="240" w:lineRule="auto"/>
        <w:jc w:val="center"/>
        <w:rPr>
          <w:rFonts w:ascii="Arial" w:hAnsi="Arial" w:cs="Arial"/>
          <w:b/>
          <w:bCs/>
        </w:rPr>
      </w:pPr>
    </w:p>
    <w:p w14:paraId="69E2925E" w14:textId="6EE6CA90" w:rsidR="00413474" w:rsidRPr="00B04F11" w:rsidRDefault="00413474" w:rsidP="00413474">
      <w:pPr>
        <w:spacing w:after="0" w:line="240" w:lineRule="auto"/>
        <w:jc w:val="center"/>
        <w:rPr>
          <w:rFonts w:ascii="Arial" w:hAnsi="Arial" w:cs="Arial"/>
          <w:b/>
          <w:bCs/>
        </w:rPr>
      </w:pPr>
      <w:r w:rsidRPr="00B04F11">
        <w:rPr>
          <w:rFonts w:ascii="Arial" w:hAnsi="Arial" w:cs="Arial"/>
          <w:b/>
          <w:bCs/>
        </w:rPr>
        <w:t xml:space="preserve">Pubblicato un documento del Consiglio e della Fondazione Nazionale dei Commercialisti – Ricerca </w:t>
      </w:r>
    </w:p>
    <w:p w14:paraId="7A3DC31B" w14:textId="77777777" w:rsidR="00741347" w:rsidRPr="00B04F11" w:rsidRDefault="00741347" w:rsidP="00B27628">
      <w:pPr>
        <w:spacing w:after="0" w:line="240" w:lineRule="auto"/>
        <w:jc w:val="both"/>
        <w:rPr>
          <w:rFonts w:ascii="Arial" w:hAnsi="Arial" w:cs="Arial"/>
          <w:b/>
          <w:bCs/>
        </w:rPr>
      </w:pPr>
    </w:p>
    <w:p w14:paraId="54BC04F3" w14:textId="4C0968FE" w:rsidR="00413474" w:rsidRPr="00B04F11" w:rsidRDefault="00FA7C3B" w:rsidP="00413474">
      <w:pPr>
        <w:pStyle w:val="Default"/>
        <w:jc w:val="both"/>
        <w:rPr>
          <w:rFonts w:ascii="Arial" w:hAnsi="Arial" w:cs="Arial"/>
          <w:color w:val="auto"/>
          <w:sz w:val="22"/>
          <w:szCs w:val="22"/>
        </w:rPr>
      </w:pPr>
      <w:r w:rsidRPr="00B04F11">
        <w:rPr>
          <w:rFonts w:ascii="Arial" w:hAnsi="Arial" w:cs="Arial"/>
          <w:i/>
          <w:iCs/>
          <w:color w:val="auto"/>
          <w:sz w:val="22"/>
          <w:szCs w:val="22"/>
        </w:rPr>
        <w:t xml:space="preserve">Roma, </w:t>
      </w:r>
      <w:r w:rsidR="00B27628" w:rsidRPr="00B04F11">
        <w:rPr>
          <w:rFonts w:ascii="Arial" w:hAnsi="Arial" w:cs="Arial"/>
          <w:i/>
          <w:iCs/>
          <w:color w:val="auto"/>
          <w:sz w:val="22"/>
          <w:szCs w:val="22"/>
        </w:rPr>
        <w:t>2 maggio</w:t>
      </w:r>
      <w:r w:rsidRPr="00B04F11">
        <w:rPr>
          <w:rFonts w:ascii="Arial" w:hAnsi="Arial" w:cs="Arial"/>
          <w:i/>
          <w:iCs/>
          <w:color w:val="auto"/>
          <w:sz w:val="22"/>
          <w:szCs w:val="22"/>
        </w:rPr>
        <w:t xml:space="preserve"> 202</w:t>
      </w:r>
      <w:r w:rsidR="00084024" w:rsidRPr="00B04F11">
        <w:rPr>
          <w:rFonts w:ascii="Arial" w:hAnsi="Arial" w:cs="Arial"/>
          <w:i/>
          <w:iCs/>
          <w:color w:val="auto"/>
          <w:sz w:val="22"/>
          <w:szCs w:val="22"/>
        </w:rPr>
        <w:t>4</w:t>
      </w:r>
      <w:r w:rsidRPr="00B04F11">
        <w:rPr>
          <w:rFonts w:ascii="Arial" w:hAnsi="Arial" w:cs="Arial"/>
          <w:color w:val="auto"/>
          <w:sz w:val="22"/>
          <w:szCs w:val="22"/>
        </w:rPr>
        <w:t xml:space="preserve"> – </w:t>
      </w:r>
      <w:r w:rsidR="00B27628" w:rsidRPr="00B04F11">
        <w:rPr>
          <w:rFonts w:ascii="Arial" w:hAnsi="Arial" w:cs="Arial"/>
          <w:color w:val="auto"/>
          <w:sz w:val="22"/>
          <w:szCs w:val="22"/>
        </w:rPr>
        <w:t>“</w:t>
      </w:r>
      <w:r w:rsidR="00B27628" w:rsidRPr="00B04F11">
        <w:rPr>
          <w:rFonts w:ascii="Arial" w:hAnsi="Arial" w:cs="Arial"/>
          <w:b/>
          <w:bCs/>
          <w:color w:val="auto"/>
          <w:sz w:val="22"/>
          <w:szCs w:val="22"/>
        </w:rPr>
        <w:t>Linee guida in materia di interferenze tra procedure reali (penali e di prevenzione) e procedure concorsuali</w:t>
      </w:r>
      <w:r w:rsidR="00B27628" w:rsidRPr="00B04F11">
        <w:rPr>
          <w:rFonts w:ascii="Arial" w:hAnsi="Arial" w:cs="Arial"/>
          <w:color w:val="auto"/>
          <w:sz w:val="22"/>
          <w:szCs w:val="22"/>
        </w:rPr>
        <w:t>” è il titolo del documento di ricerca pubblicato oggi dal Consiglio e dalla Fondazione Nazionale dei Commercialisti – Ricerca. La pubblicazione</w:t>
      </w:r>
      <w:r w:rsidR="00413474" w:rsidRPr="00B04F11">
        <w:rPr>
          <w:rFonts w:ascii="Arial" w:hAnsi="Arial" w:cs="Arial"/>
          <w:color w:val="auto"/>
          <w:sz w:val="22"/>
          <w:szCs w:val="22"/>
        </w:rPr>
        <w:t xml:space="preserve">, </w:t>
      </w:r>
      <w:r w:rsidR="00B27628" w:rsidRPr="00B04F11">
        <w:rPr>
          <w:rFonts w:ascii="Arial" w:hAnsi="Arial" w:cs="Arial"/>
          <w:color w:val="auto"/>
          <w:sz w:val="22"/>
          <w:szCs w:val="22"/>
        </w:rPr>
        <w:t>curata dalla commissione di studio “Interferenze tra misure ablative e procedure concorsuali” nell’ambito dell’area di delega “Funzioni giudiziarie e ADR”</w:t>
      </w:r>
      <w:r w:rsidR="00413474" w:rsidRPr="00B04F11">
        <w:rPr>
          <w:rFonts w:ascii="Arial" w:hAnsi="Arial" w:cs="Arial"/>
          <w:color w:val="auto"/>
          <w:sz w:val="22"/>
          <w:szCs w:val="22"/>
        </w:rPr>
        <w:t xml:space="preserve">, ha il fine di </w:t>
      </w:r>
      <w:r w:rsidR="00413474" w:rsidRPr="00B04F11">
        <w:rPr>
          <w:rFonts w:ascii="Arial" w:hAnsi="Arial" w:cs="Arial"/>
          <w:b/>
          <w:bCs/>
          <w:color w:val="auto"/>
          <w:sz w:val="22"/>
          <w:szCs w:val="22"/>
        </w:rPr>
        <w:t>supportare</w:t>
      </w:r>
      <w:r w:rsidR="00413474" w:rsidRPr="00B04F11">
        <w:rPr>
          <w:rFonts w:ascii="Arial" w:hAnsi="Arial" w:cs="Arial"/>
          <w:color w:val="auto"/>
          <w:sz w:val="22"/>
          <w:szCs w:val="22"/>
        </w:rPr>
        <w:t xml:space="preserve">, dal punto di vista scientifico e operativo, </w:t>
      </w:r>
      <w:r w:rsidR="00CC60BD" w:rsidRPr="00B04F11">
        <w:rPr>
          <w:rFonts w:ascii="Arial" w:hAnsi="Arial" w:cs="Arial"/>
          <w:b/>
          <w:bCs/>
          <w:color w:val="auto"/>
          <w:sz w:val="22"/>
          <w:szCs w:val="22"/>
        </w:rPr>
        <w:t>g</w:t>
      </w:r>
      <w:r w:rsidR="00413474" w:rsidRPr="00B04F11">
        <w:rPr>
          <w:rFonts w:ascii="Arial" w:hAnsi="Arial" w:cs="Arial"/>
          <w:b/>
          <w:bCs/>
          <w:color w:val="auto"/>
          <w:sz w:val="22"/>
          <w:szCs w:val="22"/>
        </w:rPr>
        <w:t>li iscritti all’Albo che svolgono i delicati incarichi di amministratori giudiziari e di liquidatori giudiziali</w:t>
      </w:r>
      <w:r w:rsidR="00413474" w:rsidRPr="00B04F11">
        <w:rPr>
          <w:rFonts w:ascii="Arial" w:hAnsi="Arial" w:cs="Arial"/>
          <w:color w:val="auto"/>
          <w:sz w:val="22"/>
          <w:szCs w:val="22"/>
        </w:rPr>
        <w:t>.</w:t>
      </w:r>
    </w:p>
    <w:p w14:paraId="7FBC6488" w14:textId="4C16C0CF" w:rsidR="00B27628" w:rsidRPr="00B04F11" w:rsidRDefault="00B27628" w:rsidP="00413474">
      <w:pPr>
        <w:pStyle w:val="Default"/>
        <w:jc w:val="both"/>
        <w:rPr>
          <w:rFonts w:ascii="Arial" w:hAnsi="Arial" w:cs="Arial"/>
          <w:color w:val="auto"/>
          <w:sz w:val="22"/>
          <w:szCs w:val="22"/>
        </w:rPr>
      </w:pPr>
    </w:p>
    <w:p w14:paraId="2612179F" w14:textId="34333249" w:rsidR="00413474" w:rsidRPr="00B04F11" w:rsidRDefault="00413474" w:rsidP="00413474">
      <w:pPr>
        <w:pStyle w:val="Default"/>
        <w:jc w:val="both"/>
        <w:rPr>
          <w:rFonts w:ascii="Arial" w:hAnsi="Arial" w:cs="Arial"/>
          <w:color w:val="auto"/>
          <w:sz w:val="22"/>
          <w:szCs w:val="22"/>
        </w:rPr>
      </w:pPr>
      <w:r w:rsidRPr="00B04F11">
        <w:rPr>
          <w:rFonts w:ascii="Arial" w:hAnsi="Arial" w:cs="Arial"/>
          <w:color w:val="auto"/>
          <w:sz w:val="22"/>
          <w:szCs w:val="22"/>
        </w:rPr>
        <w:t xml:space="preserve">Il contributo fornisce un indirizzo univoco in materia di interferenze tra procedure reali (penali e di prevenzione) e procedure concorsuali, tenendo presente il </w:t>
      </w:r>
      <w:r w:rsidRPr="00B04F11">
        <w:rPr>
          <w:rFonts w:ascii="Arial" w:hAnsi="Arial" w:cs="Arial"/>
          <w:b/>
          <w:bCs/>
          <w:color w:val="auto"/>
          <w:sz w:val="22"/>
          <w:szCs w:val="22"/>
        </w:rPr>
        <w:t>quadro dell’evoluzione normativa e giurisprudenziale</w:t>
      </w:r>
      <w:r w:rsidRPr="00B04F11">
        <w:rPr>
          <w:rFonts w:ascii="Arial" w:hAnsi="Arial" w:cs="Arial"/>
          <w:color w:val="auto"/>
          <w:sz w:val="22"/>
          <w:szCs w:val="22"/>
        </w:rPr>
        <w:t xml:space="preserve"> sul rapporto tra misure ablatorie penali e di prevenzione e procedure concorsuali, sviluppando alcune riflessioni anche in considerazione dei recenti approdi della </w:t>
      </w:r>
      <w:r w:rsidRPr="00B04F11">
        <w:rPr>
          <w:rFonts w:ascii="Arial" w:hAnsi="Arial" w:cs="Arial"/>
          <w:b/>
          <w:bCs/>
          <w:color w:val="auto"/>
          <w:sz w:val="22"/>
          <w:szCs w:val="22"/>
        </w:rPr>
        <w:t>Corte Suprema di Cassazione</w:t>
      </w:r>
      <w:r w:rsidR="002635C1" w:rsidRPr="00B04F11">
        <w:rPr>
          <w:rFonts w:ascii="Arial" w:hAnsi="Arial" w:cs="Arial"/>
          <w:color w:val="auto"/>
          <w:sz w:val="22"/>
          <w:szCs w:val="22"/>
        </w:rPr>
        <w:t xml:space="preserve"> e</w:t>
      </w:r>
      <w:r w:rsidRPr="00B04F11">
        <w:rPr>
          <w:rFonts w:ascii="Arial" w:hAnsi="Arial" w:cs="Arial"/>
          <w:color w:val="auto"/>
          <w:sz w:val="22"/>
          <w:szCs w:val="22"/>
        </w:rPr>
        <w:t xml:space="preserve"> riferendo delle opzioni praticate dal </w:t>
      </w:r>
      <w:r w:rsidRPr="00B04F11">
        <w:rPr>
          <w:rFonts w:ascii="Arial" w:hAnsi="Arial" w:cs="Arial"/>
          <w:b/>
          <w:bCs/>
          <w:color w:val="auto"/>
          <w:sz w:val="22"/>
          <w:szCs w:val="22"/>
        </w:rPr>
        <w:t>Codice della Crisi</w:t>
      </w:r>
      <w:r w:rsidRPr="00B04F11">
        <w:rPr>
          <w:rFonts w:ascii="Arial" w:hAnsi="Arial" w:cs="Arial"/>
          <w:color w:val="auto"/>
          <w:sz w:val="22"/>
          <w:szCs w:val="22"/>
        </w:rPr>
        <w:t xml:space="preserve"> per disciplinare tale rapporto con il conseguente rimando alle norme del </w:t>
      </w:r>
      <w:r w:rsidRPr="00B04F11">
        <w:rPr>
          <w:rFonts w:ascii="Arial" w:hAnsi="Arial" w:cs="Arial"/>
          <w:b/>
          <w:bCs/>
          <w:color w:val="auto"/>
          <w:sz w:val="22"/>
          <w:szCs w:val="22"/>
        </w:rPr>
        <w:t>Codice Antimafia</w:t>
      </w:r>
      <w:r w:rsidRPr="00B04F11">
        <w:rPr>
          <w:rFonts w:ascii="Arial" w:hAnsi="Arial" w:cs="Arial"/>
          <w:color w:val="auto"/>
          <w:sz w:val="22"/>
          <w:szCs w:val="22"/>
        </w:rPr>
        <w:t>.</w:t>
      </w:r>
    </w:p>
    <w:p w14:paraId="1EB4F362" w14:textId="77777777" w:rsidR="00413474" w:rsidRPr="00B04F11" w:rsidRDefault="00413474" w:rsidP="00413474">
      <w:pPr>
        <w:pStyle w:val="Default"/>
        <w:jc w:val="both"/>
        <w:rPr>
          <w:rFonts w:ascii="Arial" w:hAnsi="Arial" w:cs="Arial"/>
          <w:color w:val="auto"/>
          <w:sz w:val="22"/>
          <w:szCs w:val="22"/>
        </w:rPr>
      </w:pPr>
    </w:p>
    <w:p w14:paraId="1F20E576" w14:textId="251D0C84" w:rsidR="00413474" w:rsidRPr="00B04F11" w:rsidRDefault="00413474" w:rsidP="00413474">
      <w:pPr>
        <w:pStyle w:val="Default"/>
        <w:jc w:val="both"/>
        <w:rPr>
          <w:rFonts w:ascii="Arial" w:hAnsi="Arial" w:cs="Arial"/>
          <w:color w:val="auto"/>
          <w:sz w:val="22"/>
          <w:szCs w:val="22"/>
        </w:rPr>
      </w:pPr>
      <w:r w:rsidRPr="00B04F11">
        <w:rPr>
          <w:rFonts w:ascii="Arial" w:hAnsi="Arial" w:cs="Arial"/>
          <w:color w:val="auto"/>
          <w:sz w:val="22"/>
          <w:szCs w:val="22"/>
        </w:rPr>
        <w:t>Da tempo, a causa del mutamento del contesto economico e sociale, si assiste all’</w:t>
      </w:r>
      <w:r w:rsidRPr="00B04F11">
        <w:rPr>
          <w:rFonts w:ascii="Arial" w:hAnsi="Arial" w:cs="Arial"/>
          <w:b/>
          <w:bCs/>
          <w:color w:val="auto"/>
          <w:sz w:val="22"/>
          <w:szCs w:val="22"/>
        </w:rPr>
        <w:t>emersione di una nuova categoria di crisi di impresa</w:t>
      </w:r>
      <w:r w:rsidRPr="00B04F11">
        <w:rPr>
          <w:rFonts w:ascii="Arial" w:hAnsi="Arial" w:cs="Arial"/>
          <w:color w:val="auto"/>
          <w:sz w:val="22"/>
          <w:szCs w:val="22"/>
        </w:rPr>
        <w:t xml:space="preserve">, che è la </w:t>
      </w:r>
      <w:r w:rsidRPr="00B04F11">
        <w:rPr>
          <w:rFonts w:ascii="Arial" w:hAnsi="Arial" w:cs="Arial"/>
          <w:b/>
          <w:bCs/>
          <w:color w:val="auto"/>
          <w:sz w:val="22"/>
          <w:szCs w:val="22"/>
        </w:rPr>
        <w:t>crisi di legalità</w:t>
      </w:r>
      <w:r w:rsidRPr="00B04F11">
        <w:rPr>
          <w:rFonts w:ascii="Arial" w:hAnsi="Arial" w:cs="Arial"/>
          <w:color w:val="auto"/>
          <w:sz w:val="22"/>
          <w:szCs w:val="22"/>
        </w:rPr>
        <w:t xml:space="preserve">. Si è infatti verificato, nel corso degli anni, un aumento esponenziale del ricorso a strumenti di tutela dell’impresa in ambito penale. Vi è un sempre maggiore ricorso alla giustizia patrimoniale, in quanto il legislatore ha preso coscienza della maggiore incisività di tali forme di prevenzione, rispetto alle pene limitative della libertà personale. Infatti, molto spesso, le finalità del delinquere sono legate a fattori economici, quindi la circostanza che l’accertamento della responsabilità, oltre a sanzioni personali, comporti anche sanzioni economiche, rappresenta un forte deterrente. </w:t>
      </w:r>
    </w:p>
    <w:p w14:paraId="49BE5153" w14:textId="77777777" w:rsidR="00AA59D6" w:rsidRPr="00B04F11" w:rsidRDefault="00AA59D6" w:rsidP="00413474">
      <w:pPr>
        <w:pStyle w:val="Default"/>
        <w:jc w:val="both"/>
        <w:rPr>
          <w:rFonts w:ascii="Arial" w:hAnsi="Arial" w:cs="Arial"/>
          <w:color w:val="auto"/>
          <w:sz w:val="22"/>
          <w:szCs w:val="22"/>
        </w:rPr>
      </w:pPr>
    </w:p>
    <w:p w14:paraId="4C0FAA45" w14:textId="06179520" w:rsidR="00413474" w:rsidRPr="00B04F11" w:rsidRDefault="003148D5" w:rsidP="00413474">
      <w:pPr>
        <w:pStyle w:val="Default"/>
        <w:jc w:val="both"/>
        <w:rPr>
          <w:rFonts w:ascii="Arial" w:hAnsi="Arial" w:cs="Arial"/>
          <w:color w:val="auto"/>
          <w:sz w:val="22"/>
          <w:szCs w:val="22"/>
        </w:rPr>
      </w:pPr>
      <w:r w:rsidRPr="00B04F11">
        <w:rPr>
          <w:rFonts w:ascii="Arial" w:hAnsi="Arial" w:cs="Arial"/>
          <w:color w:val="auto"/>
          <w:sz w:val="22"/>
          <w:szCs w:val="22"/>
        </w:rPr>
        <w:t xml:space="preserve">In </w:t>
      </w:r>
      <w:r w:rsidR="00413474" w:rsidRPr="00B04F11">
        <w:rPr>
          <w:rFonts w:ascii="Arial" w:hAnsi="Arial" w:cs="Arial"/>
          <w:color w:val="auto"/>
          <w:sz w:val="22"/>
          <w:szCs w:val="22"/>
        </w:rPr>
        <w:t xml:space="preserve">maniera analitica, è stata esaminata la scelta di </w:t>
      </w:r>
      <w:r w:rsidR="00413474" w:rsidRPr="00B04F11">
        <w:rPr>
          <w:rFonts w:ascii="Arial" w:hAnsi="Arial" w:cs="Arial"/>
          <w:b/>
          <w:bCs/>
          <w:color w:val="auto"/>
          <w:sz w:val="22"/>
          <w:szCs w:val="22"/>
        </w:rPr>
        <w:t>codificare la prevalenza delle misure penali sulla liquidazione giudiziale</w:t>
      </w:r>
      <w:r w:rsidR="00413474" w:rsidRPr="00B04F11">
        <w:rPr>
          <w:rFonts w:ascii="Arial" w:hAnsi="Arial" w:cs="Arial"/>
          <w:color w:val="auto"/>
          <w:sz w:val="22"/>
          <w:szCs w:val="22"/>
        </w:rPr>
        <w:t xml:space="preserve">, oggetto di espressa previsione dell’art. 317 CCII e, comunque, risulta evidenziato l’apparente carattere totalizzante che appare ascriversi a tale disciplina rispetto alle varie misure cautelari reali previste dall’ordinamento. </w:t>
      </w:r>
    </w:p>
    <w:p w14:paraId="0D308BE7" w14:textId="77777777" w:rsidR="00AA59D6" w:rsidRPr="00B04F11" w:rsidRDefault="00AA59D6" w:rsidP="00413474">
      <w:pPr>
        <w:pStyle w:val="Default"/>
        <w:jc w:val="both"/>
        <w:rPr>
          <w:rFonts w:ascii="Arial" w:hAnsi="Arial" w:cs="Arial"/>
          <w:color w:val="auto"/>
          <w:sz w:val="22"/>
          <w:szCs w:val="22"/>
        </w:rPr>
      </w:pPr>
    </w:p>
    <w:p w14:paraId="10040112" w14:textId="73C2269E" w:rsidR="00413474" w:rsidRPr="00B04F11" w:rsidRDefault="00413474" w:rsidP="00413474">
      <w:pPr>
        <w:pStyle w:val="Default"/>
        <w:jc w:val="both"/>
        <w:rPr>
          <w:rFonts w:ascii="Arial" w:hAnsi="Arial" w:cs="Arial"/>
          <w:color w:val="auto"/>
          <w:sz w:val="22"/>
          <w:szCs w:val="22"/>
        </w:rPr>
      </w:pPr>
      <w:r w:rsidRPr="00B04F11">
        <w:rPr>
          <w:rFonts w:ascii="Arial" w:hAnsi="Arial" w:cs="Arial"/>
          <w:color w:val="auto"/>
          <w:sz w:val="22"/>
          <w:szCs w:val="22"/>
        </w:rPr>
        <w:t xml:space="preserve">Il lavoro si preoccupa anche di rilevare che il sequestro preventivo totalizzante del patrimonio del soggetto attinto potrebbe lasciare comunque intonsi i rimedi risarcitori riconosciuti ai creditori della massa civilistica, con i conseguenti dubbi circa la necessità della chiusura della procedura concorsuale che segua alla misura penale. </w:t>
      </w:r>
    </w:p>
    <w:p w14:paraId="7F7754E3" w14:textId="77777777" w:rsidR="00CC60BD" w:rsidRPr="00B04F11" w:rsidRDefault="00CC60BD" w:rsidP="00413474">
      <w:pPr>
        <w:pStyle w:val="Default"/>
        <w:jc w:val="both"/>
        <w:rPr>
          <w:rFonts w:ascii="Arial" w:hAnsi="Arial" w:cs="Arial"/>
          <w:color w:val="auto"/>
          <w:sz w:val="22"/>
          <w:szCs w:val="22"/>
        </w:rPr>
      </w:pPr>
    </w:p>
    <w:p w14:paraId="69877ED9" w14:textId="579C6009" w:rsidR="00413474" w:rsidRPr="00B04F11" w:rsidRDefault="00413474" w:rsidP="00413474">
      <w:pPr>
        <w:pStyle w:val="Default"/>
        <w:jc w:val="both"/>
        <w:rPr>
          <w:rFonts w:ascii="Arial" w:hAnsi="Arial" w:cs="Arial"/>
          <w:color w:val="auto"/>
          <w:sz w:val="22"/>
          <w:szCs w:val="22"/>
        </w:rPr>
      </w:pPr>
      <w:r w:rsidRPr="00B04F11">
        <w:rPr>
          <w:rFonts w:ascii="Arial" w:hAnsi="Arial" w:cs="Arial"/>
          <w:color w:val="auto"/>
          <w:sz w:val="22"/>
          <w:szCs w:val="22"/>
        </w:rPr>
        <w:t>Gli artt. 63, 64 e 65 del d.lgs. n. 159/2011, in attuazione della legge delega n. 136/2010, disciplinano i delicati rapporti tra il procedimento di applicazione delle misure di prevenzione e le procedure concorsuali</w:t>
      </w:r>
      <w:r w:rsidR="003148D5" w:rsidRPr="00B04F11">
        <w:rPr>
          <w:rFonts w:ascii="Arial" w:hAnsi="Arial" w:cs="Arial"/>
          <w:color w:val="auto"/>
          <w:sz w:val="22"/>
          <w:szCs w:val="22"/>
        </w:rPr>
        <w:t xml:space="preserve"> per </w:t>
      </w:r>
      <w:r w:rsidRPr="00B04F11">
        <w:rPr>
          <w:rFonts w:ascii="Arial" w:hAnsi="Arial" w:cs="Arial"/>
          <w:b/>
          <w:bCs/>
          <w:color w:val="auto"/>
          <w:sz w:val="22"/>
          <w:szCs w:val="22"/>
        </w:rPr>
        <w:t>garantire i creditori dalle possibili interferenze</w:t>
      </w:r>
      <w:r w:rsidRPr="00B04F11">
        <w:rPr>
          <w:rFonts w:ascii="Arial" w:hAnsi="Arial" w:cs="Arial"/>
          <w:color w:val="auto"/>
          <w:sz w:val="22"/>
          <w:szCs w:val="22"/>
        </w:rPr>
        <w:t xml:space="preserve"> nel procedimento di liquidazione dell’attivo del CCII, all’uopo prevedendo la prevalenza del sequestro sulla liquidazione giudiziale ed introducendo la possibilità dei creditori di rivalersi sul valore dei beni confiscati (salvo i casi di misure non ablative, ove viene fissato il principio opposto).</w:t>
      </w:r>
    </w:p>
    <w:p w14:paraId="14D7EB6C" w14:textId="77777777" w:rsidR="00413474" w:rsidRPr="00B04F11" w:rsidRDefault="00413474" w:rsidP="00413474">
      <w:pPr>
        <w:pStyle w:val="Default"/>
        <w:jc w:val="both"/>
        <w:rPr>
          <w:rFonts w:ascii="Arial" w:hAnsi="Arial" w:cs="Arial"/>
          <w:color w:val="auto"/>
          <w:sz w:val="22"/>
          <w:szCs w:val="22"/>
        </w:rPr>
      </w:pPr>
    </w:p>
    <w:p w14:paraId="356A94E9" w14:textId="51C0AEB6" w:rsidR="00413474" w:rsidRPr="00B04F11" w:rsidRDefault="00413474" w:rsidP="00413474">
      <w:pPr>
        <w:pStyle w:val="Default"/>
        <w:jc w:val="both"/>
        <w:rPr>
          <w:rFonts w:ascii="Arial" w:hAnsi="Arial" w:cs="Arial"/>
          <w:color w:val="auto"/>
          <w:sz w:val="22"/>
          <w:szCs w:val="22"/>
        </w:rPr>
      </w:pPr>
      <w:r w:rsidRPr="00B04F11">
        <w:rPr>
          <w:rFonts w:ascii="Arial" w:hAnsi="Arial" w:cs="Arial"/>
          <w:color w:val="auto"/>
          <w:sz w:val="22"/>
          <w:szCs w:val="22"/>
        </w:rPr>
        <w:t xml:space="preserve">Nel codice antimafia, pertanto, si conferma il principio elaborato dalla giurisprudenza, della </w:t>
      </w:r>
      <w:r w:rsidRPr="00B04F11">
        <w:rPr>
          <w:rFonts w:ascii="Arial" w:hAnsi="Arial" w:cs="Arial"/>
          <w:b/>
          <w:bCs/>
          <w:color w:val="auto"/>
          <w:sz w:val="22"/>
          <w:szCs w:val="22"/>
        </w:rPr>
        <w:t>priorità dell’interesse pubblico perseguito dalla normativa antimafia</w:t>
      </w:r>
      <w:r w:rsidRPr="00B04F11">
        <w:rPr>
          <w:rFonts w:ascii="Arial" w:hAnsi="Arial" w:cs="Arial"/>
          <w:color w:val="auto"/>
          <w:sz w:val="22"/>
          <w:szCs w:val="22"/>
        </w:rPr>
        <w:t xml:space="preserve">, affermandosi la prevalenza del procedimento di prevenzione (e penale) sulla liquidazione giudiziale e tutelando i creditori in buona </w:t>
      </w:r>
      <w:r w:rsidRPr="00B04F11">
        <w:rPr>
          <w:rFonts w:ascii="Arial" w:hAnsi="Arial" w:cs="Arial"/>
          <w:color w:val="auto"/>
          <w:sz w:val="22"/>
          <w:szCs w:val="22"/>
        </w:rPr>
        <w:lastRenderedPageBreak/>
        <w:t>fede mediante un procedimento di accertamento del passivo – simile a quello contemplato dal CCII – all’interno del giudizio di prevenzione.</w:t>
      </w:r>
    </w:p>
    <w:p w14:paraId="314E1BF8" w14:textId="77777777" w:rsidR="003148D5" w:rsidRPr="00B04F11" w:rsidRDefault="003148D5" w:rsidP="00413474">
      <w:pPr>
        <w:pStyle w:val="Default"/>
        <w:jc w:val="both"/>
        <w:rPr>
          <w:rFonts w:ascii="Arial" w:hAnsi="Arial" w:cs="Arial"/>
          <w:color w:val="auto"/>
          <w:sz w:val="22"/>
          <w:szCs w:val="22"/>
        </w:rPr>
      </w:pPr>
    </w:p>
    <w:p w14:paraId="54DF870F" w14:textId="51F1A534" w:rsidR="00413474" w:rsidRPr="00B04F11" w:rsidRDefault="00413474" w:rsidP="00413474">
      <w:pPr>
        <w:pStyle w:val="Default"/>
        <w:jc w:val="both"/>
        <w:rPr>
          <w:rFonts w:ascii="Arial" w:hAnsi="Arial" w:cs="Arial"/>
          <w:color w:val="auto"/>
          <w:sz w:val="22"/>
          <w:szCs w:val="22"/>
        </w:rPr>
      </w:pPr>
      <w:r w:rsidRPr="00B04F11">
        <w:rPr>
          <w:rFonts w:ascii="Arial" w:hAnsi="Arial" w:cs="Arial"/>
          <w:color w:val="auto"/>
          <w:sz w:val="22"/>
          <w:szCs w:val="22"/>
        </w:rPr>
        <w:t xml:space="preserve">La disciplina in esame trova applicazione in relazione al sequestro e alla confisca disposti nell’ambito del procedimento di prevenzione di cui al d.lgs. n. 159/2011 (c.d. primo binario), nei sequestri penali finalizzati alle confische </w:t>
      </w:r>
      <w:r w:rsidRPr="00B04F11">
        <w:rPr>
          <w:rFonts w:ascii="Arial" w:hAnsi="Arial" w:cs="Arial"/>
          <w:i/>
          <w:iCs/>
          <w:color w:val="auto"/>
          <w:sz w:val="22"/>
          <w:szCs w:val="22"/>
        </w:rPr>
        <w:t xml:space="preserve">ex </w:t>
      </w:r>
      <w:r w:rsidRPr="00B04F11">
        <w:rPr>
          <w:rFonts w:ascii="Arial" w:hAnsi="Arial" w:cs="Arial"/>
          <w:color w:val="auto"/>
          <w:sz w:val="22"/>
          <w:szCs w:val="22"/>
        </w:rPr>
        <w:t>art. 240-</w:t>
      </w:r>
      <w:r w:rsidRPr="00B04F11">
        <w:rPr>
          <w:rFonts w:ascii="Arial" w:hAnsi="Arial" w:cs="Arial"/>
          <w:i/>
          <w:iCs/>
          <w:color w:val="auto"/>
          <w:sz w:val="22"/>
          <w:szCs w:val="22"/>
        </w:rPr>
        <w:t xml:space="preserve">bis </w:t>
      </w:r>
      <w:r w:rsidRPr="00B04F11">
        <w:rPr>
          <w:rFonts w:ascii="Arial" w:hAnsi="Arial" w:cs="Arial"/>
          <w:color w:val="auto"/>
          <w:sz w:val="22"/>
          <w:szCs w:val="22"/>
        </w:rPr>
        <w:t xml:space="preserve">c.p., </w:t>
      </w:r>
      <w:r w:rsidRPr="00B04F11">
        <w:rPr>
          <w:rFonts w:ascii="Arial" w:hAnsi="Arial" w:cs="Arial"/>
          <w:i/>
          <w:iCs/>
          <w:color w:val="auto"/>
          <w:sz w:val="22"/>
          <w:szCs w:val="22"/>
        </w:rPr>
        <w:t xml:space="preserve">ex </w:t>
      </w:r>
      <w:r w:rsidRPr="00B04F11">
        <w:rPr>
          <w:rFonts w:ascii="Arial" w:hAnsi="Arial" w:cs="Arial"/>
          <w:color w:val="auto"/>
          <w:sz w:val="22"/>
          <w:szCs w:val="22"/>
        </w:rPr>
        <w:t>art. 51, comma 3-</w:t>
      </w:r>
      <w:r w:rsidRPr="00B04F11">
        <w:rPr>
          <w:rFonts w:ascii="Arial" w:hAnsi="Arial" w:cs="Arial"/>
          <w:i/>
          <w:iCs/>
          <w:color w:val="auto"/>
          <w:sz w:val="22"/>
          <w:szCs w:val="22"/>
        </w:rPr>
        <w:t xml:space="preserve">bis </w:t>
      </w:r>
      <w:r w:rsidRPr="00B04F11">
        <w:rPr>
          <w:rFonts w:ascii="Arial" w:hAnsi="Arial" w:cs="Arial"/>
          <w:color w:val="auto"/>
          <w:sz w:val="22"/>
          <w:szCs w:val="22"/>
        </w:rPr>
        <w:t>c.p.p. (c.d. secondo binario) e, attese le modifiche apportate dall’art. 373 CCII (in vigore dal 15/07/2022), all’art. 104-</w:t>
      </w:r>
      <w:r w:rsidRPr="00B04F11">
        <w:rPr>
          <w:rFonts w:ascii="Arial" w:hAnsi="Arial" w:cs="Arial"/>
          <w:i/>
          <w:iCs/>
          <w:color w:val="auto"/>
          <w:sz w:val="22"/>
          <w:szCs w:val="22"/>
        </w:rPr>
        <w:t xml:space="preserve">bis </w:t>
      </w:r>
      <w:r w:rsidRPr="00B04F11">
        <w:rPr>
          <w:rFonts w:ascii="Arial" w:hAnsi="Arial" w:cs="Arial"/>
          <w:color w:val="auto"/>
          <w:sz w:val="22"/>
          <w:szCs w:val="22"/>
        </w:rPr>
        <w:t xml:space="preserve">disp. att. c.p.p., anche ai sequestri preventivi penali </w:t>
      </w:r>
      <w:r w:rsidRPr="00B04F11">
        <w:rPr>
          <w:rFonts w:ascii="Arial" w:hAnsi="Arial" w:cs="Arial"/>
          <w:i/>
          <w:iCs/>
          <w:color w:val="auto"/>
          <w:sz w:val="22"/>
          <w:szCs w:val="22"/>
        </w:rPr>
        <w:t xml:space="preserve">ex </w:t>
      </w:r>
      <w:r w:rsidRPr="00B04F11">
        <w:rPr>
          <w:rFonts w:ascii="Arial" w:hAnsi="Arial" w:cs="Arial"/>
          <w:color w:val="auto"/>
          <w:sz w:val="22"/>
          <w:szCs w:val="22"/>
        </w:rPr>
        <w:t>art. 321, comma 2 c.p.p. parimenti finalizzati alla confisca (c.d. terzo binario).</w:t>
      </w:r>
    </w:p>
    <w:sectPr w:rsidR="00413474" w:rsidRPr="00B04F11">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D414C" w14:textId="77777777" w:rsidR="00D8053C" w:rsidRDefault="00D8053C" w:rsidP="00FA7C3B">
      <w:pPr>
        <w:spacing w:after="0" w:line="240" w:lineRule="auto"/>
      </w:pPr>
      <w:r>
        <w:separator/>
      </w:r>
    </w:p>
  </w:endnote>
  <w:endnote w:type="continuationSeparator" w:id="0">
    <w:p w14:paraId="31B59CAE" w14:textId="77777777" w:rsidR="00D8053C" w:rsidRDefault="00D8053C" w:rsidP="00FA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B86D3" w14:textId="77777777" w:rsidR="00D8053C" w:rsidRDefault="00D8053C" w:rsidP="00FA7C3B">
      <w:pPr>
        <w:spacing w:after="0" w:line="240" w:lineRule="auto"/>
      </w:pPr>
      <w:r>
        <w:separator/>
      </w:r>
    </w:p>
  </w:footnote>
  <w:footnote w:type="continuationSeparator" w:id="0">
    <w:p w14:paraId="0E5C9B42" w14:textId="77777777" w:rsidR="00D8053C" w:rsidRDefault="00D8053C" w:rsidP="00FA7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F2847" w14:textId="31567906" w:rsidR="00FA7C3B" w:rsidRDefault="00FA7C3B" w:rsidP="00FA7C3B">
    <w:pPr>
      <w:pStyle w:val="Intestazione"/>
      <w:jc w:val="center"/>
    </w:pPr>
    <w:r>
      <w:rPr>
        <w:noProof/>
      </w:rPr>
      <w:drawing>
        <wp:inline distT="0" distB="0" distL="0" distR="0" wp14:anchorId="5D6DB59E" wp14:editId="0FFA52B4">
          <wp:extent cx="2314575" cy="786201"/>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564" cy="7923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4B"/>
    <w:rsid w:val="00011773"/>
    <w:rsid w:val="000729B6"/>
    <w:rsid w:val="00077A68"/>
    <w:rsid w:val="00084024"/>
    <w:rsid w:val="00091901"/>
    <w:rsid w:val="000A59A9"/>
    <w:rsid w:val="000B6F91"/>
    <w:rsid w:val="000C31F6"/>
    <w:rsid w:val="000C47FE"/>
    <w:rsid w:val="000E6884"/>
    <w:rsid w:val="000E76EF"/>
    <w:rsid w:val="000F4DE4"/>
    <w:rsid w:val="00121F76"/>
    <w:rsid w:val="00127444"/>
    <w:rsid w:val="00145010"/>
    <w:rsid w:val="0015573D"/>
    <w:rsid w:val="0018149B"/>
    <w:rsid w:val="00184380"/>
    <w:rsid w:val="00186BE6"/>
    <w:rsid w:val="0019204F"/>
    <w:rsid w:val="00193AD8"/>
    <w:rsid w:val="001B2141"/>
    <w:rsid w:val="001C59DF"/>
    <w:rsid w:val="002071D7"/>
    <w:rsid w:val="00214C72"/>
    <w:rsid w:val="00245C2C"/>
    <w:rsid w:val="00247F96"/>
    <w:rsid w:val="002512D0"/>
    <w:rsid w:val="002635C1"/>
    <w:rsid w:val="00270454"/>
    <w:rsid w:val="002726AF"/>
    <w:rsid w:val="002820C4"/>
    <w:rsid w:val="00292202"/>
    <w:rsid w:val="002C06CE"/>
    <w:rsid w:val="002D0EAF"/>
    <w:rsid w:val="002D31D3"/>
    <w:rsid w:val="002E506B"/>
    <w:rsid w:val="002F4127"/>
    <w:rsid w:val="002F54CE"/>
    <w:rsid w:val="00300D47"/>
    <w:rsid w:val="003148D5"/>
    <w:rsid w:val="003214A7"/>
    <w:rsid w:val="003364C3"/>
    <w:rsid w:val="003545CD"/>
    <w:rsid w:val="0036232A"/>
    <w:rsid w:val="00366EAF"/>
    <w:rsid w:val="00376C52"/>
    <w:rsid w:val="00391AD9"/>
    <w:rsid w:val="003954CE"/>
    <w:rsid w:val="003A02E2"/>
    <w:rsid w:val="003B3D55"/>
    <w:rsid w:val="003D0378"/>
    <w:rsid w:val="003D601B"/>
    <w:rsid w:val="003F28BF"/>
    <w:rsid w:val="00411FF0"/>
    <w:rsid w:val="00413474"/>
    <w:rsid w:val="00434355"/>
    <w:rsid w:val="00451051"/>
    <w:rsid w:val="004845B0"/>
    <w:rsid w:val="00491627"/>
    <w:rsid w:val="004A76A3"/>
    <w:rsid w:val="004F10F1"/>
    <w:rsid w:val="00527058"/>
    <w:rsid w:val="00545677"/>
    <w:rsid w:val="00551447"/>
    <w:rsid w:val="00560958"/>
    <w:rsid w:val="00592CE0"/>
    <w:rsid w:val="005B7BA9"/>
    <w:rsid w:val="005C5A5D"/>
    <w:rsid w:val="005D56C7"/>
    <w:rsid w:val="005D7BB6"/>
    <w:rsid w:val="00631DEE"/>
    <w:rsid w:val="00637AB3"/>
    <w:rsid w:val="00665046"/>
    <w:rsid w:val="00677D2B"/>
    <w:rsid w:val="00685416"/>
    <w:rsid w:val="006F29DA"/>
    <w:rsid w:val="0070602F"/>
    <w:rsid w:val="00716A7F"/>
    <w:rsid w:val="007267DA"/>
    <w:rsid w:val="00741347"/>
    <w:rsid w:val="007438AF"/>
    <w:rsid w:val="00780B5E"/>
    <w:rsid w:val="00787ABF"/>
    <w:rsid w:val="0079411C"/>
    <w:rsid w:val="00796380"/>
    <w:rsid w:val="007B008F"/>
    <w:rsid w:val="007B0BD3"/>
    <w:rsid w:val="007C222F"/>
    <w:rsid w:val="007C3EFE"/>
    <w:rsid w:val="007C7EF6"/>
    <w:rsid w:val="007F5D3F"/>
    <w:rsid w:val="00842129"/>
    <w:rsid w:val="00851CD4"/>
    <w:rsid w:val="00851F45"/>
    <w:rsid w:val="008577F5"/>
    <w:rsid w:val="00871774"/>
    <w:rsid w:val="008A2877"/>
    <w:rsid w:val="008B1E5F"/>
    <w:rsid w:val="008D450D"/>
    <w:rsid w:val="009168DE"/>
    <w:rsid w:val="00963CBF"/>
    <w:rsid w:val="00987253"/>
    <w:rsid w:val="0099695B"/>
    <w:rsid w:val="00997178"/>
    <w:rsid w:val="00997419"/>
    <w:rsid w:val="009B4BA0"/>
    <w:rsid w:val="009C0445"/>
    <w:rsid w:val="009D5412"/>
    <w:rsid w:val="009D68F3"/>
    <w:rsid w:val="009E05B9"/>
    <w:rsid w:val="009F0102"/>
    <w:rsid w:val="00A36025"/>
    <w:rsid w:val="00A40380"/>
    <w:rsid w:val="00A51904"/>
    <w:rsid w:val="00A66BEE"/>
    <w:rsid w:val="00A71BBD"/>
    <w:rsid w:val="00A850A4"/>
    <w:rsid w:val="00A955B1"/>
    <w:rsid w:val="00AA59D6"/>
    <w:rsid w:val="00AC79F0"/>
    <w:rsid w:val="00AC7F18"/>
    <w:rsid w:val="00B01B48"/>
    <w:rsid w:val="00B04F11"/>
    <w:rsid w:val="00B25408"/>
    <w:rsid w:val="00B267EC"/>
    <w:rsid w:val="00B27628"/>
    <w:rsid w:val="00B557B9"/>
    <w:rsid w:val="00B64A4F"/>
    <w:rsid w:val="00B93E30"/>
    <w:rsid w:val="00BA5102"/>
    <w:rsid w:val="00BD0C6D"/>
    <w:rsid w:val="00BE3C26"/>
    <w:rsid w:val="00BE4B83"/>
    <w:rsid w:val="00BF3B6B"/>
    <w:rsid w:val="00C16E94"/>
    <w:rsid w:val="00C23EEB"/>
    <w:rsid w:val="00C24CC1"/>
    <w:rsid w:val="00C53D4B"/>
    <w:rsid w:val="00C81649"/>
    <w:rsid w:val="00C8446E"/>
    <w:rsid w:val="00C849AF"/>
    <w:rsid w:val="00CB3C1A"/>
    <w:rsid w:val="00CC3AA3"/>
    <w:rsid w:val="00CC58D5"/>
    <w:rsid w:val="00CC60BD"/>
    <w:rsid w:val="00CD528A"/>
    <w:rsid w:val="00CE34EC"/>
    <w:rsid w:val="00CE4DF8"/>
    <w:rsid w:val="00CE4F46"/>
    <w:rsid w:val="00CF59DD"/>
    <w:rsid w:val="00CF5A5A"/>
    <w:rsid w:val="00D169A2"/>
    <w:rsid w:val="00D27815"/>
    <w:rsid w:val="00D33E97"/>
    <w:rsid w:val="00D62E95"/>
    <w:rsid w:val="00D71DEB"/>
    <w:rsid w:val="00D8053C"/>
    <w:rsid w:val="00E00E2C"/>
    <w:rsid w:val="00E05BCA"/>
    <w:rsid w:val="00E222FD"/>
    <w:rsid w:val="00E34D28"/>
    <w:rsid w:val="00E36C66"/>
    <w:rsid w:val="00E73117"/>
    <w:rsid w:val="00EE6E5C"/>
    <w:rsid w:val="00EF2CCC"/>
    <w:rsid w:val="00F424A5"/>
    <w:rsid w:val="00F451FA"/>
    <w:rsid w:val="00F51775"/>
    <w:rsid w:val="00F572F3"/>
    <w:rsid w:val="00F72FF4"/>
    <w:rsid w:val="00FA1F4D"/>
    <w:rsid w:val="00FA7C3B"/>
    <w:rsid w:val="00FC6A4F"/>
    <w:rsid w:val="00FD1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0F3A"/>
  <w15:chartTrackingRefBased/>
  <w15:docId w15:val="{1505FA01-0CDF-4A79-B26B-B9408F2D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7C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7C3B"/>
  </w:style>
  <w:style w:type="paragraph" w:styleId="Pidipagina">
    <w:name w:val="footer"/>
    <w:basedOn w:val="Normale"/>
    <w:link w:val="PidipaginaCarattere"/>
    <w:uiPriority w:val="99"/>
    <w:unhideWhenUsed/>
    <w:rsid w:val="00FA7C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7C3B"/>
  </w:style>
  <w:style w:type="paragraph" w:styleId="NormaleWeb">
    <w:name w:val="Normal (Web)"/>
    <w:basedOn w:val="Normale"/>
    <w:uiPriority w:val="99"/>
    <w:unhideWhenUsed/>
    <w:rsid w:val="00F72FF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F72FF4"/>
    <w:rPr>
      <w:b/>
      <w:bCs/>
    </w:rPr>
  </w:style>
  <w:style w:type="character" w:styleId="Collegamentoipertestuale">
    <w:name w:val="Hyperlink"/>
    <w:basedOn w:val="Carpredefinitoparagrafo"/>
    <w:uiPriority w:val="99"/>
    <w:unhideWhenUsed/>
    <w:rsid w:val="007C3EFE"/>
    <w:rPr>
      <w:color w:val="0563C1" w:themeColor="hyperlink"/>
      <w:u w:val="single"/>
    </w:rPr>
  </w:style>
  <w:style w:type="character" w:styleId="Menzionenonrisolta">
    <w:name w:val="Unresolved Mention"/>
    <w:basedOn w:val="Carpredefinitoparagrafo"/>
    <w:uiPriority w:val="99"/>
    <w:semiHidden/>
    <w:unhideWhenUsed/>
    <w:rsid w:val="007C3EFE"/>
    <w:rPr>
      <w:color w:val="605E5C"/>
      <w:shd w:val="clear" w:color="auto" w:fill="E1DFDD"/>
    </w:rPr>
  </w:style>
  <w:style w:type="paragraph" w:customStyle="1" w:styleId="Default">
    <w:name w:val="Default"/>
    <w:rsid w:val="00B27628"/>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9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656</Words>
  <Characters>3744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10</cp:revision>
  <dcterms:created xsi:type="dcterms:W3CDTF">2024-05-02T12:27:00Z</dcterms:created>
  <dcterms:modified xsi:type="dcterms:W3CDTF">2024-05-02T13:46:00Z</dcterms:modified>
</cp:coreProperties>
</file>