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33297" w14:textId="77777777" w:rsidR="0053767A" w:rsidRPr="00873CF9" w:rsidRDefault="0053767A" w:rsidP="00873CF9">
      <w:pPr>
        <w:jc w:val="center"/>
        <w:rPr>
          <w:rFonts w:ascii="Arial" w:eastAsia="Tahoma" w:hAnsi="Arial" w:cs="Arial"/>
          <w:b/>
          <w:bCs/>
          <w:sz w:val="24"/>
          <w:szCs w:val="24"/>
        </w:rPr>
      </w:pPr>
    </w:p>
    <w:p w14:paraId="1E3AE8E7" w14:textId="77777777" w:rsidR="00B4592E" w:rsidRPr="00873CF9" w:rsidRDefault="00B4592E" w:rsidP="00873CF9">
      <w:pPr>
        <w:jc w:val="center"/>
        <w:rPr>
          <w:rFonts w:ascii="Arial" w:eastAsia="Tahoma" w:hAnsi="Arial" w:cs="Arial"/>
          <w:b/>
          <w:bCs/>
          <w:sz w:val="24"/>
          <w:szCs w:val="24"/>
          <w:u w:val="single"/>
        </w:rPr>
      </w:pPr>
    </w:p>
    <w:p w14:paraId="645AADF9" w14:textId="428FB5B6" w:rsidR="0081776A" w:rsidRPr="00873CF9" w:rsidRDefault="0081776A" w:rsidP="00873CF9">
      <w:pPr>
        <w:jc w:val="center"/>
        <w:rPr>
          <w:rFonts w:ascii="Arial" w:eastAsia="Tahoma" w:hAnsi="Arial" w:cs="Arial"/>
          <w:b/>
          <w:bCs/>
          <w:sz w:val="24"/>
          <w:szCs w:val="24"/>
          <w:u w:val="single"/>
        </w:rPr>
      </w:pPr>
      <w:r w:rsidRPr="00873CF9">
        <w:rPr>
          <w:rFonts w:ascii="Arial" w:eastAsia="Tahoma" w:hAnsi="Arial" w:cs="Arial"/>
          <w:b/>
          <w:bCs/>
          <w:sz w:val="24"/>
          <w:szCs w:val="24"/>
          <w:u w:val="single"/>
        </w:rPr>
        <w:t>Comunicato stampa</w:t>
      </w:r>
    </w:p>
    <w:p w14:paraId="3F304401" w14:textId="77777777" w:rsidR="0081776A" w:rsidRPr="00873CF9" w:rsidRDefault="0081776A" w:rsidP="00873CF9">
      <w:pPr>
        <w:jc w:val="both"/>
        <w:rPr>
          <w:rFonts w:ascii="Arial" w:eastAsia="Tahoma" w:hAnsi="Arial" w:cs="Arial"/>
          <w:b/>
          <w:bCs/>
          <w:sz w:val="24"/>
          <w:szCs w:val="24"/>
        </w:rPr>
      </w:pPr>
    </w:p>
    <w:p w14:paraId="1CED768B" w14:textId="626E5A38" w:rsidR="00BB7C37" w:rsidRDefault="00BB7C37" w:rsidP="00873CF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73CF9">
        <w:rPr>
          <w:rFonts w:ascii="Arial" w:hAnsi="Arial" w:cs="Arial"/>
          <w:b/>
          <w:bCs/>
          <w:sz w:val="24"/>
          <w:szCs w:val="24"/>
        </w:rPr>
        <w:t>TERZO SETTORE, DAI COMMERCIALISTI UN DOCUMENTO SUL RENDICONTO PER CASSA</w:t>
      </w:r>
    </w:p>
    <w:p w14:paraId="28C11E9F" w14:textId="77777777" w:rsidR="00873CF9" w:rsidRPr="00873CF9" w:rsidRDefault="00873CF9" w:rsidP="00873CF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254F2E3" w14:textId="73E5FCCE" w:rsidR="00BB7C37" w:rsidRDefault="004A1906" w:rsidP="00873CF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73CF9">
        <w:rPr>
          <w:rFonts w:ascii="Arial" w:hAnsi="Arial" w:cs="Arial"/>
          <w:b/>
          <w:bCs/>
          <w:sz w:val="24"/>
          <w:szCs w:val="24"/>
        </w:rPr>
        <w:t>Un approfondimento su una tipologia di bilancio utilizzabile per gli enti con ricavi, rendite, proventi o entrate inferiori a 220mila euro</w:t>
      </w:r>
    </w:p>
    <w:p w14:paraId="3FCBE19F" w14:textId="77777777" w:rsidR="00E47C7B" w:rsidRPr="00873CF9" w:rsidRDefault="00E47C7B" w:rsidP="00873CF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31BFA90" w14:textId="77777777" w:rsidR="00BB7C37" w:rsidRPr="00873CF9" w:rsidRDefault="00BB7C37" w:rsidP="00873CF9">
      <w:pPr>
        <w:jc w:val="both"/>
        <w:rPr>
          <w:rFonts w:ascii="Arial" w:hAnsi="Arial" w:cs="Arial"/>
          <w:sz w:val="24"/>
          <w:szCs w:val="24"/>
        </w:rPr>
      </w:pPr>
    </w:p>
    <w:p w14:paraId="16A8FC02" w14:textId="1245646A" w:rsidR="00BB7C37" w:rsidRPr="00873CF9" w:rsidRDefault="00BB7C37" w:rsidP="00873CF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873CF9">
        <w:rPr>
          <w:rFonts w:ascii="Arial" w:hAnsi="Arial" w:cs="Arial"/>
          <w:color w:val="000000"/>
          <w:sz w:val="24"/>
          <w:szCs w:val="24"/>
        </w:rPr>
        <w:t>Roma, 29 aprile 2024 – “</w:t>
      </w:r>
      <w:r w:rsidRPr="00873CF9">
        <w:rPr>
          <w:rFonts w:ascii="Arial" w:hAnsi="Arial" w:cs="Arial"/>
          <w:b/>
          <w:bCs/>
          <w:color w:val="000000"/>
          <w:sz w:val="24"/>
          <w:szCs w:val="24"/>
        </w:rPr>
        <w:t>Il rendiconto per cassa degli enti del terzo settore</w:t>
      </w:r>
      <w:r w:rsidRPr="00873CF9">
        <w:rPr>
          <w:rFonts w:ascii="Arial" w:hAnsi="Arial" w:cs="Arial"/>
          <w:color w:val="000000"/>
          <w:sz w:val="24"/>
          <w:szCs w:val="24"/>
        </w:rPr>
        <w:t>” è il titolo del documento di ricerca pubblicato dal Consiglio nazionale dei commercialisti, elaborato dalla Commissione di studio “ETS Enti del Terzo Settore”, nell’ambito dell’attività dell’area dedicata a questa materia, alla quale sono delegat</w:t>
      </w:r>
      <w:r w:rsidR="00873CF9" w:rsidRPr="00873CF9">
        <w:rPr>
          <w:rFonts w:ascii="Arial" w:hAnsi="Arial" w:cs="Arial"/>
          <w:color w:val="000000"/>
          <w:sz w:val="24"/>
          <w:szCs w:val="24"/>
        </w:rPr>
        <w:t>i</w:t>
      </w:r>
      <w:r w:rsidRPr="00873CF9">
        <w:rPr>
          <w:rFonts w:ascii="Arial" w:hAnsi="Arial" w:cs="Arial"/>
          <w:color w:val="000000"/>
          <w:sz w:val="24"/>
          <w:szCs w:val="24"/>
        </w:rPr>
        <w:t xml:space="preserve"> </w:t>
      </w:r>
      <w:r w:rsidRPr="00873CF9">
        <w:rPr>
          <w:rFonts w:ascii="Arial" w:hAnsi="Arial" w:cs="Arial"/>
          <w:b/>
          <w:bCs/>
          <w:color w:val="000000"/>
          <w:sz w:val="24"/>
          <w:szCs w:val="24"/>
        </w:rPr>
        <w:t xml:space="preserve">Michele de </w:t>
      </w:r>
      <w:proofErr w:type="spellStart"/>
      <w:r w:rsidRPr="00873CF9">
        <w:rPr>
          <w:rFonts w:ascii="Arial" w:hAnsi="Arial" w:cs="Arial"/>
          <w:b/>
          <w:bCs/>
          <w:color w:val="000000"/>
          <w:sz w:val="24"/>
          <w:szCs w:val="24"/>
        </w:rPr>
        <w:t>Tavonatti</w:t>
      </w:r>
      <w:proofErr w:type="spellEnd"/>
      <w:r w:rsidRPr="00873CF9">
        <w:rPr>
          <w:rFonts w:ascii="Arial" w:hAnsi="Arial" w:cs="Arial"/>
          <w:color w:val="000000"/>
          <w:sz w:val="24"/>
          <w:szCs w:val="24"/>
        </w:rPr>
        <w:t xml:space="preserve"> e </w:t>
      </w:r>
      <w:r w:rsidRPr="00873CF9">
        <w:rPr>
          <w:rFonts w:ascii="Arial" w:hAnsi="Arial" w:cs="Arial"/>
          <w:b/>
          <w:bCs/>
          <w:color w:val="000000"/>
          <w:sz w:val="24"/>
          <w:szCs w:val="24"/>
        </w:rPr>
        <w:t>David Moro</w:t>
      </w:r>
      <w:r w:rsidRPr="00873CF9">
        <w:rPr>
          <w:rFonts w:ascii="Arial" w:hAnsi="Arial" w:cs="Arial"/>
          <w:color w:val="000000"/>
          <w:sz w:val="24"/>
          <w:szCs w:val="24"/>
        </w:rPr>
        <w:t>, rispettivamente Vicepresidente e Consigliere nazional</w:t>
      </w:r>
      <w:r w:rsidR="00873CF9" w:rsidRPr="00873CF9">
        <w:rPr>
          <w:rFonts w:ascii="Arial" w:hAnsi="Arial" w:cs="Arial"/>
          <w:color w:val="000000"/>
          <w:sz w:val="24"/>
          <w:szCs w:val="24"/>
        </w:rPr>
        <w:t>e</w:t>
      </w:r>
      <w:r w:rsidRPr="00873CF9">
        <w:rPr>
          <w:rFonts w:ascii="Arial" w:hAnsi="Arial" w:cs="Arial"/>
          <w:color w:val="000000"/>
          <w:sz w:val="24"/>
          <w:szCs w:val="24"/>
        </w:rPr>
        <w:t xml:space="preserve"> della categoria. </w:t>
      </w:r>
    </w:p>
    <w:p w14:paraId="46002ED3" w14:textId="77777777" w:rsidR="004A1906" w:rsidRPr="00873CF9" w:rsidRDefault="004A1906" w:rsidP="00873CF9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6AACA086" w14:textId="65927122" w:rsidR="00BB7C37" w:rsidRPr="00873CF9" w:rsidRDefault="00BB7C37" w:rsidP="00873CF9">
      <w:pPr>
        <w:jc w:val="both"/>
        <w:rPr>
          <w:rStyle w:val="hgkelc"/>
          <w:rFonts w:ascii="Arial" w:hAnsi="Arial" w:cs="Arial"/>
          <w:sz w:val="24"/>
          <w:szCs w:val="24"/>
        </w:rPr>
      </w:pPr>
      <w:r w:rsidRPr="00873CF9">
        <w:rPr>
          <w:rFonts w:ascii="Arial" w:hAnsi="Arial" w:cs="Arial"/>
          <w:sz w:val="24"/>
          <w:szCs w:val="24"/>
        </w:rPr>
        <w:t xml:space="preserve">Il </w:t>
      </w:r>
      <w:r w:rsidRPr="00873CF9">
        <w:rPr>
          <w:rStyle w:val="hgkelc"/>
          <w:rFonts w:ascii="Arial" w:hAnsi="Arial" w:cs="Arial"/>
          <w:b/>
          <w:bCs/>
          <w:sz w:val="24"/>
          <w:szCs w:val="24"/>
        </w:rPr>
        <w:t>Codice del Terzo settore</w:t>
      </w:r>
      <w:r w:rsidRPr="00873CF9">
        <w:rPr>
          <w:rStyle w:val="hgkelc"/>
          <w:rFonts w:ascii="Arial" w:hAnsi="Arial" w:cs="Arial"/>
          <w:sz w:val="24"/>
          <w:szCs w:val="24"/>
        </w:rPr>
        <w:t xml:space="preserve"> </w:t>
      </w:r>
      <w:r w:rsidRPr="00873CF9">
        <w:rPr>
          <w:rFonts w:ascii="Arial" w:hAnsi="Arial" w:cs="Arial"/>
          <w:sz w:val="24"/>
          <w:szCs w:val="24"/>
        </w:rPr>
        <w:t>prevede che “</w:t>
      </w:r>
      <w:r w:rsidRPr="00873CF9">
        <w:rPr>
          <w:rFonts w:ascii="Arial" w:hAnsi="Arial" w:cs="Arial"/>
          <w:i/>
          <w:iCs/>
          <w:sz w:val="24"/>
          <w:szCs w:val="24"/>
        </w:rPr>
        <w:t>il</w:t>
      </w:r>
      <w:r w:rsidRPr="00873CF9">
        <w:rPr>
          <w:rFonts w:ascii="Arial" w:hAnsi="Arial" w:cs="Arial"/>
          <w:sz w:val="24"/>
          <w:szCs w:val="24"/>
        </w:rPr>
        <w:t xml:space="preserve"> </w:t>
      </w:r>
      <w:r w:rsidRPr="00873CF9">
        <w:rPr>
          <w:rFonts w:ascii="Arial" w:hAnsi="Arial" w:cs="Arial"/>
          <w:i/>
          <w:iCs/>
          <w:sz w:val="24"/>
          <w:szCs w:val="24"/>
        </w:rPr>
        <w:t>bilancio degli enti del Terzo settore con ricavi, rendite, proventi o entrate comunque denominate inferiori a 220</w:t>
      </w:r>
      <w:r w:rsidR="00873CF9" w:rsidRPr="00873CF9">
        <w:rPr>
          <w:rFonts w:ascii="Arial" w:hAnsi="Arial" w:cs="Arial"/>
          <w:i/>
          <w:iCs/>
          <w:sz w:val="24"/>
          <w:szCs w:val="24"/>
        </w:rPr>
        <w:t>mila</w:t>
      </w:r>
      <w:r w:rsidRPr="00873CF9">
        <w:rPr>
          <w:rFonts w:ascii="Arial" w:hAnsi="Arial" w:cs="Arial"/>
          <w:i/>
          <w:iCs/>
          <w:sz w:val="24"/>
          <w:szCs w:val="24"/>
        </w:rPr>
        <w:t xml:space="preserve"> euro può essere redatto nella forma del rendiconto per cassa</w:t>
      </w:r>
      <w:r w:rsidRPr="00873CF9">
        <w:rPr>
          <w:rFonts w:ascii="Arial" w:hAnsi="Arial" w:cs="Arial"/>
          <w:sz w:val="24"/>
          <w:szCs w:val="24"/>
        </w:rPr>
        <w:t xml:space="preserve">”. A differenza del </w:t>
      </w:r>
      <w:r w:rsidRPr="00873CF9">
        <w:rPr>
          <w:rFonts w:ascii="Arial" w:hAnsi="Arial" w:cs="Arial"/>
          <w:b/>
          <w:bCs/>
          <w:sz w:val="24"/>
          <w:szCs w:val="24"/>
        </w:rPr>
        <w:t>rendiconto gestionale</w:t>
      </w:r>
      <w:r w:rsidRPr="00873CF9">
        <w:rPr>
          <w:rFonts w:ascii="Arial" w:hAnsi="Arial" w:cs="Arial"/>
          <w:sz w:val="24"/>
          <w:szCs w:val="24"/>
        </w:rPr>
        <w:t xml:space="preserve">, che rileva oneri e proventi della gestione economica di periodo, il </w:t>
      </w:r>
      <w:r w:rsidRPr="00873CF9">
        <w:rPr>
          <w:rFonts w:ascii="Arial" w:hAnsi="Arial" w:cs="Arial"/>
          <w:b/>
          <w:bCs/>
          <w:sz w:val="24"/>
          <w:szCs w:val="24"/>
        </w:rPr>
        <w:t>rendiconto per cassa</w:t>
      </w:r>
      <w:r w:rsidRPr="00873CF9">
        <w:rPr>
          <w:rFonts w:ascii="Arial" w:hAnsi="Arial" w:cs="Arial"/>
          <w:sz w:val="24"/>
          <w:szCs w:val="24"/>
        </w:rPr>
        <w:t xml:space="preserve"> evidenzia l’andamento dei flussi monetari dell’esercizio. La diversità sostanziale tra i due prospetti risiede nella circostanza che il sistema di rilevazione, nel primo caso, è basato sulla </w:t>
      </w:r>
      <w:r w:rsidRPr="00873CF9">
        <w:rPr>
          <w:rFonts w:ascii="Arial" w:hAnsi="Arial" w:cs="Arial"/>
          <w:b/>
          <w:bCs/>
          <w:sz w:val="24"/>
          <w:szCs w:val="24"/>
        </w:rPr>
        <w:t>competenza economica</w:t>
      </w:r>
      <w:r w:rsidRPr="00873CF9">
        <w:rPr>
          <w:rFonts w:ascii="Arial" w:hAnsi="Arial" w:cs="Arial"/>
          <w:sz w:val="24"/>
          <w:szCs w:val="24"/>
        </w:rPr>
        <w:t xml:space="preserve">, mentre nel secondo rilevano le </w:t>
      </w:r>
      <w:r w:rsidRPr="00873CF9">
        <w:rPr>
          <w:rFonts w:ascii="Arial" w:hAnsi="Arial" w:cs="Arial"/>
          <w:b/>
          <w:bCs/>
          <w:sz w:val="24"/>
          <w:szCs w:val="24"/>
        </w:rPr>
        <w:t>sole movimentazioni monetarie (entrate ed uscite).</w:t>
      </w:r>
      <w:r w:rsidRPr="00873CF9">
        <w:rPr>
          <w:rFonts w:ascii="Arial" w:hAnsi="Arial" w:cs="Arial"/>
          <w:sz w:val="24"/>
          <w:szCs w:val="24"/>
        </w:rPr>
        <w:t xml:space="preserve"> </w:t>
      </w:r>
      <w:r w:rsidRPr="00873CF9">
        <w:rPr>
          <w:rStyle w:val="hgkelc"/>
          <w:rFonts w:ascii="Arial" w:hAnsi="Arial" w:cs="Arial"/>
          <w:sz w:val="24"/>
          <w:szCs w:val="24"/>
        </w:rPr>
        <w:t>Il rendiconto per cassa, quindi, evidenzia tutti i movimenti monetari avvenuti nel corso dell’esercizio, identificando la modalità con cui le disponibilità liquide sono state generate o assorbite nel corso del periodo amministrativo.</w:t>
      </w:r>
    </w:p>
    <w:p w14:paraId="49C306E2" w14:textId="77777777" w:rsidR="004A1906" w:rsidRPr="00873CF9" w:rsidRDefault="004A1906" w:rsidP="00873CF9">
      <w:pPr>
        <w:jc w:val="both"/>
        <w:rPr>
          <w:rFonts w:ascii="Arial" w:hAnsi="Arial" w:cs="Arial"/>
          <w:sz w:val="24"/>
          <w:szCs w:val="24"/>
        </w:rPr>
      </w:pPr>
    </w:p>
    <w:p w14:paraId="1BCF5824" w14:textId="1F97DF51" w:rsidR="0074354C" w:rsidRPr="00873CF9" w:rsidRDefault="00BB7C37" w:rsidP="00873CF9">
      <w:pPr>
        <w:pStyle w:val="Default"/>
        <w:numPr>
          <w:ilvl w:val="1"/>
          <w:numId w:val="1"/>
        </w:numPr>
        <w:jc w:val="both"/>
        <w:rPr>
          <w:rFonts w:ascii="Arial" w:eastAsia="Tahoma" w:hAnsi="Arial" w:cs="Arial"/>
        </w:rPr>
      </w:pPr>
      <w:r w:rsidRPr="00873CF9">
        <w:rPr>
          <w:rFonts w:ascii="Arial" w:hAnsi="Arial" w:cs="Arial"/>
          <w:color w:val="auto"/>
        </w:rPr>
        <w:t xml:space="preserve">Il documento </w:t>
      </w:r>
      <w:r w:rsidR="00264AF8" w:rsidRPr="00873CF9">
        <w:rPr>
          <w:rFonts w:ascii="Arial" w:hAnsi="Arial" w:cs="Arial"/>
          <w:color w:val="auto"/>
        </w:rPr>
        <w:t xml:space="preserve">di ricerca </w:t>
      </w:r>
      <w:r w:rsidRPr="00873CF9">
        <w:rPr>
          <w:rFonts w:ascii="Arial" w:hAnsi="Arial" w:cs="Arial"/>
          <w:color w:val="auto"/>
        </w:rPr>
        <w:t xml:space="preserve">dei commercialisti </w:t>
      </w:r>
      <w:r w:rsidR="00B4592E" w:rsidRPr="00873CF9">
        <w:rPr>
          <w:rFonts w:ascii="Arial" w:hAnsi="Arial" w:cs="Arial"/>
          <w:color w:val="auto"/>
        </w:rPr>
        <w:t>analizza,</w:t>
      </w:r>
      <w:r w:rsidR="00264AF8" w:rsidRPr="00873CF9">
        <w:rPr>
          <w:rFonts w:ascii="Arial" w:hAnsi="Arial" w:cs="Arial"/>
          <w:color w:val="auto"/>
        </w:rPr>
        <w:t xml:space="preserve"> in linea con gli schemi del decreto del </w:t>
      </w:r>
      <w:r w:rsidR="00B4592E" w:rsidRPr="00873CF9">
        <w:rPr>
          <w:rFonts w:ascii="Arial" w:hAnsi="Arial" w:cs="Arial"/>
          <w:color w:val="auto"/>
        </w:rPr>
        <w:t>Ministero</w:t>
      </w:r>
      <w:r w:rsidR="00264AF8" w:rsidRPr="00873CF9">
        <w:rPr>
          <w:rFonts w:ascii="Arial" w:hAnsi="Arial" w:cs="Arial"/>
          <w:color w:val="auto"/>
        </w:rPr>
        <w:t xml:space="preserve"> del </w:t>
      </w:r>
      <w:r w:rsidR="00873CF9" w:rsidRPr="00873CF9">
        <w:rPr>
          <w:rFonts w:ascii="Arial" w:hAnsi="Arial" w:cs="Arial"/>
          <w:color w:val="auto"/>
        </w:rPr>
        <w:t>L</w:t>
      </w:r>
      <w:r w:rsidR="00264AF8" w:rsidRPr="00873CF9">
        <w:rPr>
          <w:rFonts w:ascii="Arial" w:hAnsi="Arial" w:cs="Arial"/>
          <w:color w:val="auto"/>
        </w:rPr>
        <w:t xml:space="preserve">avoro e delle </w:t>
      </w:r>
      <w:r w:rsidR="00873CF9" w:rsidRPr="00873CF9">
        <w:rPr>
          <w:rFonts w:ascii="Arial" w:hAnsi="Arial" w:cs="Arial"/>
          <w:color w:val="auto"/>
        </w:rPr>
        <w:t>P</w:t>
      </w:r>
      <w:r w:rsidR="00264AF8" w:rsidRPr="00873CF9">
        <w:rPr>
          <w:rFonts w:ascii="Arial" w:hAnsi="Arial" w:cs="Arial"/>
          <w:color w:val="auto"/>
        </w:rPr>
        <w:t>olitiche sociali del marzo 2020, le specificità legate a questo tipo di rendicontazione, proponendo diverse esemplificazioni tratte anche dall’esperienza operativa di questi primi esercizi di applicazione delle norme</w:t>
      </w:r>
      <w:r w:rsidR="004A1906" w:rsidRPr="00873CF9">
        <w:rPr>
          <w:rFonts w:ascii="Arial" w:hAnsi="Arial" w:cs="Arial"/>
          <w:color w:val="auto"/>
        </w:rPr>
        <w:t>. Dopo un’analisi dei r</w:t>
      </w:r>
      <w:r w:rsidR="004A1906" w:rsidRPr="00873CF9">
        <w:rPr>
          <w:rFonts w:ascii="Arial" w:hAnsi="Arial" w:cs="Arial"/>
        </w:rPr>
        <w:t xml:space="preserve">iferimenti normativi e un focus sulla classificazione delle entrate e delle uscite, il lavoro si concentra sul corretto inserimento del saldo iniziale delle consistenze liquide nella sezione “Cassa e Banca” e sulle informazioni obbligatorie.  Secondarietà e strumentalità delle attività diverse di cui all’articolo 6 del Codice del Terzo settore, rendicontazione delle raccolte fondi occasionali, informazioni facoltative, collocazione all’interno del Rendiconto per Cassa dei costi e proventi figurativi sono gli </w:t>
      </w:r>
      <w:r w:rsidR="00264AF8" w:rsidRPr="00873CF9">
        <w:rPr>
          <w:rFonts w:ascii="Arial" w:hAnsi="Arial" w:cs="Arial"/>
        </w:rPr>
        <w:t xml:space="preserve">altri </w:t>
      </w:r>
      <w:r w:rsidR="004A1906" w:rsidRPr="00873CF9">
        <w:rPr>
          <w:rFonts w:ascii="Arial" w:hAnsi="Arial" w:cs="Arial"/>
        </w:rPr>
        <w:t>temi trattati. Il documento si conclude con un esempio pratico</w:t>
      </w:r>
      <w:r w:rsidR="00264AF8" w:rsidRPr="00873CF9">
        <w:rPr>
          <w:rFonts w:ascii="Arial" w:hAnsi="Arial" w:cs="Arial"/>
        </w:rPr>
        <w:t xml:space="preserve"> di rendiconto</w:t>
      </w:r>
      <w:r w:rsidR="004A1906" w:rsidRPr="00873CF9">
        <w:rPr>
          <w:rFonts w:ascii="Arial" w:hAnsi="Arial" w:cs="Arial"/>
        </w:rPr>
        <w:t>.</w:t>
      </w:r>
    </w:p>
    <w:sectPr w:rsidR="0074354C" w:rsidRPr="00873CF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C5F2D" w14:textId="77777777" w:rsidR="002D1584" w:rsidRDefault="002D1584" w:rsidP="0053767A">
      <w:r>
        <w:separator/>
      </w:r>
    </w:p>
  </w:endnote>
  <w:endnote w:type="continuationSeparator" w:id="0">
    <w:p w14:paraId="51AC24E1" w14:textId="77777777" w:rsidR="002D1584" w:rsidRDefault="002D1584" w:rsidP="00537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94EB3" w14:textId="77777777" w:rsidR="002D1584" w:rsidRDefault="002D1584" w:rsidP="0053767A">
      <w:r>
        <w:separator/>
      </w:r>
    </w:p>
  </w:footnote>
  <w:footnote w:type="continuationSeparator" w:id="0">
    <w:p w14:paraId="0AB86165" w14:textId="77777777" w:rsidR="002D1584" w:rsidRDefault="002D1584" w:rsidP="00537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FCF04" w14:textId="137E3C70" w:rsidR="0053767A" w:rsidRDefault="0053767A" w:rsidP="0053767A">
    <w:pPr>
      <w:pStyle w:val="Intestazione"/>
      <w:jc w:val="center"/>
    </w:pPr>
    <w:r>
      <w:rPr>
        <w:noProof/>
      </w:rPr>
      <w:drawing>
        <wp:inline distT="0" distB="0" distL="0" distR="0" wp14:anchorId="6CE15400" wp14:editId="1B607080">
          <wp:extent cx="2493645" cy="847090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CNDCEC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7ECE8C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30606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AD7"/>
    <w:rsid w:val="00042944"/>
    <w:rsid w:val="00094E35"/>
    <w:rsid w:val="000D7EE9"/>
    <w:rsid w:val="00264AF8"/>
    <w:rsid w:val="002873BD"/>
    <w:rsid w:val="002C046C"/>
    <w:rsid w:val="002D1584"/>
    <w:rsid w:val="00370D9B"/>
    <w:rsid w:val="00402D0F"/>
    <w:rsid w:val="004A1906"/>
    <w:rsid w:val="0053767A"/>
    <w:rsid w:val="00553922"/>
    <w:rsid w:val="005B49BE"/>
    <w:rsid w:val="00600F24"/>
    <w:rsid w:val="006B3E6A"/>
    <w:rsid w:val="00725CA0"/>
    <w:rsid w:val="0074354C"/>
    <w:rsid w:val="00801280"/>
    <w:rsid w:val="0081776A"/>
    <w:rsid w:val="0082070C"/>
    <w:rsid w:val="0084198B"/>
    <w:rsid w:val="00873CF9"/>
    <w:rsid w:val="008B0AD7"/>
    <w:rsid w:val="008D251E"/>
    <w:rsid w:val="009657C6"/>
    <w:rsid w:val="00977FE6"/>
    <w:rsid w:val="00B4592E"/>
    <w:rsid w:val="00B849E0"/>
    <w:rsid w:val="00BB7C37"/>
    <w:rsid w:val="00E47C7B"/>
    <w:rsid w:val="00E730CE"/>
    <w:rsid w:val="00FB0E7B"/>
    <w:rsid w:val="00FB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CE167"/>
  <w15:chartTrackingRefBased/>
  <w15:docId w15:val="{E736ABF5-AE2F-45F8-A7AE-AFAF391E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0AD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8B0AD7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B0AD7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376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767A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5376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767A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NormaleWeb">
    <w:name w:val="Normal (Web)"/>
    <w:basedOn w:val="Normale"/>
    <w:uiPriority w:val="99"/>
    <w:semiHidden/>
    <w:unhideWhenUsed/>
    <w:rsid w:val="00B849E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B7C3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14:ligatures w14:val="none"/>
    </w:rPr>
  </w:style>
  <w:style w:type="character" w:customStyle="1" w:styleId="hgkelc">
    <w:name w:val="hgkelc"/>
    <w:basedOn w:val="Carpredefinitoparagrafo"/>
    <w:rsid w:val="00BB7C37"/>
  </w:style>
  <w:style w:type="paragraph" w:styleId="Revisione">
    <w:name w:val="Revision"/>
    <w:hidden/>
    <w:uiPriority w:val="99"/>
    <w:semiHidden/>
    <w:rsid w:val="00264AF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Tiziana</cp:lastModifiedBy>
  <cp:revision>4</cp:revision>
  <dcterms:created xsi:type="dcterms:W3CDTF">2024-04-29T09:13:00Z</dcterms:created>
  <dcterms:modified xsi:type="dcterms:W3CDTF">2024-04-29T09:25:00Z</dcterms:modified>
</cp:coreProperties>
</file>