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E49" w:rsidRPr="008622C5" w:rsidRDefault="00AE4E49" w:rsidP="008622C5">
      <w:pPr>
        <w:spacing w:after="0" w:line="240" w:lineRule="auto"/>
        <w:ind w:right="142"/>
        <w:rPr>
          <w:rFonts w:ascii="Arial" w:hAnsi="Arial" w:cs="Arial"/>
          <w:b/>
          <w:sz w:val="24"/>
          <w:szCs w:val="24"/>
        </w:rPr>
      </w:pPr>
    </w:p>
    <w:p w:rsidR="00AE4E49" w:rsidRPr="008622C5" w:rsidRDefault="00AE4E49" w:rsidP="008622C5">
      <w:pPr>
        <w:spacing w:after="0" w:line="240" w:lineRule="auto"/>
        <w:ind w:right="142"/>
        <w:rPr>
          <w:rFonts w:ascii="Arial" w:hAnsi="Arial" w:cs="Arial"/>
          <w:b/>
          <w:sz w:val="24"/>
          <w:szCs w:val="24"/>
        </w:rPr>
      </w:pPr>
    </w:p>
    <w:p w:rsidR="00AE4E49" w:rsidRPr="008622C5" w:rsidRDefault="00834E67" w:rsidP="008622C5">
      <w:pPr>
        <w:spacing w:after="0" w:line="240" w:lineRule="auto"/>
        <w:ind w:right="142"/>
        <w:rPr>
          <w:rFonts w:ascii="Arial" w:hAnsi="Arial" w:cs="Arial"/>
          <w:b/>
          <w:sz w:val="24"/>
          <w:szCs w:val="24"/>
        </w:rPr>
      </w:pPr>
      <w:r w:rsidRPr="008622C5">
        <w:rPr>
          <w:rFonts w:ascii="Arial" w:hAnsi="Arial" w:cs="Arial"/>
          <w:b/>
          <w:sz w:val="24"/>
          <w:szCs w:val="24"/>
        </w:rPr>
        <w:t>COMUNICATO STAMPA</w:t>
      </w:r>
    </w:p>
    <w:p w:rsidR="00AE4E49" w:rsidRDefault="00AE4E49" w:rsidP="008622C5">
      <w:pPr>
        <w:spacing w:after="0" w:line="240" w:lineRule="auto"/>
        <w:ind w:right="142"/>
        <w:rPr>
          <w:rFonts w:ascii="Arial" w:hAnsi="Arial" w:cs="Arial"/>
          <w:b/>
          <w:sz w:val="24"/>
          <w:szCs w:val="24"/>
        </w:rPr>
      </w:pPr>
    </w:p>
    <w:p w:rsidR="00C67AA6" w:rsidRDefault="00173DFC" w:rsidP="008622C5">
      <w:pPr>
        <w:spacing w:after="0" w:line="240" w:lineRule="auto"/>
        <w:ind w:right="142"/>
        <w:rPr>
          <w:sz w:val="28"/>
          <w:szCs w:val="28"/>
        </w:rPr>
      </w:pPr>
      <w:r>
        <w:rPr>
          <w:rFonts w:ascii="Arial" w:hAnsi="Arial" w:cs="Arial"/>
          <w:b/>
          <w:bCs/>
          <w:sz w:val="28"/>
          <w:szCs w:val="28"/>
        </w:rPr>
        <w:t>ASSOCIAZIONE “</w:t>
      </w:r>
      <w:r w:rsidR="00870379">
        <w:rPr>
          <w:rFonts w:ascii="Arial" w:hAnsi="Arial" w:cs="Arial"/>
          <w:b/>
          <w:bCs/>
          <w:sz w:val="28"/>
          <w:szCs w:val="28"/>
        </w:rPr>
        <w:t>E</w:t>
      </w:r>
      <w:r>
        <w:rPr>
          <w:rFonts w:ascii="Arial" w:hAnsi="Arial" w:cs="Arial"/>
          <w:b/>
          <w:bCs/>
          <w:sz w:val="28"/>
          <w:szCs w:val="28"/>
        </w:rPr>
        <w:t>CONOMISTI</w:t>
      </w:r>
      <w:r w:rsidR="00476712">
        <w:rPr>
          <w:rFonts w:ascii="Arial" w:hAnsi="Arial" w:cs="Arial"/>
          <w:b/>
          <w:bCs/>
          <w:sz w:val="28"/>
          <w:szCs w:val="28"/>
        </w:rPr>
        <w:t xml:space="preserve"> E</w:t>
      </w:r>
      <w:r>
        <w:rPr>
          <w:rFonts w:ascii="Arial" w:hAnsi="Arial" w:cs="Arial"/>
          <w:b/>
          <w:bCs/>
          <w:sz w:val="28"/>
          <w:szCs w:val="28"/>
        </w:rPr>
        <w:t xml:space="preserve"> </w:t>
      </w:r>
      <w:r w:rsidR="00476712">
        <w:rPr>
          <w:rFonts w:ascii="Arial" w:hAnsi="Arial" w:cs="Arial"/>
          <w:b/>
          <w:bCs/>
          <w:sz w:val="28"/>
          <w:szCs w:val="28"/>
        </w:rPr>
        <w:t>GIURISTI</w:t>
      </w:r>
      <w:r w:rsidR="00476712">
        <w:rPr>
          <w:rFonts w:ascii="Arial" w:hAnsi="Arial" w:cs="Arial"/>
          <w:b/>
          <w:bCs/>
          <w:sz w:val="28"/>
          <w:szCs w:val="28"/>
        </w:rPr>
        <w:t xml:space="preserve"> </w:t>
      </w:r>
      <w:bookmarkStart w:id="0" w:name="_GoBack"/>
      <w:bookmarkEnd w:id="0"/>
      <w:r>
        <w:rPr>
          <w:rFonts w:ascii="Arial" w:hAnsi="Arial" w:cs="Arial"/>
          <w:b/>
          <w:bCs/>
          <w:sz w:val="28"/>
          <w:szCs w:val="28"/>
        </w:rPr>
        <w:t>INSIEME”. FIRMATO IL PROTOCOLLO D’INTESA PER LA PUBBLICITA’ LEGALE E LA GESTIONE INFORMATICA DELLE ASTE TELEMATICHE GIUDIZIARIE</w:t>
      </w:r>
      <w:r w:rsidR="00C67AA6">
        <w:rPr>
          <w:rFonts w:ascii="Arial" w:hAnsi="Arial" w:cs="Arial"/>
          <w:b/>
          <w:bCs/>
          <w:sz w:val="28"/>
          <w:szCs w:val="28"/>
        </w:rPr>
        <w:br/>
      </w:r>
    </w:p>
    <w:p w:rsidR="008622C5" w:rsidRPr="008622C5" w:rsidRDefault="008622C5" w:rsidP="008622C5">
      <w:pPr>
        <w:spacing w:after="0" w:line="240" w:lineRule="auto"/>
        <w:ind w:right="142" w:firstLine="566"/>
        <w:rPr>
          <w:sz w:val="24"/>
          <w:szCs w:val="24"/>
        </w:rPr>
      </w:pPr>
      <w:r w:rsidRPr="008622C5">
        <w:rPr>
          <w:rFonts w:ascii="Arial" w:hAnsi="Arial" w:cs="Arial"/>
          <w:b/>
          <w:bCs/>
          <w:sz w:val="24"/>
          <w:szCs w:val="24"/>
        </w:rPr>
        <w:t> </w:t>
      </w:r>
    </w:p>
    <w:p w:rsidR="00173DFC" w:rsidRDefault="00173DFC" w:rsidP="00173DFC">
      <w:pPr>
        <w:pStyle w:val="Paragrafoelenco"/>
        <w:spacing w:before="120" w:after="120"/>
        <w:ind w:left="0"/>
        <w:jc w:val="both"/>
        <w:rPr>
          <w:rFonts w:ascii="Arial" w:hAnsi="Arial" w:cs="Arial"/>
          <w:sz w:val="24"/>
          <w:szCs w:val="24"/>
        </w:rPr>
      </w:pPr>
      <w:r w:rsidRPr="00173DFC">
        <w:rPr>
          <w:rFonts w:ascii="Arial" w:hAnsi="Arial" w:cs="Arial"/>
          <w:i/>
          <w:iCs/>
          <w:sz w:val="24"/>
          <w:szCs w:val="24"/>
        </w:rPr>
        <w:t>Roma, 18 maggio 2018 –</w:t>
      </w:r>
      <w:r w:rsidRPr="00173DFC">
        <w:rPr>
          <w:rFonts w:ascii="Arial" w:hAnsi="Arial" w:cs="Arial"/>
          <w:sz w:val="24"/>
          <w:szCs w:val="24"/>
        </w:rPr>
        <w:t> La piattaforma tecnologica per le aste telematiche giudiziarie del Notariato è a disposizione anche di Avvocati e Commercialisti.</w:t>
      </w:r>
    </w:p>
    <w:p w:rsidR="0001756B" w:rsidRPr="00173DFC" w:rsidRDefault="0001756B" w:rsidP="00173DFC">
      <w:pPr>
        <w:pStyle w:val="Paragrafoelenco"/>
        <w:spacing w:before="120" w:after="120"/>
        <w:ind w:left="0"/>
        <w:jc w:val="both"/>
        <w:rPr>
          <w:rFonts w:ascii="Arial" w:hAnsi="Arial" w:cs="Arial"/>
          <w:sz w:val="24"/>
          <w:szCs w:val="24"/>
        </w:rPr>
      </w:pPr>
    </w:p>
    <w:p w:rsidR="00173DFC" w:rsidRPr="00173DFC" w:rsidRDefault="00173DFC" w:rsidP="00173DFC">
      <w:pPr>
        <w:pStyle w:val="Paragrafoelenco"/>
        <w:spacing w:before="120" w:after="120"/>
        <w:ind w:left="0"/>
        <w:jc w:val="both"/>
        <w:rPr>
          <w:rFonts w:ascii="Arial" w:hAnsi="Arial" w:cs="Arial"/>
          <w:sz w:val="24"/>
          <w:szCs w:val="24"/>
        </w:rPr>
      </w:pPr>
      <w:r w:rsidRPr="00173DFC">
        <w:rPr>
          <w:rFonts w:ascii="Arial" w:hAnsi="Arial" w:cs="Arial"/>
          <w:sz w:val="24"/>
          <w:szCs w:val="24"/>
        </w:rPr>
        <w:t xml:space="preserve">E’ quanto prevede il protocollo di intesa siglato tra Consiglio Nazionale del Notariato, Consiglio Nazionale Forense e Consiglio Nazionale dei Dottori Commercialisti e degli Esperti Contabili in base al quale il Notariato estende ad Avvocati e Commercialisti l’accesso alla piattaforma per la gestione delle Aste Telematiche disciplinate dal DM 32/2015, nonché </w:t>
      </w:r>
      <w:r w:rsidRPr="00173DFC">
        <w:rPr>
          <w:rFonts w:ascii="Arial" w:hAnsi="Arial" w:cs="Arial"/>
          <w:color w:val="000000" w:themeColor="text1"/>
          <w:sz w:val="24"/>
          <w:szCs w:val="24"/>
        </w:rPr>
        <w:t xml:space="preserve">della </w:t>
      </w:r>
      <w:r w:rsidRPr="00173DFC">
        <w:rPr>
          <w:rFonts w:ascii="Arial" w:hAnsi="Arial" w:cs="Arial"/>
          <w:sz w:val="24"/>
          <w:szCs w:val="24"/>
        </w:rPr>
        <w:t>pubblicità legale (</w:t>
      </w:r>
      <w:hyperlink r:id="rId6" w:history="1">
        <w:r w:rsidRPr="00173DFC">
          <w:rPr>
            <w:rStyle w:val="Collegamentoipertestuale"/>
            <w:rFonts w:ascii="Arial" w:hAnsi="Arial" w:cs="Arial"/>
            <w:sz w:val="24"/>
            <w:szCs w:val="24"/>
          </w:rPr>
          <w:t>www.venditepubblichenotarili.notariato.it</w:t>
        </w:r>
      </w:hyperlink>
      <w:r w:rsidRPr="00173DFC">
        <w:rPr>
          <w:rFonts w:ascii="Arial" w:hAnsi="Arial" w:cs="Arial"/>
          <w:sz w:val="24"/>
          <w:szCs w:val="24"/>
        </w:rPr>
        <w:t xml:space="preserve"> autorizzato ai sensi dell'articolo 490 del </w:t>
      </w:r>
      <w:proofErr w:type="spellStart"/>
      <w:r w:rsidRPr="00173DFC">
        <w:rPr>
          <w:rFonts w:ascii="Arial" w:hAnsi="Arial" w:cs="Arial"/>
          <w:sz w:val="24"/>
          <w:szCs w:val="24"/>
        </w:rPr>
        <w:t>c.p.c.</w:t>
      </w:r>
      <w:proofErr w:type="spellEnd"/>
      <w:r w:rsidRPr="00173DFC">
        <w:rPr>
          <w:rFonts w:ascii="Arial" w:hAnsi="Arial" w:cs="Arial"/>
          <w:sz w:val="24"/>
          <w:szCs w:val="24"/>
        </w:rPr>
        <w:t xml:space="preserve"> e del DM 31/2006).</w:t>
      </w:r>
    </w:p>
    <w:p w:rsidR="00173DFC" w:rsidRPr="00173DFC" w:rsidRDefault="00173DFC" w:rsidP="00173DFC">
      <w:pPr>
        <w:jc w:val="both"/>
        <w:rPr>
          <w:rFonts w:ascii="Arial" w:hAnsi="Arial" w:cs="Arial"/>
          <w:sz w:val="24"/>
          <w:szCs w:val="24"/>
        </w:rPr>
      </w:pPr>
      <w:r w:rsidRPr="00173DFC">
        <w:rPr>
          <w:rFonts w:ascii="Arial" w:hAnsi="Arial" w:cs="Arial"/>
          <w:sz w:val="24"/>
          <w:szCs w:val="24"/>
        </w:rPr>
        <w:t>L’accordo si propone di rafforzare la collaborazione tra le tre categorie professionali, nell’ambito delle attività che vengono svolte in relazione alle deleghe provenienti dall’Autorità Giudiziaria per lo svolgimento di singole fasi delle procedure giudiziarie; e ciò al fine di garantire ai partecipanti alle aste pubbliche la tutela dei rispettivi interessi attuando procedure uniformi, coordinate, certe ed agili che permettano di perseguire obiettivi di efficienza ed al contempo di economicità potendo servirsi di un unico gestore.</w:t>
      </w:r>
    </w:p>
    <w:p w:rsidR="00173DFC" w:rsidRPr="00173DFC" w:rsidRDefault="00173DFC" w:rsidP="00173DFC">
      <w:pPr>
        <w:jc w:val="both"/>
        <w:rPr>
          <w:rFonts w:ascii="Arial" w:hAnsi="Arial" w:cs="Arial"/>
          <w:sz w:val="24"/>
          <w:szCs w:val="24"/>
        </w:rPr>
      </w:pPr>
      <w:r w:rsidRPr="00173DFC">
        <w:rPr>
          <w:rFonts w:ascii="Arial" w:hAnsi="Arial" w:cs="Arial"/>
          <w:sz w:val="24"/>
          <w:szCs w:val="24"/>
        </w:rPr>
        <w:t>Nella consapevolezza che la trasformazione digitale delle aste giudiziarie rappresenta un'opportunità per risolvere lentezze ed inefficienze, i tre ordini professionali, attraverso le proprie istituzioni locali, si propongono come sportelli informativi in modo da agevolare al massimo la partecipazione alle aste allargando il mercato sia territorialmente che socialmente.</w:t>
      </w:r>
    </w:p>
    <w:p w:rsidR="00173DFC" w:rsidRPr="00173DFC" w:rsidRDefault="00173DFC" w:rsidP="00173DFC">
      <w:pPr>
        <w:pStyle w:val="Paragrafoelenco"/>
        <w:spacing w:before="120" w:after="120"/>
        <w:ind w:left="0"/>
        <w:jc w:val="both"/>
        <w:rPr>
          <w:rFonts w:ascii="Arial" w:hAnsi="Arial" w:cs="Arial"/>
          <w:sz w:val="24"/>
          <w:szCs w:val="24"/>
        </w:rPr>
      </w:pPr>
    </w:p>
    <w:sectPr w:rsidR="00173DFC" w:rsidRPr="00173DFC">
      <w:footerReference w:type="default" r:id="rId7"/>
      <w:headerReference w:type="first" r:id="rId8"/>
      <w:pgSz w:w="11906" w:h="16838"/>
      <w:pgMar w:top="1418" w:right="1134" w:bottom="1134" w:left="1134"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E37" w:rsidRDefault="00E24E37">
      <w:pPr>
        <w:spacing w:after="0" w:line="240" w:lineRule="auto"/>
      </w:pPr>
      <w:r>
        <w:separator/>
      </w:r>
    </w:p>
  </w:endnote>
  <w:endnote w:type="continuationSeparator" w:id="0">
    <w:p w:rsidR="00E24E37" w:rsidRDefault="00E2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98903"/>
      <w:docPartObj>
        <w:docPartGallery w:val="Page Numbers (Bottom of Page)"/>
        <w:docPartUnique/>
      </w:docPartObj>
    </w:sdtPr>
    <w:sdtEndPr/>
    <w:sdtContent>
      <w:p w:rsidR="00320A22" w:rsidRDefault="00320A22">
        <w:pPr>
          <w:pStyle w:val="Pidipagina"/>
          <w:jc w:val="center"/>
        </w:pPr>
        <w:r>
          <w:fldChar w:fldCharType="begin"/>
        </w:r>
        <w:r>
          <w:instrText>PAGE</w:instrText>
        </w:r>
        <w:r>
          <w:fldChar w:fldCharType="separate"/>
        </w:r>
        <w:r w:rsidR="00173DF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E37" w:rsidRDefault="00E24E37">
      <w:pPr>
        <w:spacing w:after="0" w:line="240" w:lineRule="auto"/>
      </w:pPr>
      <w:r>
        <w:separator/>
      </w:r>
    </w:p>
  </w:footnote>
  <w:footnote w:type="continuationSeparator" w:id="0">
    <w:p w:rsidR="00E24E37" w:rsidRDefault="00E24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A22" w:rsidRDefault="00320A22" w:rsidP="00320A22">
    <w:pPr>
      <w:pStyle w:val="Intestazione"/>
      <w:tabs>
        <w:tab w:val="clear" w:pos="9638"/>
        <w:tab w:val="left" w:pos="7980"/>
      </w:tabs>
    </w:pPr>
    <w:r>
      <w:rPr>
        <w:noProof/>
        <w:lang w:eastAsia="it-IT"/>
      </w:rPr>
      <w:drawing>
        <wp:anchor distT="0" distB="7620" distL="114300" distR="114935" simplePos="0" relativeHeight="251659264" behindDoc="1" locked="0" layoutInCell="1" allowOverlap="1" wp14:anchorId="3C8BE77B" wp14:editId="5E3C1B2B">
          <wp:simplePos x="0" y="0"/>
          <wp:positionH relativeFrom="page">
            <wp:posOffset>171450</wp:posOffset>
          </wp:positionH>
          <wp:positionV relativeFrom="paragraph">
            <wp:posOffset>-159385</wp:posOffset>
          </wp:positionV>
          <wp:extent cx="2513965" cy="1263015"/>
          <wp:effectExtent l="0" t="0" r="63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2513965" cy="1263015"/>
                  </a:xfrm>
                  <a:prstGeom prst="rect">
                    <a:avLst/>
                  </a:prstGeom>
                </pic:spPr>
              </pic:pic>
            </a:graphicData>
          </a:graphic>
        </wp:anchor>
      </w:drawing>
    </w:r>
    <w:r>
      <w:rPr>
        <w:noProof/>
        <w:lang w:eastAsia="it-IT"/>
      </w:rPr>
      <w:t xml:space="preserve">             </w:t>
    </w:r>
    <w:r>
      <w:t xml:space="preserve">                                    </w:t>
    </w:r>
    <w:r>
      <w:rPr>
        <w:noProof/>
        <w:lang w:eastAsia="it-IT"/>
      </w:rPr>
      <w:t xml:space="preserve">                </w:t>
    </w:r>
    <w:r>
      <w:rPr>
        <w:noProof/>
        <w:lang w:eastAsia="it-IT"/>
      </w:rPr>
      <w:drawing>
        <wp:inline distT="0" distB="0" distL="0" distR="0" wp14:anchorId="42EB3762" wp14:editId="54B8809E">
          <wp:extent cx="1994535" cy="752475"/>
          <wp:effectExtent l="0" t="0" r="0" b="0"/>
          <wp:docPr id="3" name="Immagine3" descr="logo_con scritta_lat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logo_con scritta_laterale.jpg"/>
                  <pic:cNvPicPr>
                    <a:picLocks noChangeAspect="1" noChangeArrowheads="1"/>
                  </pic:cNvPicPr>
                </pic:nvPicPr>
                <pic:blipFill>
                  <a:blip r:embed="rId2"/>
                  <a:stretch>
                    <a:fillRect/>
                  </a:stretch>
                </pic:blipFill>
                <pic:spPr bwMode="auto">
                  <a:xfrm>
                    <a:off x="0" y="0"/>
                    <a:ext cx="1994535" cy="752475"/>
                  </a:xfrm>
                  <a:prstGeom prst="rect">
                    <a:avLst/>
                  </a:prstGeom>
                </pic:spPr>
              </pic:pic>
            </a:graphicData>
          </a:graphic>
        </wp:inline>
      </w:drawing>
    </w:r>
    <w:r>
      <w:rPr>
        <w:noProof/>
        <w:lang w:eastAsia="it-IT"/>
      </w:rPr>
      <w:t xml:space="preserve">          </w:t>
    </w:r>
    <w:r>
      <w:rPr>
        <w:noProof/>
        <w:lang w:eastAsia="it-IT"/>
      </w:rPr>
      <w:drawing>
        <wp:inline distT="0" distB="0" distL="0" distR="0" wp14:anchorId="452B1B51" wp14:editId="21C3DE2D">
          <wp:extent cx="1749425" cy="835025"/>
          <wp:effectExtent l="0" t="0" r="0" b="0"/>
          <wp:docPr id="2" name="Immagine 2" descr="CNN_vet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CNN_vett_rgb"/>
                  <pic:cNvPicPr>
                    <a:picLocks noChangeAspect="1" noChangeArrowheads="1"/>
                  </pic:cNvPicPr>
                </pic:nvPicPr>
                <pic:blipFill>
                  <a:blip r:embed="rId3"/>
                  <a:stretch>
                    <a:fillRect/>
                  </a:stretch>
                </pic:blipFill>
                <pic:spPr bwMode="auto">
                  <a:xfrm>
                    <a:off x="0" y="0"/>
                    <a:ext cx="1749425" cy="835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49"/>
    <w:rsid w:val="0001756B"/>
    <w:rsid w:val="00045516"/>
    <w:rsid w:val="000708E0"/>
    <w:rsid w:val="00107653"/>
    <w:rsid w:val="00173DFC"/>
    <w:rsid w:val="00195132"/>
    <w:rsid w:val="001E3CDA"/>
    <w:rsid w:val="00235307"/>
    <w:rsid w:val="002877FA"/>
    <w:rsid w:val="0029495F"/>
    <w:rsid w:val="002E4115"/>
    <w:rsid w:val="00320A22"/>
    <w:rsid w:val="003612F2"/>
    <w:rsid w:val="0037080C"/>
    <w:rsid w:val="004059BB"/>
    <w:rsid w:val="00451915"/>
    <w:rsid w:val="00476712"/>
    <w:rsid w:val="00500757"/>
    <w:rsid w:val="00547F12"/>
    <w:rsid w:val="005606F7"/>
    <w:rsid w:val="00573992"/>
    <w:rsid w:val="005A33C1"/>
    <w:rsid w:val="0062418E"/>
    <w:rsid w:val="006806DC"/>
    <w:rsid w:val="006E723C"/>
    <w:rsid w:val="00722AD0"/>
    <w:rsid w:val="00834E67"/>
    <w:rsid w:val="008622C5"/>
    <w:rsid w:val="00870379"/>
    <w:rsid w:val="00873CA5"/>
    <w:rsid w:val="00927D7F"/>
    <w:rsid w:val="00946703"/>
    <w:rsid w:val="00981F14"/>
    <w:rsid w:val="00987141"/>
    <w:rsid w:val="009B3E3E"/>
    <w:rsid w:val="00AD1FDC"/>
    <w:rsid w:val="00AE4E49"/>
    <w:rsid w:val="00C559F7"/>
    <w:rsid w:val="00C67AA6"/>
    <w:rsid w:val="00E24E37"/>
    <w:rsid w:val="00F85299"/>
    <w:rsid w:val="00FA58A9"/>
    <w:rsid w:val="00FC4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BD88"/>
  <w15:chartTrackingRefBased/>
  <w15:docId w15:val="{C46BD59C-5AA6-48FB-AA31-C9914356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4E49"/>
    <w:pPr>
      <w:spacing w:after="200" w:line="276" w:lineRule="auto"/>
    </w:pPr>
    <w:rPr>
      <w:rFonts w:cs="Times New Roman"/>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AE4E49"/>
  </w:style>
  <w:style w:type="character" w:customStyle="1" w:styleId="PidipaginaCarattere">
    <w:name w:val="Piè di pagina Carattere"/>
    <w:basedOn w:val="Carpredefinitoparagrafo"/>
    <w:link w:val="Pidipagina"/>
    <w:uiPriority w:val="99"/>
    <w:qFormat/>
    <w:rsid w:val="00AE4E49"/>
  </w:style>
  <w:style w:type="paragraph" w:styleId="Intestazione">
    <w:name w:val="header"/>
    <w:basedOn w:val="Normale"/>
    <w:link w:val="IntestazioneCarattere"/>
    <w:uiPriority w:val="99"/>
    <w:unhideWhenUsed/>
    <w:rsid w:val="00AE4E49"/>
    <w:pPr>
      <w:tabs>
        <w:tab w:val="center" w:pos="4819"/>
        <w:tab w:val="right" w:pos="9638"/>
      </w:tabs>
      <w:spacing w:after="0" w:line="240" w:lineRule="auto"/>
    </w:pPr>
    <w:rPr>
      <w:rFonts w:cstheme="minorBidi"/>
      <w:color w:val="auto"/>
    </w:rPr>
  </w:style>
  <w:style w:type="character" w:customStyle="1" w:styleId="IntestazioneCarattere1">
    <w:name w:val="Intestazione Carattere1"/>
    <w:basedOn w:val="Carpredefinitoparagrafo"/>
    <w:uiPriority w:val="99"/>
    <w:semiHidden/>
    <w:rsid w:val="00AE4E49"/>
    <w:rPr>
      <w:rFonts w:cs="Times New Roman"/>
      <w:color w:val="00000A"/>
    </w:rPr>
  </w:style>
  <w:style w:type="paragraph" w:styleId="Pidipagina">
    <w:name w:val="footer"/>
    <w:basedOn w:val="Normale"/>
    <w:link w:val="PidipaginaCarattere"/>
    <w:uiPriority w:val="99"/>
    <w:unhideWhenUsed/>
    <w:rsid w:val="00AE4E49"/>
    <w:pPr>
      <w:tabs>
        <w:tab w:val="center" w:pos="4819"/>
        <w:tab w:val="right" w:pos="9638"/>
      </w:tabs>
      <w:spacing w:after="0" w:line="240" w:lineRule="auto"/>
    </w:pPr>
    <w:rPr>
      <w:rFonts w:cstheme="minorBidi"/>
      <w:color w:val="auto"/>
    </w:rPr>
  </w:style>
  <w:style w:type="character" w:customStyle="1" w:styleId="PidipaginaCarattere1">
    <w:name w:val="Piè di pagina Carattere1"/>
    <w:basedOn w:val="Carpredefinitoparagrafo"/>
    <w:uiPriority w:val="99"/>
    <w:semiHidden/>
    <w:rsid w:val="00AE4E49"/>
    <w:rPr>
      <w:rFonts w:cs="Times New Roman"/>
      <w:color w:val="00000A"/>
    </w:rPr>
  </w:style>
  <w:style w:type="paragraph" w:styleId="Paragrafoelenco">
    <w:name w:val="List Paragraph"/>
    <w:basedOn w:val="Normale"/>
    <w:uiPriority w:val="99"/>
    <w:qFormat/>
    <w:rsid w:val="00C67AA6"/>
    <w:pPr>
      <w:suppressAutoHyphens/>
      <w:ind w:left="720"/>
      <w:contextualSpacing/>
    </w:pPr>
    <w:rPr>
      <w:rFonts w:ascii="Calibri" w:eastAsia="Times New Roman" w:hAnsi="Calibri" w:cs="Calibri"/>
      <w:color w:val="auto"/>
      <w:lang w:eastAsia="ar-SA"/>
    </w:rPr>
  </w:style>
  <w:style w:type="character" w:styleId="Collegamentoipertestuale">
    <w:name w:val="Hyperlink"/>
    <w:basedOn w:val="Carpredefinitoparagrafo"/>
    <w:uiPriority w:val="99"/>
    <w:rsid w:val="00C67AA6"/>
    <w:rPr>
      <w:rFonts w:cs="Times New Roman"/>
      <w:color w:val="0563C1"/>
      <w:u w:val="single"/>
    </w:rPr>
  </w:style>
  <w:style w:type="paragraph" w:styleId="Testofumetto">
    <w:name w:val="Balloon Text"/>
    <w:basedOn w:val="Normale"/>
    <w:link w:val="TestofumettoCarattere"/>
    <w:uiPriority w:val="99"/>
    <w:semiHidden/>
    <w:unhideWhenUsed/>
    <w:rsid w:val="00173DF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3DFC"/>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8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ditepubblichenotarili.notariat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3</cp:revision>
  <cp:lastPrinted>2018-05-18T08:16:00Z</cp:lastPrinted>
  <dcterms:created xsi:type="dcterms:W3CDTF">2018-05-18T09:15:00Z</dcterms:created>
  <dcterms:modified xsi:type="dcterms:W3CDTF">2018-05-18T09:47:00Z</dcterms:modified>
</cp:coreProperties>
</file>