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E0" w:rsidRDefault="009F333F" w:rsidP="00D10DE0">
      <w:pPr>
        <w:rPr>
          <w:rFonts w:ascii="Arial" w:hAnsi="Arial" w:cs="Arial"/>
          <w:sz w:val="24"/>
          <w:szCs w:val="24"/>
        </w:rPr>
      </w:pPr>
      <w:bookmarkStart w:id="0" w:name="_Hlk499733979"/>
      <w:bookmarkStart w:id="1" w:name="_Hlk508200055"/>
      <w:r>
        <w:rPr>
          <w:rFonts w:ascii="Arial" w:hAnsi="Arial" w:cs="Arial"/>
          <w:b/>
          <w:bCs/>
          <w:sz w:val="24"/>
          <w:szCs w:val="24"/>
          <w:u w:val="single"/>
        </w:rPr>
        <w:t>NOTA</w:t>
      </w:r>
      <w:r w:rsidR="00D10DE0">
        <w:rPr>
          <w:rFonts w:ascii="Arial" w:hAnsi="Arial" w:cs="Arial"/>
          <w:b/>
          <w:bCs/>
          <w:sz w:val="24"/>
          <w:szCs w:val="24"/>
          <w:u w:val="single"/>
        </w:rPr>
        <w:t xml:space="preserve"> STAMPA</w:t>
      </w:r>
      <w:r w:rsidR="00D10DE0">
        <w:rPr>
          <w:rFonts w:ascii="Arial" w:hAnsi="Arial" w:cs="Arial"/>
          <w:sz w:val="24"/>
          <w:szCs w:val="24"/>
        </w:rPr>
        <w:t xml:space="preserve"> </w:t>
      </w:r>
    </w:p>
    <w:bookmarkEnd w:id="0"/>
    <w:p w:rsidR="00C90673" w:rsidRDefault="003C3019" w:rsidP="00C90673">
      <w:pPr>
        <w:spacing w:before="100" w:beforeAutospacing="1"/>
        <w:jc w:val="both"/>
        <w:rPr>
          <w:rFonts w:ascii="Arial" w:hAnsi="Arial" w:cs="Arial"/>
          <w:b/>
          <w:bCs/>
          <w:sz w:val="24"/>
          <w:szCs w:val="24"/>
        </w:rPr>
      </w:pPr>
      <w:r>
        <w:rPr>
          <w:rFonts w:ascii="Arial" w:hAnsi="Arial" w:cs="Arial"/>
          <w:b/>
          <w:bCs/>
          <w:sz w:val="24"/>
          <w:szCs w:val="24"/>
        </w:rPr>
        <w:t>DAI COMMERCIALISTI UN DOCUMENTO SUI P</w:t>
      </w:r>
      <w:r w:rsidRPr="00C90673">
        <w:rPr>
          <w:rFonts w:ascii="Arial" w:hAnsi="Arial" w:cs="Arial"/>
          <w:b/>
          <w:bCs/>
          <w:sz w:val="24"/>
          <w:szCs w:val="24"/>
        </w:rPr>
        <w:t xml:space="preserve">RINCIPI METODOLOGICI DI RENDICONTAZIONE E COMUNICAZIONE DI INFORMAZIONI NON FINANZIARIE </w:t>
      </w:r>
    </w:p>
    <w:p w:rsidR="00EF75E1" w:rsidRDefault="00EF75E1" w:rsidP="00C90673">
      <w:pPr>
        <w:spacing w:before="100" w:beforeAutospacing="1"/>
        <w:jc w:val="both"/>
        <w:rPr>
          <w:rFonts w:ascii="Arial" w:hAnsi="Arial" w:cs="Arial"/>
          <w:b/>
          <w:bCs/>
          <w:sz w:val="24"/>
          <w:szCs w:val="24"/>
        </w:rPr>
      </w:pPr>
      <w:r>
        <w:rPr>
          <w:rFonts w:ascii="Arial" w:hAnsi="Arial" w:cs="Arial"/>
          <w:b/>
          <w:bCs/>
          <w:sz w:val="24"/>
          <w:szCs w:val="24"/>
        </w:rPr>
        <w:t>Per il</w:t>
      </w:r>
      <w:r w:rsidR="003C3019" w:rsidRPr="003C3019">
        <w:rPr>
          <w:rFonts w:ascii="Arial" w:hAnsi="Arial" w:cs="Arial"/>
          <w:b/>
          <w:bCs/>
          <w:sz w:val="24"/>
          <w:szCs w:val="24"/>
        </w:rPr>
        <w:t xml:space="preserve"> Consiglio nazionale della categoria il lavoro vuole </w:t>
      </w:r>
      <w:r w:rsidR="00C90673" w:rsidRPr="003C3019">
        <w:rPr>
          <w:rFonts w:ascii="Arial" w:hAnsi="Arial" w:cs="Arial"/>
          <w:b/>
          <w:bCs/>
          <w:sz w:val="24"/>
          <w:szCs w:val="24"/>
        </w:rPr>
        <w:t>sensibilizzare gli operatori sull’importanza del confronto per la soluzione di problematiche operative</w:t>
      </w:r>
      <w:r>
        <w:rPr>
          <w:rFonts w:ascii="Arial" w:hAnsi="Arial" w:cs="Arial"/>
          <w:b/>
          <w:bCs/>
          <w:sz w:val="24"/>
          <w:szCs w:val="24"/>
        </w:rPr>
        <w:t>.</w:t>
      </w:r>
    </w:p>
    <w:p w:rsidR="00C90673" w:rsidRPr="003C3019" w:rsidRDefault="003C3019" w:rsidP="00C90673">
      <w:pPr>
        <w:spacing w:before="100" w:beforeAutospacing="1"/>
        <w:jc w:val="both"/>
        <w:rPr>
          <w:rFonts w:ascii="Arial" w:hAnsi="Arial" w:cs="Arial"/>
          <w:b/>
          <w:sz w:val="24"/>
          <w:szCs w:val="24"/>
        </w:rPr>
      </w:pPr>
      <w:r w:rsidRPr="003C3019">
        <w:rPr>
          <w:rFonts w:ascii="Arial" w:hAnsi="Arial" w:cs="Arial"/>
          <w:b/>
          <w:bCs/>
          <w:sz w:val="24"/>
          <w:szCs w:val="24"/>
        </w:rPr>
        <w:t>Marcello:</w:t>
      </w:r>
      <w:r w:rsidR="00C90673" w:rsidRPr="003C3019">
        <w:rPr>
          <w:rFonts w:ascii="Arial" w:hAnsi="Arial" w:cs="Arial"/>
          <w:b/>
          <w:sz w:val="24"/>
          <w:szCs w:val="24"/>
        </w:rPr>
        <w:t xml:space="preserve"> “Contributo per impostare approfondimenti volti alla traspar</w:t>
      </w:r>
      <w:r w:rsidR="009F333F">
        <w:rPr>
          <w:rFonts w:ascii="Arial" w:hAnsi="Arial" w:cs="Arial"/>
          <w:b/>
          <w:sz w:val="24"/>
          <w:szCs w:val="24"/>
        </w:rPr>
        <w:t xml:space="preserve">enza e alla comparabilità della </w:t>
      </w:r>
      <w:proofErr w:type="spellStart"/>
      <w:r w:rsidR="00C90673" w:rsidRPr="003C3019">
        <w:rPr>
          <w:rFonts w:ascii="Arial" w:hAnsi="Arial" w:cs="Arial"/>
          <w:b/>
          <w:i/>
          <w:iCs/>
          <w:sz w:val="24"/>
          <w:szCs w:val="24"/>
        </w:rPr>
        <w:t>disclosure</w:t>
      </w:r>
      <w:proofErr w:type="spellEnd"/>
      <w:r w:rsidR="009F333F">
        <w:rPr>
          <w:rFonts w:ascii="Arial" w:hAnsi="Arial" w:cs="Arial"/>
          <w:b/>
          <w:sz w:val="24"/>
          <w:szCs w:val="24"/>
        </w:rPr>
        <w:t xml:space="preserve"> </w:t>
      </w:r>
      <w:r w:rsidR="00C90673" w:rsidRPr="003C3019">
        <w:rPr>
          <w:rFonts w:ascii="Arial" w:hAnsi="Arial" w:cs="Arial"/>
          <w:b/>
          <w:sz w:val="24"/>
          <w:szCs w:val="24"/>
        </w:rPr>
        <w:t>delle</w:t>
      </w:r>
      <w:r w:rsidRPr="003C3019">
        <w:rPr>
          <w:rFonts w:ascii="Arial" w:hAnsi="Arial" w:cs="Arial"/>
          <w:b/>
          <w:sz w:val="24"/>
          <w:szCs w:val="24"/>
        </w:rPr>
        <w:t xml:space="preserve"> nuove disposizioni normative”. </w:t>
      </w:r>
    </w:p>
    <w:p w:rsidR="00C90673" w:rsidRPr="00C90673" w:rsidRDefault="003C3019" w:rsidP="003C3019">
      <w:pPr>
        <w:spacing w:before="100" w:beforeAutospacing="1"/>
        <w:jc w:val="both"/>
        <w:rPr>
          <w:rFonts w:ascii="Arial" w:hAnsi="Arial" w:cs="Arial"/>
          <w:sz w:val="24"/>
          <w:szCs w:val="24"/>
        </w:rPr>
      </w:pPr>
      <w:r w:rsidRPr="003C3019">
        <w:rPr>
          <w:rFonts w:ascii="Arial" w:hAnsi="Arial" w:cs="Arial"/>
          <w:i/>
          <w:sz w:val="24"/>
          <w:szCs w:val="24"/>
        </w:rPr>
        <w:t xml:space="preserve">8 </w:t>
      </w:r>
      <w:r w:rsidR="00C90673" w:rsidRPr="003C3019">
        <w:rPr>
          <w:rFonts w:ascii="Arial" w:hAnsi="Arial" w:cs="Arial"/>
          <w:i/>
          <w:sz w:val="24"/>
          <w:szCs w:val="24"/>
        </w:rPr>
        <w:t>marzo 2018 –</w:t>
      </w:r>
      <w:r w:rsidR="00C90673" w:rsidRPr="00C90673">
        <w:rPr>
          <w:rFonts w:ascii="Arial" w:hAnsi="Arial" w:cs="Arial"/>
          <w:sz w:val="24"/>
          <w:szCs w:val="24"/>
        </w:rPr>
        <w:t xml:space="preserve"> Il Consiglio nazionale dei dottori commercialisti e degli esperti contabili ha pubblicato il documento “</w:t>
      </w:r>
      <w:r w:rsidR="009F333F">
        <w:rPr>
          <w:rFonts w:ascii="Arial" w:hAnsi="Arial" w:cs="Arial"/>
          <w:b/>
          <w:sz w:val="24"/>
          <w:szCs w:val="24"/>
        </w:rPr>
        <w:t xml:space="preserve">Rilevanza (e materialità) nella </w:t>
      </w:r>
      <w:proofErr w:type="spellStart"/>
      <w:r w:rsidR="00C90673" w:rsidRPr="003C3019">
        <w:rPr>
          <w:rFonts w:ascii="Arial" w:hAnsi="Arial" w:cs="Arial"/>
          <w:b/>
          <w:i/>
          <w:iCs/>
          <w:sz w:val="24"/>
          <w:szCs w:val="24"/>
        </w:rPr>
        <w:t>disclosure</w:t>
      </w:r>
      <w:proofErr w:type="spellEnd"/>
      <w:r w:rsidR="009F333F">
        <w:rPr>
          <w:rFonts w:ascii="Arial" w:hAnsi="Arial" w:cs="Arial"/>
          <w:b/>
          <w:sz w:val="24"/>
          <w:szCs w:val="24"/>
        </w:rPr>
        <w:t xml:space="preserve"> </w:t>
      </w:r>
      <w:r w:rsidR="00C90673" w:rsidRPr="003C3019">
        <w:rPr>
          <w:rFonts w:ascii="Arial" w:hAnsi="Arial" w:cs="Arial"/>
          <w:b/>
          <w:sz w:val="24"/>
          <w:szCs w:val="24"/>
        </w:rPr>
        <w:t xml:space="preserve">non finanziaria. Definizioni </w:t>
      </w:r>
      <w:r w:rsidR="009F333F">
        <w:rPr>
          <w:rFonts w:ascii="Arial" w:hAnsi="Arial" w:cs="Arial"/>
          <w:b/>
          <w:sz w:val="24"/>
          <w:szCs w:val="24"/>
        </w:rPr>
        <w:t xml:space="preserve">e criticità anche ai fini della </w:t>
      </w:r>
      <w:proofErr w:type="spellStart"/>
      <w:r w:rsidR="00C90673" w:rsidRPr="003C3019">
        <w:rPr>
          <w:rFonts w:ascii="Arial" w:hAnsi="Arial" w:cs="Arial"/>
          <w:b/>
          <w:i/>
          <w:iCs/>
          <w:sz w:val="24"/>
          <w:szCs w:val="24"/>
        </w:rPr>
        <w:t>compliance</w:t>
      </w:r>
      <w:proofErr w:type="spellEnd"/>
      <w:r w:rsidR="009F333F">
        <w:rPr>
          <w:rFonts w:ascii="Arial" w:hAnsi="Arial" w:cs="Arial"/>
          <w:b/>
          <w:i/>
          <w:iCs/>
          <w:sz w:val="24"/>
          <w:szCs w:val="24"/>
        </w:rPr>
        <w:t xml:space="preserve"> </w:t>
      </w:r>
      <w:r w:rsidR="00C90673" w:rsidRPr="003C3019">
        <w:rPr>
          <w:rFonts w:ascii="Arial" w:hAnsi="Arial" w:cs="Arial"/>
          <w:b/>
          <w:sz w:val="24"/>
          <w:szCs w:val="24"/>
        </w:rPr>
        <w:t>alle disposizioni del decreto legislativo 30 dicembre 2016, n. 254, sulla rendicontazione non finanziaria</w:t>
      </w:r>
      <w:r w:rsidR="00C90673" w:rsidRPr="00C90673">
        <w:rPr>
          <w:rFonts w:ascii="Arial" w:hAnsi="Arial" w:cs="Arial"/>
          <w:sz w:val="24"/>
          <w:szCs w:val="24"/>
        </w:rPr>
        <w:t>”.</w:t>
      </w:r>
    </w:p>
    <w:p w:rsidR="00C90673" w:rsidRPr="00C90673" w:rsidRDefault="00C90673" w:rsidP="00C90673">
      <w:pPr>
        <w:spacing w:before="100" w:beforeAutospacing="1"/>
        <w:jc w:val="both"/>
        <w:rPr>
          <w:rFonts w:ascii="Arial" w:hAnsi="Arial" w:cs="Arial"/>
          <w:sz w:val="24"/>
          <w:szCs w:val="24"/>
        </w:rPr>
      </w:pPr>
      <w:r w:rsidRPr="00C90673">
        <w:rPr>
          <w:rFonts w:ascii="Arial" w:hAnsi="Arial" w:cs="Arial"/>
          <w:sz w:val="24"/>
          <w:szCs w:val="24"/>
        </w:rPr>
        <w:t xml:space="preserve">Il documento, attraverso il quale s’intende fornire un contributo all’approfondimento del </w:t>
      </w:r>
      <w:r w:rsidRPr="009F333F">
        <w:rPr>
          <w:rFonts w:ascii="Arial" w:hAnsi="Arial" w:cs="Arial"/>
          <w:b/>
          <w:sz w:val="24"/>
          <w:szCs w:val="24"/>
        </w:rPr>
        <w:t>concetto della rilevanza</w:t>
      </w:r>
      <w:r w:rsidRPr="00C90673">
        <w:rPr>
          <w:rFonts w:ascii="Arial" w:hAnsi="Arial" w:cs="Arial"/>
          <w:sz w:val="24"/>
          <w:szCs w:val="24"/>
        </w:rPr>
        <w:t xml:space="preserve"> e alla definizione dei suoi </w:t>
      </w:r>
      <w:r w:rsidRPr="009F333F">
        <w:rPr>
          <w:rFonts w:ascii="Arial" w:hAnsi="Arial" w:cs="Arial"/>
          <w:b/>
          <w:sz w:val="24"/>
          <w:szCs w:val="24"/>
        </w:rPr>
        <w:t>confini</w:t>
      </w:r>
      <w:r w:rsidRPr="00C90673">
        <w:rPr>
          <w:rFonts w:ascii="Arial" w:hAnsi="Arial" w:cs="Arial"/>
          <w:sz w:val="24"/>
          <w:szCs w:val="24"/>
        </w:rPr>
        <w:t xml:space="preserve">, è strutturato nell’ottica di verificare quali siano gli elementi distintivi rispetto al </w:t>
      </w:r>
      <w:r w:rsidRPr="009F333F">
        <w:rPr>
          <w:rFonts w:ascii="Arial" w:hAnsi="Arial" w:cs="Arial"/>
          <w:b/>
          <w:sz w:val="24"/>
          <w:szCs w:val="24"/>
        </w:rPr>
        <w:t>principio di materialità</w:t>
      </w:r>
      <w:r w:rsidRPr="00C90673">
        <w:rPr>
          <w:rFonts w:ascii="Arial" w:hAnsi="Arial" w:cs="Arial"/>
          <w:sz w:val="24"/>
          <w:szCs w:val="24"/>
        </w:rPr>
        <w:t xml:space="preserve"> partendo dal riscontro, a livello sia normativo sia tecnico-interpretativo, di attribuzioni terminologiche ambigue o imprecise e sovrapposizioni applicativ</w:t>
      </w:r>
      <w:r w:rsidR="003C3019">
        <w:rPr>
          <w:rFonts w:ascii="Arial" w:hAnsi="Arial" w:cs="Arial"/>
          <w:sz w:val="24"/>
          <w:szCs w:val="24"/>
        </w:rPr>
        <w:t xml:space="preserve">e anche improprie o alternative. </w:t>
      </w:r>
    </w:p>
    <w:p w:rsidR="00C90673" w:rsidRPr="00C90673" w:rsidRDefault="00C90673" w:rsidP="00C90673">
      <w:pPr>
        <w:spacing w:before="100" w:beforeAutospacing="1"/>
        <w:jc w:val="both"/>
        <w:rPr>
          <w:rFonts w:ascii="Arial" w:hAnsi="Arial" w:cs="Arial"/>
          <w:sz w:val="24"/>
          <w:szCs w:val="24"/>
        </w:rPr>
      </w:pPr>
      <w:r w:rsidRPr="00C90673">
        <w:rPr>
          <w:rFonts w:ascii="Arial" w:hAnsi="Arial" w:cs="Arial"/>
          <w:sz w:val="24"/>
          <w:szCs w:val="24"/>
        </w:rPr>
        <w:t xml:space="preserve">La necessità dell’analisi è connessa allo sviluppo di un contesto normativo in cui le disposizioni del d.lgs. n. 254/2016, riguardante la comunicazione di informazioni di carattere non finanziario e di informazioni sulla diversità nella composizione degli organi di amministrazione, gestione e controllo, si applicano, con riferimento alle dichiarazioni e relazioni relative di imprese e gruppi di grandi dimensioni, agli esercizi finanziari aventi inizio a partire dal </w:t>
      </w:r>
      <w:r w:rsidRPr="009F333F">
        <w:rPr>
          <w:rFonts w:ascii="Arial" w:hAnsi="Arial" w:cs="Arial"/>
          <w:b/>
          <w:sz w:val="24"/>
          <w:szCs w:val="24"/>
        </w:rPr>
        <w:t>1° gennaio 2017</w:t>
      </w:r>
      <w:r w:rsidRPr="00C90673">
        <w:rPr>
          <w:rFonts w:ascii="Arial" w:hAnsi="Arial" w:cs="Arial"/>
          <w:sz w:val="24"/>
          <w:szCs w:val="24"/>
        </w:rPr>
        <w:t xml:space="preserve">. </w:t>
      </w:r>
      <w:r>
        <w:rPr>
          <w:rFonts w:ascii="Arial" w:hAnsi="Arial" w:cs="Arial"/>
          <w:sz w:val="24"/>
          <w:szCs w:val="24"/>
        </w:rPr>
        <w:t xml:space="preserve">Si </w:t>
      </w:r>
      <w:r w:rsidRPr="00C90673">
        <w:rPr>
          <w:rFonts w:ascii="Arial" w:hAnsi="Arial" w:cs="Arial"/>
          <w:sz w:val="24"/>
          <w:szCs w:val="24"/>
        </w:rPr>
        <w:t xml:space="preserve">tratta di una sostanziale </w:t>
      </w:r>
      <w:r w:rsidRPr="009F333F">
        <w:rPr>
          <w:rFonts w:ascii="Arial" w:hAnsi="Arial" w:cs="Arial"/>
          <w:b/>
          <w:sz w:val="24"/>
          <w:szCs w:val="24"/>
        </w:rPr>
        <w:t>innovazione</w:t>
      </w:r>
      <w:r w:rsidRPr="00C90673">
        <w:rPr>
          <w:rFonts w:ascii="Arial" w:hAnsi="Arial" w:cs="Arial"/>
          <w:sz w:val="24"/>
          <w:szCs w:val="24"/>
        </w:rPr>
        <w:t xml:space="preserve"> nella </w:t>
      </w:r>
      <w:proofErr w:type="spellStart"/>
      <w:r w:rsidRPr="00C90673">
        <w:rPr>
          <w:rFonts w:ascii="Arial" w:hAnsi="Arial" w:cs="Arial"/>
          <w:i/>
          <w:iCs/>
          <w:sz w:val="24"/>
          <w:szCs w:val="24"/>
        </w:rPr>
        <w:t>sustainabilitydisclosure</w:t>
      </w:r>
      <w:proofErr w:type="spellEnd"/>
      <w:r w:rsidRPr="00C90673">
        <w:rPr>
          <w:rFonts w:ascii="Arial" w:hAnsi="Arial" w:cs="Arial"/>
          <w:sz w:val="24"/>
          <w:szCs w:val="24"/>
        </w:rPr>
        <w:t> che interessa non solo le imprese di dimensioni rilevanti</w:t>
      </w:r>
      <w:r>
        <w:rPr>
          <w:rFonts w:ascii="Arial" w:hAnsi="Arial" w:cs="Arial"/>
          <w:sz w:val="24"/>
          <w:szCs w:val="24"/>
        </w:rPr>
        <w:t>,</w:t>
      </w:r>
      <w:r w:rsidRPr="00C90673">
        <w:rPr>
          <w:rFonts w:ascii="Arial" w:hAnsi="Arial" w:cs="Arial"/>
          <w:sz w:val="24"/>
          <w:szCs w:val="24"/>
        </w:rPr>
        <w:t xml:space="preserve"> ma anche, in prospettiva, quelle che, pur non essendo direttamente obbligate dalla normativa, operino in qualità di fornitori di quante vi si debbano attenere (nell’ambito di una “filiera produttiva sostenibile”) o desiderino risultare </w:t>
      </w:r>
      <w:proofErr w:type="spellStart"/>
      <w:r w:rsidRPr="00C90673">
        <w:rPr>
          <w:rFonts w:ascii="Arial" w:hAnsi="Arial" w:cs="Arial"/>
          <w:i/>
          <w:iCs/>
          <w:sz w:val="24"/>
          <w:szCs w:val="24"/>
        </w:rPr>
        <w:t>compliant</w:t>
      </w:r>
      <w:proofErr w:type="spellEnd"/>
      <w:r>
        <w:rPr>
          <w:rFonts w:ascii="Arial" w:hAnsi="Arial" w:cs="Arial"/>
          <w:sz w:val="24"/>
          <w:szCs w:val="24"/>
        </w:rPr>
        <w:t xml:space="preserve"> </w:t>
      </w:r>
      <w:r w:rsidRPr="00C90673">
        <w:rPr>
          <w:rFonts w:ascii="Arial" w:hAnsi="Arial" w:cs="Arial"/>
          <w:sz w:val="24"/>
          <w:szCs w:val="24"/>
        </w:rPr>
        <w:t xml:space="preserve">per conseguire, per motivi etici e/o strategici, quella sorta di “attribuzione </w:t>
      </w:r>
      <w:proofErr w:type="spellStart"/>
      <w:r w:rsidRPr="00C90673">
        <w:rPr>
          <w:rFonts w:ascii="Arial" w:hAnsi="Arial" w:cs="Arial"/>
          <w:sz w:val="24"/>
          <w:szCs w:val="24"/>
        </w:rPr>
        <w:t>reputazionale</w:t>
      </w:r>
      <w:proofErr w:type="spellEnd"/>
      <w:r w:rsidRPr="00C90673">
        <w:rPr>
          <w:rFonts w:ascii="Arial" w:hAnsi="Arial" w:cs="Arial"/>
          <w:sz w:val="24"/>
          <w:szCs w:val="24"/>
        </w:rPr>
        <w:t>” riconosciuta dallo stesso decreto a quanti intraprendano il sentiero della rendicontazione di sostenibilità predisponendo una dichiarazione non finanziaria conforme alle sue disposizioni.</w:t>
      </w:r>
    </w:p>
    <w:p w:rsidR="00C90673" w:rsidRPr="00C90673" w:rsidRDefault="00C90673" w:rsidP="00C90673">
      <w:pPr>
        <w:spacing w:before="100" w:beforeAutospacing="1"/>
        <w:jc w:val="both"/>
        <w:rPr>
          <w:rFonts w:ascii="Arial" w:hAnsi="Arial" w:cs="Arial"/>
          <w:sz w:val="24"/>
          <w:szCs w:val="24"/>
        </w:rPr>
      </w:pPr>
      <w:r w:rsidRPr="00C90673">
        <w:rPr>
          <w:rFonts w:ascii="Arial" w:hAnsi="Arial" w:cs="Arial"/>
          <w:sz w:val="24"/>
          <w:szCs w:val="24"/>
        </w:rPr>
        <w:t>Il documento rivolge l’attenzione anche ad un’altra questione, prodromica rispetto ad un approfondimento sul controllo ed essenziale rispetto all’applicazione delle disposizioni normative, all’efficacia della comunicazione, allo sviluppo delle opportunità di </w:t>
      </w:r>
      <w:proofErr w:type="spellStart"/>
      <w:r w:rsidRPr="00C90673">
        <w:rPr>
          <w:rFonts w:ascii="Arial" w:hAnsi="Arial" w:cs="Arial"/>
          <w:i/>
          <w:iCs/>
          <w:sz w:val="24"/>
          <w:szCs w:val="24"/>
        </w:rPr>
        <w:t>disclosure</w:t>
      </w:r>
      <w:proofErr w:type="spellEnd"/>
      <w:r w:rsidRPr="00C90673">
        <w:rPr>
          <w:rFonts w:ascii="Arial" w:hAnsi="Arial" w:cs="Arial"/>
          <w:sz w:val="24"/>
          <w:szCs w:val="24"/>
        </w:rPr>
        <w:t> da parte dei soggetti sotto soglia non obbligatoriamente coi</w:t>
      </w:r>
      <w:r w:rsidR="009F333F">
        <w:rPr>
          <w:rFonts w:ascii="Arial" w:hAnsi="Arial" w:cs="Arial"/>
          <w:sz w:val="24"/>
          <w:szCs w:val="24"/>
        </w:rPr>
        <w:t>nvolti dal d.lgs. n. 254/2016: r</w:t>
      </w:r>
      <w:r w:rsidRPr="00C90673">
        <w:rPr>
          <w:rFonts w:ascii="Arial" w:hAnsi="Arial" w:cs="Arial"/>
          <w:sz w:val="24"/>
          <w:szCs w:val="24"/>
        </w:rPr>
        <w:t xml:space="preserve">elativamente ai </w:t>
      </w:r>
      <w:r w:rsidRPr="009F333F">
        <w:rPr>
          <w:rFonts w:ascii="Arial" w:hAnsi="Arial" w:cs="Arial"/>
          <w:sz w:val="24"/>
          <w:szCs w:val="24"/>
        </w:rPr>
        <w:t>concetti/principi di rilevanza e materialità</w:t>
      </w:r>
      <w:r w:rsidRPr="00C90673">
        <w:rPr>
          <w:rFonts w:ascii="Arial" w:hAnsi="Arial" w:cs="Arial"/>
          <w:sz w:val="24"/>
          <w:szCs w:val="24"/>
        </w:rPr>
        <w:t>, nell’ottica della loro applicazione, sembra potersi, infatti, ravvisare un certo disallineamento con riguardo sia alle interpretazioni che ne sono state fornite con riferimento al rapporto tra la direttiva di </w:t>
      </w:r>
      <w:proofErr w:type="spellStart"/>
      <w:r w:rsidRPr="00C90673">
        <w:rPr>
          <w:rFonts w:ascii="Arial" w:hAnsi="Arial" w:cs="Arial"/>
          <w:i/>
          <w:iCs/>
          <w:sz w:val="24"/>
          <w:szCs w:val="24"/>
        </w:rPr>
        <w:t>disclosure</w:t>
      </w:r>
      <w:proofErr w:type="spellEnd"/>
      <w:r w:rsidRPr="00C90673">
        <w:rPr>
          <w:rFonts w:ascii="Arial" w:hAnsi="Arial" w:cs="Arial"/>
          <w:i/>
          <w:iCs/>
          <w:sz w:val="24"/>
          <w:szCs w:val="24"/>
        </w:rPr>
        <w:t xml:space="preserve"> non-</w:t>
      </w:r>
      <w:proofErr w:type="spellStart"/>
      <w:r w:rsidRPr="00C90673">
        <w:rPr>
          <w:rFonts w:ascii="Arial" w:hAnsi="Arial" w:cs="Arial"/>
          <w:i/>
          <w:iCs/>
          <w:sz w:val="24"/>
          <w:szCs w:val="24"/>
        </w:rPr>
        <w:t>financial</w:t>
      </w:r>
      <w:proofErr w:type="spellEnd"/>
      <w:r w:rsidRPr="00C90673">
        <w:rPr>
          <w:rFonts w:ascii="Arial" w:hAnsi="Arial" w:cs="Arial"/>
          <w:sz w:val="24"/>
          <w:szCs w:val="24"/>
        </w:rPr>
        <w:t xml:space="preserve"> e il decreto che l’ha recepita sia agli approcci con cui sono </w:t>
      </w:r>
      <w:r w:rsidRPr="00C90673">
        <w:rPr>
          <w:rFonts w:ascii="Arial" w:hAnsi="Arial" w:cs="Arial"/>
          <w:sz w:val="24"/>
          <w:szCs w:val="24"/>
        </w:rPr>
        <w:lastRenderedPageBreak/>
        <w:t xml:space="preserve">adottati nei documenti tecnici di organismi internazionali volti a esplicitare i processi tesi ad identificare le informazioni che debbano, infine, risultare oggetto di </w:t>
      </w:r>
      <w:proofErr w:type="spellStart"/>
      <w:r w:rsidRPr="00C90673">
        <w:rPr>
          <w:rFonts w:ascii="Arial" w:hAnsi="Arial" w:cs="Arial"/>
          <w:i/>
          <w:iCs/>
          <w:sz w:val="24"/>
          <w:szCs w:val="24"/>
        </w:rPr>
        <w:t>disclosure</w:t>
      </w:r>
      <w:proofErr w:type="spellEnd"/>
      <w:r w:rsidRPr="00C90673">
        <w:rPr>
          <w:rFonts w:ascii="Arial" w:hAnsi="Arial" w:cs="Arial"/>
          <w:sz w:val="24"/>
          <w:szCs w:val="24"/>
        </w:rPr>
        <w:t>.</w:t>
      </w:r>
    </w:p>
    <w:p w:rsidR="00C90673" w:rsidRPr="00C90673" w:rsidRDefault="00C90673" w:rsidP="003C3019">
      <w:pPr>
        <w:spacing w:before="100" w:beforeAutospacing="1"/>
        <w:jc w:val="both"/>
        <w:rPr>
          <w:rFonts w:ascii="Arial" w:hAnsi="Arial" w:cs="Arial"/>
          <w:sz w:val="24"/>
          <w:szCs w:val="24"/>
        </w:rPr>
      </w:pPr>
      <w:r w:rsidRPr="00C90673">
        <w:rPr>
          <w:rFonts w:ascii="Arial" w:hAnsi="Arial" w:cs="Arial"/>
          <w:b/>
          <w:bCs/>
          <w:sz w:val="24"/>
          <w:szCs w:val="24"/>
        </w:rPr>
        <w:t>Raffaele Marcello</w:t>
      </w:r>
      <w:r w:rsidRPr="00C90673">
        <w:rPr>
          <w:rFonts w:ascii="Arial" w:hAnsi="Arial" w:cs="Arial"/>
          <w:sz w:val="24"/>
          <w:szCs w:val="24"/>
        </w:rPr>
        <w:t>, Consigliere nazionale delegato all’Area “Sistema di amministrazione e controllo”, ricorda che “</w:t>
      </w:r>
      <w:r w:rsidR="003C3019">
        <w:rPr>
          <w:rFonts w:ascii="Arial" w:hAnsi="Arial" w:cs="Arial"/>
          <w:sz w:val="24"/>
          <w:szCs w:val="24"/>
        </w:rPr>
        <w:t xml:space="preserve">il </w:t>
      </w:r>
      <w:r w:rsidRPr="00C90673">
        <w:rPr>
          <w:rFonts w:ascii="Arial" w:hAnsi="Arial" w:cs="Arial"/>
          <w:sz w:val="24"/>
          <w:szCs w:val="24"/>
        </w:rPr>
        <w:t>Consiglio nazionale predispo</w:t>
      </w:r>
      <w:r w:rsidR="003C3019">
        <w:rPr>
          <w:rFonts w:ascii="Arial" w:hAnsi="Arial" w:cs="Arial"/>
          <w:sz w:val="24"/>
          <w:szCs w:val="24"/>
        </w:rPr>
        <w:t>n</w:t>
      </w:r>
      <w:r w:rsidRPr="00C90673">
        <w:rPr>
          <w:rFonts w:ascii="Arial" w:hAnsi="Arial" w:cs="Arial"/>
          <w:sz w:val="24"/>
          <w:szCs w:val="24"/>
        </w:rPr>
        <w:t xml:space="preserve">e documenti utili per la categoria sotto </w:t>
      </w:r>
      <w:r w:rsidR="003C3019">
        <w:rPr>
          <w:rFonts w:ascii="Arial" w:hAnsi="Arial" w:cs="Arial"/>
          <w:sz w:val="24"/>
          <w:szCs w:val="24"/>
        </w:rPr>
        <w:t>il profilo teorico e operativo. Siamo c</w:t>
      </w:r>
      <w:r w:rsidRPr="00C90673">
        <w:rPr>
          <w:rFonts w:ascii="Arial" w:hAnsi="Arial" w:cs="Arial"/>
          <w:sz w:val="24"/>
          <w:szCs w:val="24"/>
        </w:rPr>
        <w:t>onsapevol</w:t>
      </w:r>
      <w:r w:rsidR="003C3019">
        <w:rPr>
          <w:rFonts w:ascii="Arial" w:hAnsi="Arial" w:cs="Arial"/>
          <w:sz w:val="24"/>
          <w:szCs w:val="24"/>
        </w:rPr>
        <w:t xml:space="preserve">i – spiega - </w:t>
      </w:r>
      <w:r w:rsidRPr="00C90673">
        <w:rPr>
          <w:rFonts w:ascii="Arial" w:hAnsi="Arial" w:cs="Arial"/>
          <w:sz w:val="24"/>
          <w:szCs w:val="24"/>
        </w:rPr>
        <w:t xml:space="preserve"> dello sviluppo di un sistema economico-sociale e professionale dove cresce la necessità di disporre di conoscenze nuove per esercitare attività professionali in ambiti sempre più sfidanti e rispondere a criticità dei cittadini e delle imprese sempre più puntuali</w:t>
      </w:r>
      <w:r w:rsidR="003C3019">
        <w:rPr>
          <w:rFonts w:ascii="Arial" w:hAnsi="Arial" w:cs="Arial"/>
          <w:sz w:val="24"/>
          <w:szCs w:val="24"/>
        </w:rPr>
        <w:t>”</w:t>
      </w:r>
      <w:r w:rsidRPr="00C90673">
        <w:rPr>
          <w:rFonts w:ascii="Arial" w:hAnsi="Arial" w:cs="Arial"/>
          <w:sz w:val="24"/>
          <w:szCs w:val="24"/>
        </w:rPr>
        <w:t xml:space="preserve">. </w:t>
      </w:r>
      <w:r w:rsidR="003C3019">
        <w:rPr>
          <w:rFonts w:ascii="Arial" w:hAnsi="Arial" w:cs="Arial"/>
          <w:sz w:val="24"/>
          <w:szCs w:val="24"/>
        </w:rPr>
        <w:t>Marcello sottolinea come “i</w:t>
      </w:r>
      <w:r w:rsidRPr="00C90673">
        <w:rPr>
          <w:rFonts w:ascii="Arial" w:hAnsi="Arial" w:cs="Arial"/>
          <w:sz w:val="24"/>
          <w:szCs w:val="24"/>
        </w:rPr>
        <w:t>l documento vuole fornire spunti di riflessione sulla rendicontazione e sulla comunicazione e costituire una sorta di cornice di riferimento nell’ambito della quale incardinare nel prossimo futuro documenti con un taglio del tutto diverso, finalizzati all’individuazione di soluzioni pratiche alle problematiche di natura professionale nell’ambito della rendicontazione e della comunicazione non finanziaria”.</w:t>
      </w:r>
    </w:p>
    <w:p w:rsidR="00B0348B" w:rsidRPr="00C90673" w:rsidRDefault="00B0348B" w:rsidP="003C3019">
      <w:pPr>
        <w:rPr>
          <w:rFonts w:ascii="Arial" w:hAnsi="Arial" w:cs="Arial"/>
          <w:sz w:val="24"/>
          <w:szCs w:val="24"/>
        </w:rPr>
      </w:pPr>
      <w:bookmarkStart w:id="2" w:name="_GoBack"/>
      <w:bookmarkEnd w:id="1"/>
      <w:bookmarkEnd w:id="2"/>
    </w:p>
    <w:sectPr w:rsidR="00B0348B" w:rsidRPr="00C9067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FD3" w:rsidRDefault="00CB4FD3" w:rsidP="0078332C">
      <w:r>
        <w:separator/>
      </w:r>
    </w:p>
  </w:endnote>
  <w:endnote w:type="continuationSeparator" w:id="0">
    <w:p w:rsidR="00CB4FD3" w:rsidRDefault="00CB4FD3"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FD3" w:rsidRDefault="00CB4FD3" w:rsidP="0078332C">
      <w:r>
        <w:separator/>
      </w:r>
    </w:p>
  </w:footnote>
  <w:footnote w:type="continuationSeparator" w:id="0">
    <w:p w:rsidR="00CB4FD3" w:rsidRDefault="00CB4FD3"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41E8C"/>
    <w:multiLevelType w:val="hybridMultilevel"/>
    <w:tmpl w:val="A56A7BB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15214"/>
    <w:rsid w:val="00017FFB"/>
    <w:rsid w:val="00020686"/>
    <w:rsid w:val="000329A4"/>
    <w:rsid w:val="00044942"/>
    <w:rsid w:val="000475E9"/>
    <w:rsid w:val="0006018A"/>
    <w:rsid w:val="00062B83"/>
    <w:rsid w:val="00072530"/>
    <w:rsid w:val="000827FF"/>
    <w:rsid w:val="00096075"/>
    <w:rsid w:val="00097834"/>
    <w:rsid w:val="000A2E79"/>
    <w:rsid w:val="000B70CE"/>
    <w:rsid w:val="000C19B1"/>
    <w:rsid w:val="000F42D0"/>
    <w:rsid w:val="00103B90"/>
    <w:rsid w:val="0011783B"/>
    <w:rsid w:val="00121C2D"/>
    <w:rsid w:val="0012370B"/>
    <w:rsid w:val="001267CB"/>
    <w:rsid w:val="00154327"/>
    <w:rsid w:val="00161D26"/>
    <w:rsid w:val="00163F34"/>
    <w:rsid w:val="00191BB6"/>
    <w:rsid w:val="00192936"/>
    <w:rsid w:val="001A2B04"/>
    <w:rsid w:val="001A4E5D"/>
    <w:rsid w:val="001C7D62"/>
    <w:rsid w:val="001C7E5F"/>
    <w:rsid w:val="001D06B4"/>
    <w:rsid w:val="001F0AE5"/>
    <w:rsid w:val="002007EC"/>
    <w:rsid w:val="00202E49"/>
    <w:rsid w:val="00212A8E"/>
    <w:rsid w:val="00223824"/>
    <w:rsid w:val="0023101D"/>
    <w:rsid w:val="00250C06"/>
    <w:rsid w:val="002529F6"/>
    <w:rsid w:val="002608B8"/>
    <w:rsid w:val="00261702"/>
    <w:rsid w:val="00272EB0"/>
    <w:rsid w:val="00273B0D"/>
    <w:rsid w:val="00281281"/>
    <w:rsid w:val="00282F12"/>
    <w:rsid w:val="002957AC"/>
    <w:rsid w:val="002A1399"/>
    <w:rsid w:val="002A7FD0"/>
    <w:rsid w:val="002B033F"/>
    <w:rsid w:val="002B41C8"/>
    <w:rsid w:val="002D2034"/>
    <w:rsid w:val="002D35A4"/>
    <w:rsid w:val="002D41C3"/>
    <w:rsid w:val="002D565B"/>
    <w:rsid w:val="002D77D5"/>
    <w:rsid w:val="002E19A4"/>
    <w:rsid w:val="002E5779"/>
    <w:rsid w:val="002F21AA"/>
    <w:rsid w:val="002F6C28"/>
    <w:rsid w:val="00305148"/>
    <w:rsid w:val="00305638"/>
    <w:rsid w:val="003067AD"/>
    <w:rsid w:val="00310913"/>
    <w:rsid w:val="00322E62"/>
    <w:rsid w:val="003318BE"/>
    <w:rsid w:val="00332874"/>
    <w:rsid w:val="0033358C"/>
    <w:rsid w:val="003349F2"/>
    <w:rsid w:val="00342912"/>
    <w:rsid w:val="0035492F"/>
    <w:rsid w:val="003675FA"/>
    <w:rsid w:val="00373804"/>
    <w:rsid w:val="003846CE"/>
    <w:rsid w:val="003A48BD"/>
    <w:rsid w:val="003A50F9"/>
    <w:rsid w:val="003A7B1F"/>
    <w:rsid w:val="003B7AA7"/>
    <w:rsid w:val="003C0323"/>
    <w:rsid w:val="003C3019"/>
    <w:rsid w:val="003D0BF2"/>
    <w:rsid w:val="003D3E18"/>
    <w:rsid w:val="003E0F52"/>
    <w:rsid w:val="003F6088"/>
    <w:rsid w:val="0042041A"/>
    <w:rsid w:val="00442A08"/>
    <w:rsid w:val="00444F7A"/>
    <w:rsid w:val="004548F0"/>
    <w:rsid w:val="00460B34"/>
    <w:rsid w:val="00477C67"/>
    <w:rsid w:val="00480469"/>
    <w:rsid w:val="00491911"/>
    <w:rsid w:val="004952FC"/>
    <w:rsid w:val="00497FD8"/>
    <w:rsid w:val="004A3A69"/>
    <w:rsid w:val="004B1132"/>
    <w:rsid w:val="004B2695"/>
    <w:rsid w:val="004C38F7"/>
    <w:rsid w:val="004D4A49"/>
    <w:rsid w:val="004D72EF"/>
    <w:rsid w:val="004E7E5A"/>
    <w:rsid w:val="004F0F61"/>
    <w:rsid w:val="00512E22"/>
    <w:rsid w:val="00534E31"/>
    <w:rsid w:val="00537DC7"/>
    <w:rsid w:val="00543860"/>
    <w:rsid w:val="00545007"/>
    <w:rsid w:val="00546289"/>
    <w:rsid w:val="00546BF0"/>
    <w:rsid w:val="00555885"/>
    <w:rsid w:val="00570197"/>
    <w:rsid w:val="00572EB5"/>
    <w:rsid w:val="0058002D"/>
    <w:rsid w:val="005816F1"/>
    <w:rsid w:val="005820B5"/>
    <w:rsid w:val="00590C67"/>
    <w:rsid w:val="00590F83"/>
    <w:rsid w:val="005A5486"/>
    <w:rsid w:val="005A7275"/>
    <w:rsid w:val="005C7544"/>
    <w:rsid w:val="005D6B7B"/>
    <w:rsid w:val="005D6EB9"/>
    <w:rsid w:val="005E4BD4"/>
    <w:rsid w:val="005F0C58"/>
    <w:rsid w:val="005F5B57"/>
    <w:rsid w:val="00620212"/>
    <w:rsid w:val="00626E59"/>
    <w:rsid w:val="00626E68"/>
    <w:rsid w:val="006273CC"/>
    <w:rsid w:val="00641C3C"/>
    <w:rsid w:val="006467C7"/>
    <w:rsid w:val="00650D2D"/>
    <w:rsid w:val="00666206"/>
    <w:rsid w:val="00671C27"/>
    <w:rsid w:val="00675FE8"/>
    <w:rsid w:val="00677A10"/>
    <w:rsid w:val="00690F68"/>
    <w:rsid w:val="006A5AEA"/>
    <w:rsid w:val="006B3458"/>
    <w:rsid w:val="006C2F6E"/>
    <w:rsid w:val="006C3CAC"/>
    <w:rsid w:val="006C7100"/>
    <w:rsid w:val="006D236C"/>
    <w:rsid w:val="006D387C"/>
    <w:rsid w:val="006D60D3"/>
    <w:rsid w:val="006E2989"/>
    <w:rsid w:val="006E2EA4"/>
    <w:rsid w:val="006F175A"/>
    <w:rsid w:val="006F70F8"/>
    <w:rsid w:val="007114F1"/>
    <w:rsid w:val="00720024"/>
    <w:rsid w:val="0074254F"/>
    <w:rsid w:val="00752C6B"/>
    <w:rsid w:val="00764D9D"/>
    <w:rsid w:val="00775661"/>
    <w:rsid w:val="00782159"/>
    <w:rsid w:val="0078332C"/>
    <w:rsid w:val="00794FCF"/>
    <w:rsid w:val="007A7E77"/>
    <w:rsid w:val="007B47B4"/>
    <w:rsid w:val="007B6AC0"/>
    <w:rsid w:val="007B7197"/>
    <w:rsid w:val="007C14B1"/>
    <w:rsid w:val="007D030A"/>
    <w:rsid w:val="007D6905"/>
    <w:rsid w:val="007E25D0"/>
    <w:rsid w:val="007F7ECA"/>
    <w:rsid w:val="00800937"/>
    <w:rsid w:val="008267D2"/>
    <w:rsid w:val="0084360C"/>
    <w:rsid w:val="008538EB"/>
    <w:rsid w:val="008543B0"/>
    <w:rsid w:val="00872890"/>
    <w:rsid w:val="00875736"/>
    <w:rsid w:val="008823BE"/>
    <w:rsid w:val="008866FA"/>
    <w:rsid w:val="00892C1F"/>
    <w:rsid w:val="008A09EA"/>
    <w:rsid w:val="008A6D39"/>
    <w:rsid w:val="008D69D8"/>
    <w:rsid w:val="009051EC"/>
    <w:rsid w:val="00924F9F"/>
    <w:rsid w:val="0093096C"/>
    <w:rsid w:val="00951A3C"/>
    <w:rsid w:val="00961263"/>
    <w:rsid w:val="00963401"/>
    <w:rsid w:val="00986756"/>
    <w:rsid w:val="00997933"/>
    <w:rsid w:val="009B6165"/>
    <w:rsid w:val="009D138B"/>
    <w:rsid w:val="009D485A"/>
    <w:rsid w:val="009D49FA"/>
    <w:rsid w:val="009F333F"/>
    <w:rsid w:val="009F3B00"/>
    <w:rsid w:val="00A07FB9"/>
    <w:rsid w:val="00A12594"/>
    <w:rsid w:val="00A14347"/>
    <w:rsid w:val="00A14764"/>
    <w:rsid w:val="00A26406"/>
    <w:rsid w:val="00A34135"/>
    <w:rsid w:val="00A35A75"/>
    <w:rsid w:val="00A4420A"/>
    <w:rsid w:val="00A47FEA"/>
    <w:rsid w:val="00A56C23"/>
    <w:rsid w:val="00A67348"/>
    <w:rsid w:val="00A7311A"/>
    <w:rsid w:val="00A74A8A"/>
    <w:rsid w:val="00A837E6"/>
    <w:rsid w:val="00A8475F"/>
    <w:rsid w:val="00A95375"/>
    <w:rsid w:val="00A96364"/>
    <w:rsid w:val="00A978FD"/>
    <w:rsid w:val="00AA7145"/>
    <w:rsid w:val="00AB5991"/>
    <w:rsid w:val="00AB7ADE"/>
    <w:rsid w:val="00AD6437"/>
    <w:rsid w:val="00AE0EB1"/>
    <w:rsid w:val="00AE1B46"/>
    <w:rsid w:val="00AE3DBA"/>
    <w:rsid w:val="00AF1493"/>
    <w:rsid w:val="00AF37AC"/>
    <w:rsid w:val="00AF3B8B"/>
    <w:rsid w:val="00AF593F"/>
    <w:rsid w:val="00B01322"/>
    <w:rsid w:val="00B02EEF"/>
    <w:rsid w:val="00B0348B"/>
    <w:rsid w:val="00B14747"/>
    <w:rsid w:val="00B169EB"/>
    <w:rsid w:val="00B244EE"/>
    <w:rsid w:val="00B2607D"/>
    <w:rsid w:val="00B37BB9"/>
    <w:rsid w:val="00B608D6"/>
    <w:rsid w:val="00B77DD8"/>
    <w:rsid w:val="00B80328"/>
    <w:rsid w:val="00B82041"/>
    <w:rsid w:val="00B874BD"/>
    <w:rsid w:val="00B93B7C"/>
    <w:rsid w:val="00B96F60"/>
    <w:rsid w:val="00BC4560"/>
    <w:rsid w:val="00BC766D"/>
    <w:rsid w:val="00BD0510"/>
    <w:rsid w:val="00BE4997"/>
    <w:rsid w:val="00BF6F48"/>
    <w:rsid w:val="00C03728"/>
    <w:rsid w:val="00C12899"/>
    <w:rsid w:val="00C13B95"/>
    <w:rsid w:val="00C26374"/>
    <w:rsid w:val="00C27CA3"/>
    <w:rsid w:val="00C342D6"/>
    <w:rsid w:val="00C528AF"/>
    <w:rsid w:val="00C6126D"/>
    <w:rsid w:val="00C82E4F"/>
    <w:rsid w:val="00C90673"/>
    <w:rsid w:val="00C9107A"/>
    <w:rsid w:val="00C92A52"/>
    <w:rsid w:val="00C92F98"/>
    <w:rsid w:val="00C93B05"/>
    <w:rsid w:val="00CA234F"/>
    <w:rsid w:val="00CA5B6F"/>
    <w:rsid w:val="00CB4FD3"/>
    <w:rsid w:val="00CB51DE"/>
    <w:rsid w:val="00CC1A3B"/>
    <w:rsid w:val="00CE0295"/>
    <w:rsid w:val="00CE493C"/>
    <w:rsid w:val="00CF3E5E"/>
    <w:rsid w:val="00CF5AAB"/>
    <w:rsid w:val="00D0565B"/>
    <w:rsid w:val="00D10DE0"/>
    <w:rsid w:val="00D16030"/>
    <w:rsid w:val="00D20C91"/>
    <w:rsid w:val="00D23EE4"/>
    <w:rsid w:val="00D267BC"/>
    <w:rsid w:val="00D301C8"/>
    <w:rsid w:val="00D3620A"/>
    <w:rsid w:val="00D36928"/>
    <w:rsid w:val="00D61E3E"/>
    <w:rsid w:val="00D645B8"/>
    <w:rsid w:val="00D8228E"/>
    <w:rsid w:val="00D86C56"/>
    <w:rsid w:val="00DA0174"/>
    <w:rsid w:val="00DA57E3"/>
    <w:rsid w:val="00DB31F0"/>
    <w:rsid w:val="00DF1387"/>
    <w:rsid w:val="00DF7F3F"/>
    <w:rsid w:val="00E018F4"/>
    <w:rsid w:val="00E43464"/>
    <w:rsid w:val="00E512F2"/>
    <w:rsid w:val="00E82696"/>
    <w:rsid w:val="00E83254"/>
    <w:rsid w:val="00E92062"/>
    <w:rsid w:val="00E96CB8"/>
    <w:rsid w:val="00E97BC0"/>
    <w:rsid w:val="00EB4A49"/>
    <w:rsid w:val="00EC6A83"/>
    <w:rsid w:val="00EC74C8"/>
    <w:rsid w:val="00ED2BA2"/>
    <w:rsid w:val="00ED7E04"/>
    <w:rsid w:val="00EE0275"/>
    <w:rsid w:val="00EE61E7"/>
    <w:rsid w:val="00EE7FC7"/>
    <w:rsid w:val="00EF5B0E"/>
    <w:rsid w:val="00EF75E1"/>
    <w:rsid w:val="00F12009"/>
    <w:rsid w:val="00F12406"/>
    <w:rsid w:val="00F141DB"/>
    <w:rsid w:val="00F14F90"/>
    <w:rsid w:val="00F163A3"/>
    <w:rsid w:val="00F20639"/>
    <w:rsid w:val="00F2596D"/>
    <w:rsid w:val="00F409A6"/>
    <w:rsid w:val="00F50B95"/>
    <w:rsid w:val="00F5457A"/>
    <w:rsid w:val="00F601CB"/>
    <w:rsid w:val="00F7125B"/>
    <w:rsid w:val="00F73AC3"/>
    <w:rsid w:val="00F97331"/>
    <w:rsid w:val="00FA0B81"/>
    <w:rsid w:val="00FA62A2"/>
    <w:rsid w:val="00FA67B4"/>
    <w:rsid w:val="00FB039F"/>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5D54"/>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 w:type="paragraph" w:customStyle="1" w:styleId="Default">
    <w:name w:val="Default"/>
    <w:rsid w:val="009D485A"/>
    <w:pPr>
      <w:autoSpaceDE w:val="0"/>
      <w:autoSpaceDN w:val="0"/>
      <w:adjustRightInd w:val="0"/>
      <w:spacing w:after="0" w:line="240" w:lineRule="auto"/>
    </w:pPr>
    <w:rPr>
      <w:rFonts w:ascii="Calibri" w:eastAsia="Calibri" w:hAnsi="Calibri" w:cs="Calibri"/>
      <w:color w:val="000000"/>
      <w:sz w:val="24"/>
      <w:szCs w:val="24"/>
    </w:rPr>
  </w:style>
  <w:style w:type="character" w:styleId="Rimandonotaapidipagina">
    <w:name w:val="footnote reference"/>
    <w:uiPriority w:val="99"/>
    <w:semiHidden/>
    <w:unhideWhenUsed/>
    <w:rsid w:val="009D485A"/>
    <w:rPr>
      <w:vertAlign w:val="superscript"/>
    </w:rPr>
  </w:style>
  <w:style w:type="paragraph" w:customStyle="1" w:styleId="xmsonormal">
    <w:name w:val="x_msonormal"/>
    <w:rsid w:val="003C0323"/>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eastAsia="it-IT"/>
    </w:rPr>
  </w:style>
  <w:style w:type="character" w:customStyle="1" w:styleId="Nessuno">
    <w:name w:val="Nessuno"/>
    <w:rsid w:val="003C0323"/>
    <w:rPr>
      <w:lang w:val="it-IT"/>
    </w:rPr>
  </w:style>
  <w:style w:type="paragraph" w:styleId="Titolo">
    <w:name w:val="Title"/>
    <w:basedOn w:val="Normale"/>
    <w:link w:val="TitoloCarattere"/>
    <w:qFormat/>
    <w:rsid w:val="00B0348B"/>
    <w:pPr>
      <w:widowControl w:val="0"/>
      <w:overflowPunct w:val="0"/>
      <w:autoSpaceDE w:val="0"/>
      <w:autoSpaceDN w:val="0"/>
      <w:adjustRightInd w:val="0"/>
      <w:spacing w:after="240"/>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B0348B"/>
    <w:rPr>
      <w:rFonts w:ascii="Arial" w:eastAsia="Times New Roman" w:hAnsi="Arial" w:cs="Times New Roman"/>
      <w:b/>
      <w:smallCaps/>
      <w:sz w:val="44"/>
      <w:szCs w:val="20"/>
      <w:lang w:eastAsia="it-IT"/>
    </w:rPr>
  </w:style>
  <w:style w:type="character" w:styleId="Menzionenonrisolta">
    <w:name w:val="Unresolved Mention"/>
    <w:basedOn w:val="Carpredefinitoparagrafo"/>
    <w:uiPriority w:val="99"/>
    <w:semiHidden/>
    <w:unhideWhenUsed/>
    <w:rsid w:val="00EB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49696521">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325134490">
      <w:bodyDiv w:val="1"/>
      <w:marLeft w:val="0"/>
      <w:marRight w:val="0"/>
      <w:marTop w:val="0"/>
      <w:marBottom w:val="0"/>
      <w:divBdr>
        <w:top w:val="none" w:sz="0" w:space="0" w:color="auto"/>
        <w:left w:val="none" w:sz="0" w:space="0" w:color="auto"/>
        <w:bottom w:val="none" w:sz="0" w:space="0" w:color="auto"/>
        <w:right w:val="none" w:sz="0" w:space="0" w:color="auto"/>
      </w:divBdr>
    </w:div>
    <w:div w:id="501287504">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523635046">
      <w:bodyDiv w:val="1"/>
      <w:marLeft w:val="0"/>
      <w:marRight w:val="0"/>
      <w:marTop w:val="0"/>
      <w:marBottom w:val="0"/>
      <w:divBdr>
        <w:top w:val="none" w:sz="0" w:space="0" w:color="auto"/>
        <w:left w:val="none" w:sz="0" w:space="0" w:color="auto"/>
        <w:bottom w:val="none" w:sz="0" w:space="0" w:color="auto"/>
        <w:right w:val="none" w:sz="0" w:space="0" w:color="auto"/>
      </w:divBdr>
    </w:div>
    <w:div w:id="540633332">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6212226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023213981">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44671625">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48631444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623422126">
      <w:bodyDiv w:val="1"/>
      <w:marLeft w:val="0"/>
      <w:marRight w:val="0"/>
      <w:marTop w:val="0"/>
      <w:marBottom w:val="0"/>
      <w:divBdr>
        <w:top w:val="none" w:sz="0" w:space="0" w:color="auto"/>
        <w:left w:val="none" w:sz="0" w:space="0" w:color="auto"/>
        <w:bottom w:val="none" w:sz="0" w:space="0" w:color="auto"/>
        <w:right w:val="none" w:sz="0" w:space="0" w:color="auto"/>
      </w:divBdr>
    </w:div>
    <w:div w:id="1759476615">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08208356">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198758690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0626959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ABC7-3899-4B7E-8E5B-917A7ADA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2</Pages>
  <Words>634</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cp:lastPrinted>2017-11-29T14:32:00Z</cp:lastPrinted>
  <dcterms:created xsi:type="dcterms:W3CDTF">2018-03-07T14:45:00Z</dcterms:created>
  <dcterms:modified xsi:type="dcterms:W3CDTF">2018-03-08T10:14:00Z</dcterms:modified>
</cp:coreProperties>
</file>