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5E4" w:rsidRDefault="00EE65E4" w:rsidP="00EE65E4">
      <w:pPr>
        <w:rPr>
          <w:rFonts w:eastAsia="Times New Roman"/>
          <w:color w:val="000000"/>
          <w:sz w:val="21"/>
          <w:szCs w:val="21"/>
          <w:lang w:eastAsia="it-IT"/>
        </w:rPr>
      </w:pPr>
    </w:p>
    <w:p w:rsidR="00EE65E4" w:rsidRDefault="00EE65E4" w:rsidP="00EE65E4">
      <w:pPr>
        <w:pStyle w:val="cpv"/>
        <w:spacing w:before="0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Comunicato stampa</w:t>
      </w:r>
    </w:p>
    <w:p w:rsidR="00EE65E4" w:rsidRDefault="00EE65E4" w:rsidP="00EE65E4">
      <w:pPr>
        <w:jc w:val="both"/>
        <w:rPr>
          <w:rFonts w:ascii="Calibri" w:hAnsi="Calibri" w:cs="Times New Roman"/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EE65E4" w:rsidRPr="00EE65E4" w:rsidRDefault="00EE65E4" w:rsidP="00EE65E4">
      <w:pPr>
        <w:autoSpaceDE w:val="0"/>
        <w:autoSpaceDN w:val="0"/>
        <w:spacing w:after="100"/>
        <w:jc w:val="both"/>
        <w:rPr>
          <w:color w:val="000000"/>
          <w:sz w:val="26"/>
          <w:szCs w:val="26"/>
        </w:rPr>
      </w:pPr>
      <w:r w:rsidRPr="00EE65E4">
        <w:rPr>
          <w:rFonts w:ascii="Arial" w:hAnsi="Arial" w:cs="Arial"/>
          <w:b/>
          <w:bCs/>
          <w:color w:val="000000"/>
          <w:sz w:val="26"/>
          <w:szCs w:val="26"/>
        </w:rPr>
        <w:t>ENTI LOCALI, COMMERCIALISTI A CORTE DEI CONTI: “PROROGARE I TERMINI DELL’INVIO DEI QUESTIONARI RELATIVI AI BILANCI DI PREVISIONE 2015”</w:t>
      </w:r>
    </w:p>
    <w:p w:rsidR="00EE65E4" w:rsidRDefault="00EE65E4" w:rsidP="00EE65E4">
      <w:pPr>
        <w:autoSpaceDE w:val="0"/>
        <w:autoSpaceDN w:val="0"/>
        <w:spacing w:after="100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Il presidente Longobardi scrive a Squitieri: “Ancora non disponibile la procedura per la trasmissione dei questionari”</w:t>
      </w:r>
    </w:p>
    <w:p w:rsidR="00EE65E4" w:rsidRPr="00082441" w:rsidRDefault="00EE65E4" w:rsidP="00EE65E4">
      <w:pPr>
        <w:autoSpaceDE w:val="0"/>
        <w:autoSpaceDN w:val="0"/>
        <w:spacing w:after="100"/>
        <w:jc w:val="both"/>
        <w:rPr>
          <w:color w:val="000000"/>
          <w:sz w:val="23"/>
          <w:szCs w:val="23"/>
        </w:rPr>
      </w:pPr>
      <w:r w:rsidRPr="00082441">
        <w:rPr>
          <w:rFonts w:ascii="Arial" w:hAnsi="Arial" w:cs="Arial"/>
          <w:i/>
          <w:iCs/>
          <w:color w:val="000000"/>
          <w:sz w:val="23"/>
          <w:szCs w:val="23"/>
        </w:rPr>
        <w:t xml:space="preserve">Roma, 3 marzo 2016 – </w:t>
      </w:r>
      <w:r w:rsidRPr="00082441">
        <w:rPr>
          <w:rFonts w:ascii="Arial" w:hAnsi="Arial" w:cs="Arial"/>
          <w:color w:val="000000"/>
          <w:sz w:val="23"/>
          <w:szCs w:val="23"/>
        </w:rPr>
        <w:t xml:space="preserve">Prorogare il termine per l’invio del questionario relativo al bilancio preventivo 2015, attualmente fissato al 21 marzo. E’ la richiesta avanzata dal presidente del Consiglio nazionale dei commercialisti, </w:t>
      </w:r>
      <w:r w:rsidRPr="00082441">
        <w:rPr>
          <w:rFonts w:ascii="Arial" w:hAnsi="Arial" w:cs="Arial"/>
          <w:b/>
          <w:bCs/>
          <w:color w:val="000000"/>
          <w:sz w:val="23"/>
          <w:szCs w:val="23"/>
        </w:rPr>
        <w:t>Gerardo Longobardi</w:t>
      </w:r>
      <w:r w:rsidRPr="00082441">
        <w:rPr>
          <w:rFonts w:ascii="Arial" w:hAnsi="Arial" w:cs="Arial"/>
          <w:color w:val="000000"/>
          <w:sz w:val="23"/>
          <w:szCs w:val="23"/>
        </w:rPr>
        <w:t xml:space="preserve">, in una lettera inviata al presidente della Corte dei Conti, </w:t>
      </w:r>
      <w:r w:rsidRPr="00082441">
        <w:rPr>
          <w:rFonts w:ascii="Arial" w:hAnsi="Arial" w:cs="Arial"/>
          <w:b/>
          <w:bCs/>
          <w:color w:val="000000"/>
          <w:sz w:val="23"/>
          <w:szCs w:val="23"/>
        </w:rPr>
        <w:t>Raffaele Squitieri</w:t>
      </w:r>
      <w:r w:rsidRPr="00082441">
        <w:rPr>
          <w:rFonts w:ascii="Arial" w:hAnsi="Arial" w:cs="Arial"/>
          <w:color w:val="000000"/>
          <w:sz w:val="23"/>
          <w:szCs w:val="23"/>
        </w:rPr>
        <w:t>,</w:t>
      </w:r>
      <w:r w:rsidRPr="00082441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Pr="00082441">
        <w:rPr>
          <w:rFonts w:ascii="Arial" w:hAnsi="Arial" w:cs="Arial"/>
          <w:color w:val="000000"/>
          <w:sz w:val="23"/>
          <w:szCs w:val="23"/>
        </w:rPr>
        <w:t>nella quale si sottolinea anche come, ad oggi</w:t>
      </w:r>
      <w:r w:rsidRPr="00082441">
        <w:rPr>
          <w:rFonts w:ascii="Arial" w:hAnsi="Arial" w:cs="Arial"/>
          <w:color w:val="000000"/>
          <w:sz w:val="23"/>
          <w:szCs w:val="23"/>
        </w:rPr>
        <w:t xml:space="preserve"> </w:t>
      </w:r>
      <w:r w:rsidRPr="00082441">
        <w:rPr>
          <w:rFonts w:ascii="Arial" w:hAnsi="Arial" w:cs="Arial"/>
          <w:color w:val="000000"/>
          <w:sz w:val="23"/>
          <w:szCs w:val="23"/>
        </w:rPr>
        <w:t xml:space="preserve">non sia stata ancora resa disponibile la procedura per la trasmissione dei questionari. </w:t>
      </w:r>
    </w:p>
    <w:p w:rsidR="00EE65E4" w:rsidRPr="00082441" w:rsidRDefault="00EE65E4" w:rsidP="00EE65E4">
      <w:pPr>
        <w:autoSpaceDE w:val="0"/>
        <w:autoSpaceDN w:val="0"/>
        <w:spacing w:after="100"/>
        <w:jc w:val="both"/>
        <w:rPr>
          <w:color w:val="000000"/>
          <w:sz w:val="23"/>
          <w:szCs w:val="23"/>
        </w:rPr>
      </w:pPr>
      <w:r w:rsidRPr="00082441">
        <w:rPr>
          <w:rFonts w:ascii="Arial" w:hAnsi="Arial" w:cs="Arial"/>
          <w:color w:val="000000"/>
          <w:sz w:val="23"/>
          <w:szCs w:val="23"/>
        </w:rPr>
        <w:t xml:space="preserve">Nella missiva Longobardi, evidenziando “alcune criticità derivanti dagli adempimenti posti a carico degli organi di revisione economico-finanziaria degli enti locali relativi alla trasmissione dei dati del bilancio preventivo 2015”, ricorda come “in attuazione dell’art. 1, commi 166 e ss., della legge 23 dicembre 2005, n. 266 (legge finanziaria 2006), la Sezione delle Autonomie di codesta Corte, con la delibera n. 32/SEZAUT/2015/INPR del </w:t>
      </w:r>
      <w:r w:rsidRPr="00082441">
        <w:rPr>
          <w:rFonts w:ascii="Arial" w:hAnsi="Arial" w:cs="Arial"/>
          <w:b/>
          <w:bCs/>
          <w:color w:val="000000"/>
          <w:sz w:val="23"/>
          <w:szCs w:val="23"/>
        </w:rPr>
        <w:t>30 novembre 2015</w:t>
      </w:r>
      <w:r w:rsidRPr="00082441">
        <w:rPr>
          <w:rFonts w:ascii="Arial" w:hAnsi="Arial" w:cs="Arial"/>
          <w:color w:val="000000"/>
          <w:sz w:val="23"/>
          <w:szCs w:val="23"/>
        </w:rPr>
        <w:t>, ha approvato le “</w:t>
      </w:r>
      <w:r w:rsidRPr="00082441">
        <w:rPr>
          <w:rFonts w:ascii="Arial" w:hAnsi="Arial" w:cs="Arial"/>
          <w:i/>
          <w:iCs/>
          <w:color w:val="000000"/>
          <w:sz w:val="23"/>
          <w:szCs w:val="23"/>
        </w:rPr>
        <w:t>Linee di indirizzo su aspetti significativi dei bilanci preventivi 2015 nel contesto della contabilità armonizzata</w:t>
      </w:r>
      <w:r w:rsidRPr="00082441">
        <w:rPr>
          <w:rFonts w:ascii="Arial" w:hAnsi="Arial" w:cs="Arial"/>
          <w:color w:val="000000"/>
          <w:sz w:val="23"/>
          <w:szCs w:val="23"/>
        </w:rPr>
        <w:t xml:space="preserve">”, pubblicate nella Gazzetta Ufficiale n. 5 del </w:t>
      </w:r>
      <w:r w:rsidRPr="00082441">
        <w:rPr>
          <w:rFonts w:ascii="Arial" w:hAnsi="Arial" w:cs="Arial"/>
          <w:b/>
          <w:bCs/>
          <w:color w:val="000000"/>
          <w:sz w:val="23"/>
          <w:szCs w:val="23"/>
        </w:rPr>
        <w:t>8 gennaio 2016</w:t>
      </w:r>
      <w:r w:rsidRPr="00082441">
        <w:rPr>
          <w:rFonts w:ascii="Arial" w:hAnsi="Arial" w:cs="Arial"/>
          <w:color w:val="000000"/>
          <w:sz w:val="23"/>
          <w:szCs w:val="23"/>
        </w:rPr>
        <w:t>”.</w:t>
      </w:r>
    </w:p>
    <w:p w:rsidR="00EE65E4" w:rsidRPr="00082441" w:rsidRDefault="00EE65E4" w:rsidP="00EE65E4">
      <w:pPr>
        <w:autoSpaceDE w:val="0"/>
        <w:autoSpaceDN w:val="0"/>
        <w:spacing w:after="100"/>
        <w:jc w:val="both"/>
        <w:rPr>
          <w:color w:val="000000"/>
          <w:sz w:val="23"/>
          <w:szCs w:val="23"/>
        </w:rPr>
      </w:pPr>
      <w:r w:rsidRPr="00082441">
        <w:rPr>
          <w:rFonts w:ascii="Arial" w:hAnsi="Arial" w:cs="Arial"/>
          <w:color w:val="000000"/>
          <w:sz w:val="23"/>
          <w:szCs w:val="23"/>
        </w:rPr>
        <w:t xml:space="preserve">“Successivamente – scrive ancora Longobardi - con una comunicazione pubblicata sul sistema </w:t>
      </w:r>
      <w:proofErr w:type="spellStart"/>
      <w:r w:rsidRPr="00082441">
        <w:rPr>
          <w:rFonts w:ascii="Arial" w:hAnsi="Arial" w:cs="Arial"/>
          <w:color w:val="000000"/>
          <w:sz w:val="23"/>
          <w:szCs w:val="23"/>
        </w:rPr>
        <w:t>SI.Qu.E.L</w:t>
      </w:r>
      <w:proofErr w:type="spellEnd"/>
      <w:r w:rsidRPr="00082441">
        <w:rPr>
          <w:rFonts w:ascii="Arial" w:hAnsi="Arial" w:cs="Arial"/>
          <w:color w:val="000000"/>
          <w:sz w:val="23"/>
          <w:szCs w:val="23"/>
        </w:rPr>
        <w:t xml:space="preserve">.(Sistema Informativo Questionari Enti Locali) si richiedeva di provvedere, mediante la sopracitata piattaforma, all’inserimento dei dati relativi ai bilanci di previsione 2015 </w:t>
      </w:r>
      <w:r w:rsidRPr="00082441">
        <w:rPr>
          <w:rFonts w:ascii="Arial" w:hAnsi="Arial" w:cs="Arial"/>
          <w:b/>
          <w:bCs/>
          <w:color w:val="000000"/>
          <w:sz w:val="23"/>
          <w:szCs w:val="23"/>
        </w:rPr>
        <w:t>entro il 21 marzo 2016”</w:t>
      </w:r>
      <w:r w:rsidRPr="00082441">
        <w:rPr>
          <w:rFonts w:ascii="Arial" w:hAnsi="Arial" w:cs="Arial"/>
          <w:color w:val="000000"/>
          <w:sz w:val="23"/>
          <w:szCs w:val="23"/>
        </w:rPr>
        <w:t xml:space="preserve">.  A ciò si aggiunge che “allo stato attuale non è stata ancora resa disponibile la procedura per la trasmissione dei questionari relativi al bilancio preventivo 2015. Tali formulari, infatti, sono disponibili sulla piattaforma informatica, in formato </w:t>
      </w:r>
      <w:proofErr w:type="spellStart"/>
      <w:r w:rsidRPr="00082441">
        <w:rPr>
          <w:rFonts w:ascii="Arial" w:hAnsi="Arial" w:cs="Arial"/>
          <w:color w:val="000000"/>
          <w:sz w:val="23"/>
          <w:szCs w:val="23"/>
        </w:rPr>
        <w:t>excel</w:t>
      </w:r>
      <w:proofErr w:type="spellEnd"/>
      <w:r w:rsidRPr="00082441">
        <w:rPr>
          <w:rFonts w:ascii="Arial" w:hAnsi="Arial" w:cs="Arial"/>
          <w:color w:val="000000"/>
          <w:sz w:val="23"/>
          <w:szCs w:val="23"/>
        </w:rPr>
        <w:t xml:space="preserve"> esportabile, ma, una volta compilati, non possono, di fatto, essere trasmessi”. </w:t>
      </w:r>
    </w:p>
    <w:p w:rsidR="00EE65E4" w:rsidRPr="00082441" w:rsidRDefault="00EE65E4" w:rsidP="00EE65E4">
      <w:pPr>
        <w:autoSpaceDE w:val="0"/>
        <w:autoSpaceDN w:val="0"/>
        <w:spacing w:after="100"/>
        <w:jc w:val="both"/>
        <w:rPr>
          <w:color w:val="000000"/>
          <w:sz w:val="23"/>
          <w:szCs w:val="23"/>
        </w:rPr>
      </w:pPr>
      <w:r w:rsidRPr="00082441">
        <w:rPr>
          <w:rFonts w:ascii="Arial" w:hAnsi="Arial" w:cs="Arial"/>
          <w:color w:val="000000"/>
          <w:sz w:val="23"/>
          <w:szCs w:val="23"/>
        </w:rPr>
        <w:t xml:space="preserve">“Considerato, dunque, che tale termine non consente di provvedere adeguatamente all’adempimento degli obblighi di comunicazione richiesti dalla legge anche alla luce delle problematiche legate all’utilizzo della piattaforma </w:t>
      </w:r>
      <w:proofErr w:type="spellStart"/>
      <w:r w:rsidRPr="00082441">
        <w:rPr>
          <w:rFonts w:ascii="Arial" w:hAnsi="Arial" w:cs="Arial"/>
          <w:color w:val="000000"/>
          <w:sz w:val="23"/>
          <w:szCs w:val="23"/>
        </w:rPr>
        <w:t>SI.Qu.E.L</w:t>
      </w:r>
      <w:proofErr w:type="spellEnd"/>
      <w:r w:rsidRPr="00082441">
        <w:rPr>
          <w:rFonts w:ascii="Arial" w:hAnsi="Arial" w:cs="Arial"/>
          <w:color w:val="000000"/>
          <w:sz w:val="23"/>
          <w:szCs w:val="23"/>
        </w:rPr>
        <w:t>, questo Consiglio Nazionale – conclude Longobardi -  chiede che si valuti l’opportunità di prorogare il termine del 21 marzo 2016”.</w:t>
      </w:r>
    </w:p>
    <w:p w:rsidR="00EE65E4" w:rsidRPr="00082441" w:rsidRDefault="00EE65E4" w:rsidP="00EE65E4">
      <w:pPr>
        <w:jc w:val="both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082441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“</w:t>
      </w:r>
      <w:r w:rsidRPr="00082441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Andrebbe comunque aperta una riflessione - osserva il Vice Presidente </w:t>
      </w:r>
      <w:r w:rsidRPr="00082441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della categoria, </w:t>
      </w:r>
      <w:r w:rsidRPr="00082441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Davide di Russo – sulla concreta utilità dell'adempimento richiesto</w:t>
      </w:r>
      <w:r w:rsidRPr="00082441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</w:t>
      </w:r>
      <w:r w:rsidRPr="00082441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in sé</w:t>
      </w:r>
      <w:r w:rsidRPr="00082441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. In un quadro in cui, come tutti  concordano, </w:t>
      </w:r>
      <w:r w:rsidRPr="00082441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l'imperativo è semplificare, si caricano i revisori degli enti locali e la stessa Corte dei conti dell'ennesim</w:t>
      </w:r>
      <w:r w:rsidRPr="00082441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a</w:t>
      </w:r>
      <w:r w:rsidRPr="00082441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incomben</w:t>
      </w:r>
      <w:r w:rsidRPr="00082441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za</w:t>
      </w:r>
      <w:r w:rsidRPr="00082441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, richiedendo la trasmissione di dati che sono già in gran parte resi disponibili presso il Ministero dell'interno</w:t>
      </w:r>
      <w:r w:rsidRPr="00082441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”  “</w:t>
      </w:r>
      <w:r w:rsidRPr="00082441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Inoltre</w:t>
      </w:r>
      <w:r w:rsidRPr="00082441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– prosegue Di Russo - </w:t>
      </w:r>
      <w:r w:rsidRPr="00082441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si fatica a comprendere </w:t>
      </w:r>
      <w:r w:rsidRPr="00082441">
        <w:rPr>
          <w:rStyle w:val="apple-style-span"/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l'utilità - </w:t>
      </w:r>
      <w:bookmarkStart w:id="0" w:name="_GoBack"/>
      <w:bookmarkEnd w:id="0"/>
      <w:r w:rsidRPr="00082441">
        <w:rPr>
          <w:rStyle w:val="apple-style-span"/>
          <w:rFonts w:ascii="Arial" w:eastAsia="Times New Roman" w:hAnsi="Arial" w:cs="Arial"/>
          <w:color w:val="000000"/>
          <w:sz w:val="23"/>
          <w:szCs w:val="23"/>
          <w:lang w:eastAsia="it-IT"/>
        </w:rPr>
        <w:t>al di là delle esigenze di archivio - di demandare alla Corte la raccolta dei dati del bilancio preventivo 2015 a esercizio ormai chiuso, con impossibilità quindi di recepire le even</w:t>
      </w:r>
      <w:r w:rsidRPr="00082441">
        <w:rPr>
          <w:rStyle w:val="apple-style-span"/>
          <w:rFonts w:ascii="Arial" w:eastAsia="Times New Roman" w:hAnsi="Arial" w:cs="Arial"/>
          <w:color w:val="000000"/>
          <w:sz w:val="23"/>
          <w:szCs w:val="23"/>
          <w:lang w:eastAsia="it-IT"/>
        </w:rPr>
        <w:t>tuali segnalazioni della Corte. T</w:t>
      </w:r>
      <w:r w:rsidRPr="00082441">
        <w:rPr>
          <w:rStyle w:val="apple-style-span"/>
          <w:rFonts w:ascii="Arial" w:eastAsia="Times New Roman" w:hAnsi="Arial" w:cs="Arial"/>
          <w:color w:val="000000"/>
          <w:sz w:val="23"/>
          <w:szCs w:val="23"/>
          <w:lang w:eastAsia="it-IT"/>
        </w:rPr>
        <w:t>anto più che la Corte a breve andrà a disporre di dati più significativi chiedendo la trasmissione di quelli relativi al rendiconto 2015 e al preventivo 2016, di prossima approvazione</w:t>
      </w:r>
      <w:r w:rsidRPr="00082441">
        <w:rPr>
          <w:rStyle w:val="apple-style-span"/>
          <w:rFonts w:ascii="Arial" w:eastAsia="Times New Roman" w:hAnsi="Arial" w:cs="Arial"/>
          <w:color w:val="000000"/>
          <w:sz w:val="23"/>
          <w:szCs w:val="23"/>
          <w:lang w:eastAsia="it-IT"/>
        </w:rPr>
        <w:t>”</w:t>
      </w:r>
      <w:r w:rsidRPr="00082441">
        <w:rPr>
          <w:rStyle w:val="apple-style-span"/>
          <w:rFonts w:ascii="Arial" w:eastAsia="Times New Roman" w:hAnsi="Arial" w:cs="Arial"/>
          <w:color w:val="000000"/>
          <w:sz w:val="23"/>
          <w:szCs w:val="23"/>
          <w:lang w:eastAsia="it-IT"/>
        </w:rPr>
        <w:t>.</w:t>
      </w:r>
    </w:p>
    <w:p w:rsidR="00587BF1" w:rsidRPr="00F25549" w:rsidRDefault="00587BF1" w:rsidP="000B2E11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587BF1" w:rsidRPr="00F255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0F6" w:rsidRDefault="008A40F6" w:rsidP="0078332C">
      <w:r>
        <w:separator/>
      </w:r>
    </w:p>
  </w:endnote>
  <w:endnote w:type="continuationSeparator" w:id="0">
    <w:p w:rsidR="008A40F6" w:rsidRDefault="008A40F6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ItcCentury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5F" w:rsidRDefault="00A8475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5F" w:rsidRDefault="00A8475F" w:rsidP="00A8475F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Ufficio stampa Consiglio nazionale dei commercialisti</w:t>
    </w:r>
  </w:p>
  <w:p w:rsidR="00A8475F" w:rsidRDefault="00A8475F" w:rsidP="00A8475F">
    <w:pPr>
      <w:rPr>
        <w:sz w:val="20"/>
        <w:szCs w:val="20"/>
      </w:rPr>
    </w:pPr>
    <w:r>
      <w:rPr>
        <w:rFonts w:ascii="Arial" w:hAnsi="Arial" w:cs="Arial"/>
        <w:sz w:val="20"/>
        <w:szCs w:val="20"/>
      </w:rPr>
      <w:t>Mauro Parracino</w:t>
    </w:r>
  </w:p>
  <w:p w:rsidR="00A8475F" w:rsidRDefault="00A8475F" w:rsidP="00A8475F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parracino@commercialisti.it</w:t>
    </w:r>
  </w:p>
  <w:p w:rsidR="00A8475F" w:rsidRDefault="00A8475F" w:rsidP="00A8475F">
    <w:pPr>
      <w:pStyle w:val="Firmadipostaelettronic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06.47863627</w:t>
    </w:r>
  </w:p>
  <w:p w:rsidR="0078332C" w:rsidRDefault="0078332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5F" w:rsidRDefault="00A8475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0F6" w:rsidRDefault="008A40F6" w:rsidP="0078332C">
      <w:r>
        <w:separator/>
      </w:r>
    </w:p>
  </w:footnote>
  <w:footnote w:type="continuationSeparator" w:id="0">
    <w:p w:rsidR="008A40F6" w:rsidRDefault="008A40F6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5F" w:rsidRDefault="00A8475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161540C2" wp14:editId="2CED0578">
          <wp:extent cx="6120130" cy="967713"/>
          <wp:effectExtent l="0" t="0" r="0" b="4445"/>
          <wp:docPr id="9" name="Immagine 9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5F" w:rsidRDefault="00A8475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35"/>
    <w:rsid w:val="000329A4"/>
    <w:rsid w:val="0006018A"/>
    <w:rsid w:val="00082441"/>
    <w:rsid w:val="000B2E11"/>
    <w:rsid w:val="000C19B1"/>
    <w:rsid w:val="00103B90"/>
    <w:rsid w:val="00121C2D"/>
    <w:rsid w:val="0012370B"/>
    <w:rsid w:val="0015772D"/>
    <w:rsid w:val="00191BB6"/>
    <w:rsid w:val="001C7D62"/>
    <w:rsid w:val="001C7E5F"/>
    <w:rsid w:val="001D1ADA"/>
    <w:rsid w:val="001F538E"/>
    <w:rsid w:val="002A1399"/>
    <w:rsid w:val="002A7FD0"/>
    <w:rsid w:val="002B033F"/>
    <w:rsid w:val="002D2034"/>
    <w:rsid w:val="002E5779"/>
    <w:rsid w:val="00305148"/>
    <w:rsid w:val="00332874"/>
    <w:rsid w:val="003349F2"/>
    <w:rsid w:val="003A7B1F"/>
    <w:rsid w:val="003D0BF2"/>
    <w:rsid w:val="003E0F52"/>
    <w:rsid w:val="003F6088"/>
    <w:rsid w:val="00477C67"/>
    <w:rsid w:val="00497FD8"/>
    <w:rsid w:val="004B2695"/>
    <w:rsid w:val="00543860"/>
    <w:rsid w:val="00555885"/>
    <w:rsid w:val="0058002D"/>
    <w:rsid w:val="005816F1"/>
    <w:rsid w:val="00587BF1"/>
    <w:rsid w:val="00590F83"/>
    <w:rsid w:val="005A5486"/>
    <w:rsid w:val="005F0C58"/>
    <w:rsid w:val="005F5B57"/>
    <w:rsid w:val="006273CC"/>
    <w:rsid w:val="00641C3C"/>
    <w:rsid w:val="00677A10"/>
    <w:rsid w:val="006A51DF"/>
    <w:rsid w:val="006E5C44"/>
    <w:rsid w:val="007114F1"/>
    <w:rsid w:val="00764D9D"/>
    <w:rsid w:val="00782159"/>
    <w:rsid w:val="0078332C"/>
    <w:rsid w:val="007B47B4"/>
    <w:rsid w:val="007C14B1"/>
    <w:rsid w:val="007E25D0"/>
    <w:rsid w:val="00834CCF"/>
    <w:rsid w:val="00892C1F"/>
    <w:rsid w:val="008A40F6"/>
    <w:rsid w:val="008D69D8"/>
    <w:rsid w:val="00975B3D"/>
    <w:rsid w:val="00986756"/>
    <w:rsid w:val="009A32AD"/>
    <w:rsid w:val="009E727C"/>
    <w:rsid w:val="00A07FB9"/>
    <w:rsid w:val="00A12594"/>
    <w:rsid w:val="00A26406"/>
    <w:rsid w:val="00A34135"/>
    <w:rsid w:val="00A47FEA"/>
    <w:rsid w:val="00A837E6"/>
    <w:rsid w:val="00A8475F"/>
    <w:rsid w:val="00AA7145"/>
    <w:rsid w:val="00AE0EB1"/>
    <w:rsid w:val="00AE3DBA"/>
    <w:rsid w:val="00AF3B8B"/>
    <w:rsid w:val="00B01322"/>
    <w:rsid w:val="00B02EEF"/>
    <w:rsid w:val="00B14747"/>
    <w:rsid w:val="00B15C1E"/>
    <w:rsid w:val="00B94339"/>
    <w:rsid w:val="00BD0510"/>
    <w:rsid w:val="00C342D6"/>
    <w:rsid w:val="00C528AF"/>
    <w:rsid w:val="00C92F98"/>
    <w:rsid w:val="00CB51DE"/>
    <w:rsid w:val="00CF5AAB"/>
    <w:rsid w:val="00D0565B"/>
    <w:rsid w:val="00D36928"/>
    <w:rsid w:val="00D90AEE"/>
    <w:rsid w:val="00E018F4"/>
    <w:rsid w:val="00E83254"/>
    <w:rsid w:val="00ED2BA2"/>
    <w:rsid w:val="00ED7E04"/>
    <w:rsid w:val="00EE65E4"/>
    <w:rsid w:val="00F046F8"/>
    <w:rsid w:val="00F14F90"/>
    <w:rsid w:val="00F25549"/>
    <w:rsid w:val="00F601CB"/>
    <w:rsid w:val="00F60246"/>
    <w:rsid w:val="00F7125B"/>
    <w:rsid w:val="00FC274B"/>
    <w:rsid w:val="00FC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D09AC2-497A-4FBC-ABF2-BE5859A1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91BB6"/>
    <w:rPr>
      <w:rFonts w:ascii="Calibri" w:hAnsi="Calibri" w:cs="Consolas"/>
      <w:szCs w:val="21"/>
    </w:rPr>
  </w:style>
  <w:style w:type="paragraph" w:customStyle="1" w:styleId="cpv">
    <w:name w:val="cpv"/>
    <w:uiPriority w:val="99"/>
    <w:rsid w:val="00A26406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6406"/>
    <w:rPr>
      <w:color w:val="0563C1" w:themeColor="hyperlink"/>
      <w:u w:val="single"/>
    </w:rPr>
  </w:style>
  <w:style w:type="paragraph" w:customStyle="1" w:styleId="s4">
    <w:name w:val="s4"/>
    <w:basedOn w:val="Normale"/>
    <w:rsid w:val="001F538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bumpedfont15">
    <w:name w:val="bumpedfont15"/>
    <w:basedOn w:val="Carpredefinitoparagrafo"/>
    <w:rsid w:val="001F538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5C1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5C1E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Carpredefinitoparagrafo"/>
    <w:rsid w:val="00EE6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Parracino Mauro</cp:lastModifiedBy>
  <cp:revision>3</cp:revision>
  <cp:lastPrinted>2016-02-29T09:31:00Z</cp:lastPrinted>
  <dcterms:created xsi:type="dcterms:W3CDTF">2016-03-03T11:10:00Z</dcterms:created>
  <dcterms:modified xsi:type="dcterms:W3CDTF">2016-03-03T11:53:00Z</dcterms:modified>
</cp:coreProperties>
</file>