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4A" w:rsidRPr="003830B2" w:rsidRDefault="00D6094A" w:rsidP="00D6094A">
      <w:pPr>
        <w:rPr>
          <w:b/>
          <w:sz w:val="28"/>
          <w:szCs w:val="28"/>
        </w:rPr>
      </w:pPr>
      <w:bookmarkStart w:id="0" w:name="Allegato3"/>
      <w:r>
        <w:rPr>
          <w:b/>
          <w:sz w:val="28"/>
          <w:szCs w:val="28"/>
        </w:rPr>
        <w:t>ALLEGATO 3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6"/>
        <w:gridCol w:w="4812"/>
      </w:tblGrid>
      <w:tr w:rsidR="00A428C3" w:rsidRPr="002125D7" w:rsidTr="00D6094A">
        <w:tc>
          <w:tcPr>
            <w:tcW w:w="4816" w:type="dxa"/>
          </w:tcPr>
          <w:bookmarkEnd w:id="0"/>
          <w:p w:rsidR="00A428C3" w:rsidRPr="00D6094A" w:rsidRDefault="00A428C3" w:rsidP="00950227">
            <w:pPr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SOCIETA’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rPr>
                <w:sz w:val="24"/>
                <w:szCs w:val="20"/>
              </w:rPr>
            </w:pP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BILANCIO DI ESERCIZIO AL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rPr>
                <w:sz w:val="24"/>
                <w:szCs w:val="20"/>
              </w:rPr>
            </w:pP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FASE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rPr>
                <w:color w:val="FF0000"/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Verifica regolare tenuta contabilità sociale</w:t>
            </w: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CARTA DI LAVORO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VP-1</w:t>
            </w: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PREPARATO DA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 xml:space="preserve">DATA 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spacing w:after="200" w:line="276" w:lineRule="auto"/>
              <w:rPr>
                <w:color w:val="FF0000"/>
                <w:sz w:val="24"/>
                <w:szCs w:val="20"/>
              </w:rPr>
            </w:pP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>RIVISTO DA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spacing w:after="200" w:line="276" w:lineRule="auto"/>
              <w:rPr>
                <w:color w:val="FF0000"/>
                <w:sz w:val="24"/>
                <w:szCs w:val="20"/>
              </w:rPr>
            </w:pPr>
          </w:p>
        </w:tc>
      </w:tr>
      <w:tr w:rsidR="00A428C3" w:rsidRPr="002125D7" w:rsidTr="00D6094A">
        <w:tc>
          <w:tcPr>
            <w:tcW w:w="4816" w:type="dxa"/>
          </w:tcPr>
          <w:p w:rsidR="00A428C3" w:rsidRPr="00D6094A" w:rsidRDefault="00A428C3" w:rsidP="00950227">
            <w:pPr>
              <w:spacing w:after="200" w:line="276" w:lineRule="auto"/>
              <w:rPr>
                <w:sz w:val="24"/>
                <w:szCs w:val="20"/>
              </w:rPr>
            </w:pPr>
            <w:r w:rsidRPr="00D6094A">
              <w:rPr>
                <w:sz w:val="24"/>
                <w:szCs w:val="20"/>
              </w:rPr>
              <w:t xml:space="preserve">DATA </w:t>
            </w:r>
          </w:p>
        </w:tc>
        <w:tc>
          <w:tcPr>
            <w:tcW w:w="4812" w:type="dxa"/>
          </w:tcPr>
          <w:p w:rsidR="00A428C3" w:rsidRPr="00D6094A" w:rsidRDefault="00A428C3" w:rsidP="00950227">
            <w:pPr>
              <w:spacing w:after="200" w:line="276" w:lineRule="auto"/>
              <w:rPr>
                <w:color w:val="FF0000"/>
                <w:sz w:val="24"/>
                <w:szCs w:val="20"/>
              </w:rPr>
            </w:pPr>
          </w:p>
        </w:tc>
      </w:tr>
      <w:tr w:rsidR="00A428C3" w:rsidRPr="002125D7" w:rsidTr="00D6094A">
        <w:tc>
          <w:tcPr>
            <w:tcW w:w="9628" w:type="dxa"/>
            <w:gridSpan w:val="2"/>
          </w:tcPr>
          <w:p w:rsidR="00A428C3" w:rsidRPr="00D6094A" w:rsidRDefault="00A428C3" w:rsidP="00950227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6094A">
              <w:rPr>
                <w:b/>
                <w:sz w:val="24"/>
                <w:szCs w:val="24"/>
              </w:rPr>
              <w:t>PROGRAMMA DI LAVORO DELLE VERIFICHE PERIODICHE</w:t>
            </w:r>
          </w:p>
        </w:tc>
      </w:tr>
    </w:tbl>
    <w:p w:rsidR="00A428C3" w:rsidRPr="002125D7" w:rsidRDefault="00A428C3" w:rsidP="00A428C3">
      <w:pPr>
        <w:spacing w:after="0" w:line="240" w:lineRule="auto"/>
        <w:rPr>
          <w:sz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0"/>
        <w:gridCol w:w="4306"/>
        <w:gridCol w:w="3852"/>
        <w:gridCol w:w="940"/>
      </w:tblGrid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jc w:val="center"/>
              <w:rPr>
                <w:b/>
                <w:szCs w:val="16"/>
              </w:rPr>
            </w:pPr>
            <w:r w:rsidRPr="002125D7">
              <w:rPr>
                <w:b/>
                <w:szCs w:val="16"/>
              </w:rPr>
              <w:t>N.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center"/>
              <w:rPr>
                <w:b/>
                <w:szCs w:val="16"/>
              </w:rPr>
            </w:pPr>
            <w:r w:rsidRPr="002125D7">
              <w:rPr>
                <w:b/>
                <w:szCs w:val="16"/>
              </w:rPr>
              <w:t>DESCRIZIONE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jc w:val="center"/>
              <w:rPr>
                <w:b/>
                <w:szCs w:val="16"/>
              </w:rPr>
            </w:pPr>
            <w:r w:rsidRPr="002125D7">
              <w:rPr>
                <w:b/>
                <w:szCs w:val="16"/>
              </w:rPr>
              <w:t>NOTE E COMMENTI</w:t>
            </w: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jc w:val="center"/>
              <w:rPr>
                <w:b/>
                <w:szCs w:val="16"/>
              </w:rPr>
            </w:pPr>
            <w:r w:rsidRPr="002125D7">
              <w:rPr>
                <w:b/>
                <w:szCs w:val="16"/>
              </w:rPr>
              <w:t>RIF.</w:t>
            </w: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1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Individuare la periodicità delle verifiche tenendo conto dei seguenti elementi:</w:t>
            </w:r>
          </w:p>
          <w:p w:rsidR="00A428C3" w:rsidRPr="002125D7" w:rsidRDefault="00A428C3" w:rsidP="00A428C3">
            <w:pPr>
              <w:pStyle w:val="Paragrafoelenco"/>
              <w:numPr>
                <w:ilvl w:val="1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Settore di attività della società;</w:t>
            </w:r>
          </w:p>
          <w:p w:rsidR="00A428C3" w:rsidRPr="002125D7" w:rsidRDefault="00A428C3" w:rsidP="00A428C3">
            <w:pPr>
              <w:pStyle w:val="Paragrafoelenco"/>
              <w:numPr>
                <w:ilvl w:val="1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Complessità organizzativa;</w:t>
            </w:r>
          </w:p>
          <w:p w:rsidR="00A428C3" w:rsidRPr="002125D7" w:rsidRDefault="00A428C3" w:rsidP="00A428C3">
            <w:pPr>
              <w:pStyle w:val="Paragrafoelenco"/>
              <w:numPr>
                <w:ilvl w:val="1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Numerosità e frammentazione delle operazioni svolte;</w:t>
            </w:r>
          </w:p>
          <w:p w:rsidR="00A428C3" w:rsidRPr="002125D7" w:rsidRDefault="00A428C3" w:rsidP="00A428C3">
            <w:pPr>
              <w:pStyle w:val="Paragrafoelenco"/>
              <w:numPr>
                <w:ilvl w:val="1"/>
                <w:numId w:val="8"/>
              </w:numPr>
              <w:spacing w:after="200"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risultati delle precedenti verifiche e eventuale riscontro di carenze procedurali nella tenuta della contabilità sociale, di non conformità nell’esecuzione degli adempimenti o eventuali errori nelle scritture contabili.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2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Nel caso di prima verifica periodica, controllare i risultati dell’ultima verifica periodica svolta dal precedente revisore.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3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Individuare le persone incaricate dalla società dell’istituzione e dell’aggiornamento dei libri</w:t>
            </w:r>
            <w:r w:rsidR="001349D7">
              <w:rPr>
                <w:szCs w:val="16"/>
              </w:rPr>
              <w:t>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4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Acquisire informazioni sulle procedure adottate dalla società per: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individuare i libri obbligatori da tenere richiesti dalla normativa civilistica, fiscale, previdenziale e da eventuali leggi speciali, rilevanti per una regolare tenuta della contabilità;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introdurre nuovi libri obbligatori richiesti per la particolare tipologia di società;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eastAsia="Times New Roman" w:hAnsiTheme="minorHAnsi"/>
                <w:b/>
                <w:szCs w:val="16"/>
                <w:lang w:eastAsia="it-IT"/>
              </w:rPr>
            </w:pPr>
            <w:r w:rsidRPr="002125D7">
              <w:rPr>
                <w:rFonts w:asciiTheme="minorHAnsi" w:hAnsiTheme="minorHAnsi"/>
                <w:szCs w:val="16"/>
              </w:rPr>
              <w:t>assicurare la tempestiva e regolare vidimazione e bollatura dei libri obbligatori, ove applicabile.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5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 xml:space="preserve">Verificare su base campionaria l’esistenza dei libri e laddove richiesta per legge, l’esistenza e la tempestività della vidimazione dei: </w:t>
            </w:r>
          </w:p>
          <w:p w:rsidR="00A428C3" w:rsidRPr="002125D7" w:rsidRDefault="00A428C3" w:rsidP="00A428C3">
            <w:pPr>
              <w:pStyle w:val="Paragrafoelenco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libri obbligatori richiesti dalla normativa civilistica;</w:t>
            </w:r>
          </w:p>
          <w:p w:rsidR="00A428C3" w:rsidRPr="002125D7" w:rsidRDefault="00A428C3" w:rsidP="00A428C3">
            <w:pPr>
              <w:pStyle w:val="Paragrafoelenco"/>
              <w:numPr>
                <w:ilvl w:val="0"/>
                <w:numId w:val="9"/>
              </w:numPr>
              <w:spacing w:after="200" w:line="276" w:lineRule="auto"/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libri obbligatori richiesti dalla normativa fiscale;</w:t>
            </w:r>
          </w:p>
          <w:p w:rsidR="00A428C3" w:rsidRPr="002125D7" w:rsidRDefault="00A428C3" w:rsidP="00A428C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Theme="minorHAnsi" w:eastAsia="Times New Roman" w:hAnsiTheme="minorHAnsi"/>
                <w:b/>
                <w:szCs w:val="16"/>
                <w:lang w:eastAsia="it-IT"/>
              </w:rPr>
            </w:pPr>
            <w:r w:rsidRPr="002125D7">
              <w:rPr>
                <w:rFonts w:asciiTheme="minorHAnsi" w:hAnsiTheme="minorHAnsi"/>
                <w:szCs w:val="16"/>
              </w:rPr>
              <w:t>libri obbligatori richiesti dalla normativa previdenziale;</w:t>
            </w:r>
          </w:p>
          <w:p w:rsidR="00A428C3" w:rsidRPr="002125D7" w:rsidRDefault="00A428C3" w:rsidP="00A428C3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Theme="minorHAnsi" w:eastAsia="Times New Roman" w:hAnsiTheme="minorHAnsi"/>
                <w:b/>
                <w:szCs w:val="16"/>
                <w:lang w:eastAsia="it-IT"/>
              </w:rPr>
            </w:pPr>
            <w:r w:rsidRPr="002125D7">
              <w:rPr>
                <w:rFonts w:asciiTheme="minorHAnsi" w:hAnsiTheme="minorHAnsi"/>
                <w:szCs w:val="16"/>
              </w:rPr>
              <w:t>libri obbligatori richiesti da eventuali leggi speciali.</w:t>
            </w:r>
          </w:p>
          <w:p w:rsidR="00A428C3" w:rsidRPr="002125D7" w:rsidRDefault="00A428C3" w:rsidP="00950227">
            <w:pPr>
              <w:keepNext/>
              <w:tabs>
                <w:tab w:val="right" w:pos="8560"/>
              </w:tabs>
              <w:spacing w:before="130"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Verificare su base campionaria la tempestività di aggiornamento dei libri obbligatori</w:t>
            </w:r>
            <w:r w:rsidR="001349D7">
              <w:rPr>
                <w:szCs w:val="16"/>
              </w:rPr>
              <w:t>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6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Documentare in un memorandum le informazioni acquisite. Nelle verifiche successive confermare o aggiornare tali informazioni.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7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Acquisire informazioni sulle procedure adottate dalla società per assicurare l’osservanza degli adempimenti fiscali e contributivi, rilevanti per le finalità di una regolare tenuta della contabilità.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8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Documentare in un memorandum le informazioni acquisite. Nelle verifiche successive confermare o aggiornare tali informazioni.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keepNext/>
              <w:tabs>
                <w:tab w:val="right" w:pos="8560"/>
              </w:tabs>
              <w:spacing w:before="130"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9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Verificare, su base campionaria, l’esecuzione degli adempimenti fiscali e previdenziali richiesti dalla normativa di riferimento, attraverso l’esame della documentazione pertinente e delle relative registrazioni.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10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tabs>
                <w:tab w:val="left" w:pos="437"/>
              </w:tabs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 xml:space="preserve">Effettuare colloqui con la direzione, i responsabili delle attività di governance, gli organi di controllo sulle procedure adottate e i loro cambiamenti a seguito di variazioni del quadro normativo. 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11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tabs>
                <w:tab w:val="left" w:pos="437"/>
              </w:tabs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 xml:space="preserve">Ottenere una situazione contabile successiva alla precedente verifica periodica svolta e </w:t>
            </w:r>
            <w:r w:rsidRPr="002125D7">
              <w:rPr>
                <w:szCs w:val="16"/>
              </w:rPr>
              <w:lastRenderedPageBreak/>
              <w:t>procedere a effettuare un’analisi comparativa.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lastRenderedPageBreak/>
              <w:t>12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Verificare la sistemazione di quanto riscontrato nel corso delle verifiche periodiche precedenti con riferimento a: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carenze nelle procedure adottate dall’impresa per la regolare tenuta della contabilità sociale;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non conformità nell’esecuzione degli adempimenti richiesti dalla normativa di riferimento;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errori nelle scritture contabili.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13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Analizzare e documentare in un memorandum i risultati della verifica periodica con riferimento ai seguenti aspetti: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carenze nelle procedure adottate dall’impresa per la regolare tenuta della contabilità sociale;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non conformità nell’esecuzione degli adempimenti richiesti dalla normativa di riferimento;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errori nelle scritture contabili;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14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spacing w:after="200" w:line="276" w:lineRule="auto"/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Documentare in un memorandum le valutazioni effettuate sugli elementi informativi acquisiti ai fini: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bookmarkStart w:id="1" w:name="_GoBack"/>
            <w:bookmarkEnd w:id="1"/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>dei possibili effetti sull’attività di revisione del bilancio;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  <w:tc>
          <w:tcPr>
            <w:tcW w:w="4393" w:type="dxa"/>
          </w:tcPr>
          <w:p w:rsidR="00A428C3" w:rsidRPr="002125D7" w:rsidRDefault="00A428C3" w:rsidP="00A428C3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Theme="minorHAnsi" w:hAnsiTheme="minorHAnsi"/>
                <w:szCs w:val="16"/>
              </w:rPr>
            </w:pPr>
            <w:r w:rsidRPr="002125D7">
              <w:rPr>
                <w:rFonts w:asciiTheme="minorHAnsi" w:hAnsiTheme="minorHAnsi"/>
                <w:szCs w:val="16"/>
              </w:rPr>
              <w:t xml:space="preserve">delle comunicazioni ai responsabili delle attività di </w:t>
            </w:r>
            <w:r w:rsidRPr="002125D7">
              <w:rPr>
                <w:rFonts w:asciiTheme="minorHAnsi" w:hAnsiTheme="minorHAnsi"/>
                <w:i/>
                <w:szCs w:val="16"/>
              </w:rPr>
              <w:t>governance</w:t>
            </w:r>
            <w:r w:rsidRPr="002125D7">
              <w:rPr>
                <w:rFonts w:asciiTheme="minorHAnsi" w:hAnsiTheme="minorHAnsi"/>
                <w:szCs w:val="16"/>
              </w:rPr>
              <w:t>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</w:p>
        </w:tc>
      </w:tr>
      <w:tr w:rsidR="00A428C3" w:rsidRPr="002125D7" w:rsidTr="00950227">
        <w:tc>
          <w:tcPr>
            <w:tcW w:w="534" w:type="dxa"/>
          </w:tcPr>
          <w:p w:rsidR="00A428C3" w:rsidRPr="002125D7" w:rsidRDefault="00A428C3" w:rsidP="00950227">
            <w:pPr>
              <w:spacing w:after="200" w:line="276" w:lineRule="auto"/>
              <w:rPr>
                <w:szCs w:val="16"/>
              </w:rPr>
            </w:pPr>
            <w:r w:rsidRPr="002125D7">
              <w:rPr>
                <w:szCs w:val="16"/>
              </w:rPr>
              <w:t>15</w:t>
            </w:r>
          </w:p>
        </w:tc>
        <w:tc>
          <w:tcPr>
            <w:tcW w:w="4393" w:type="dxa"/>
          </w:tcPr>
          <w:p w:rsidR="00A428C3" w:rsidRPr="002125D7" w:rsidRDefault="00A428C3" w:rsidP="00950227">
            <w:pPr>
              <w:jc w:val="both"/>
              <w:rPr>
                <w:szCs w:val="16"/>
              </w:rPr>
            </w:pPr>
            <w:r w:rsidRPr="002125D7">
              <w:rPr>
                <w:szCs w:val="16"/>
              </w:rPr>
              <w:t>Formulare commenti e appunti per la verifica successiva.</w:t>
            </w:r>
          </w:p>
        </w:tc>
        <w:tc>
          <w:tcPr>
            <w:tcW w:w="3970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  <w:tc>
          <w:tcPr>
            <w:tcW w:w="957" w:type="dxa"/>
          </w:tcPr>
          <w:p w:rsidR="00A428C3" w:rsidRPr="002125D7" w:rsidRDefault="00A428C3" w:rsidP="00950227">
            <w:pPr>
              <w:rPr>
                <w:szCs w:val="16"/>
              </w:rPr>
            </w:pPr>
          </w:p>
        </w:tc>
      </w:tr>
    </w:tbl>
    <w:p w:rsidR="00A428C3" w:rsidRPr="002125D7" w:rsidRDefault="00A428C3" w:rsidP="00A428C3">
      <w:pPr>
        <w:tabs>
          <w:tab w:val="left" w:pos="2450"/>
        </w:tabs>
        <w:spacing w:after="0" w:line="240" w:lineRule="auto"/>
        <w:rPr>
          <w:sz w:val="32"/>
        </w:rPr>
      </w:pPr>
      <w:r w:rsidRPr="002125D7">
        <w:rPr>
          <w:sz w:val="32"/>
        </w:rPr>
        <w:tab/>
      </w:r>
    </w:p>
    <w:p w:rsidR="00A428C3" w:rsidRPr="002125D7" w:rsidRDefault="00A428C3" w:rsidP="00A428C3">
      <w:pPr>
        <w:spacing w:after="0" w:line="240" w:lineRule="auto"/>
        <w:rPr>
          <w:sz w:val="32"/>
        </w:rPr>
      </w:pPr>
    </w:p>
    <w:p w:rsidR="009E3E3D" w:rsidRPr="008449FC" w:rsidRDefault="009E3E3D" w:rsidP="008449FC">
      <w:pPr>
        <w:rPr>
          <w:sz w:val="28"/>
          <w:szCs w:val="28"/>
        </w:rPr>
      </w:pPr>
    </w:p>
    <w:sectPr w:rsidR="009E3E3D" w:rsidRPr="008449FC" w:rsidSect="008449FC">
      <w:headerReference w:type="first" r:id="rId8"/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C41" w:rsidRDefault="00673C41" w:rsidP="001C7629">
      <w:pPr>
        <w:spacing w:after="0" w:line="240" w:lineRule="auto"/>
      </w:pPr>
      <w:r>
        <w:separator/>
      </w:r>
    </w:p>
  </w:endnote>
  <w:endnote w:type="continuationSeparator" w:id="0">
    <w:p w:rsidR="00673C41" w:rsidRDefault="00673C41" w:rsidP="001C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227" w:rsidRPr="00C57A8B" w:rsidRDefault="00950227">
    <w:pPr>
      <w:pStyle w:val="Pidipagina"/>
      <w:jc w:val="center"/>
      <w:rPr>
        <w:caps/>
      </w:rPr>
    </w:pPr>
    <w:r w:rsidRPr="00C57A8B">
      <w:rPr>
        <w:caps/>
      </w:rPr>
      <w:fldChar w:fldCharType="begin"/>
    </w:r>
    <w:r w:rsidRPr="00C57A8B">
      <w:rPr>
        <w:caps/>
      </w:rPr>
      <w:instrText>PAGE   \* MERGEFORMAT</w:instrText>
    </w:r>
    <w:r w:rsidRPr="00C57A8B">
      <w:rPr>
        <w:caps/>
      </w:rPr>
      <w:fldChar w:fldCharType="separate"/>
    </w:r>
    <w:r w:rsidR="008449FC">
      <w:rPr>
        <w:caps/>
        <w:noProof/>
      </w:rPr>
      <w:t>1</w:t>
    </w:r>
    <w:r w:rsidRPr="00C57A8B">
      <w:rPr>
        <w:caps/>
      </w:rPr>
      <w:fldChar w:fldCharType="end"/>
    </w:r>
  </w:p>
  <w:p w:rsidR="00950227" w:rsidRPr="00C57A8B" w:rsidRDefault="009502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C41" w:rsidRDefault="00673C41" w:rsidP="001C7629">
      <w:pPr>
        <w:spacing w:after="0" w:line="240" w:lineRule="auto"/>
      </w:pPr>
      <w:r>
        <w:separator/>
      </w:r>
    </w:p>
  </w:footnote>
  <w:footnote w:type="continuationSeparator" w:id="0">
    <w:p w:rsidR="00673C41" w:rsidRDefault="00673C41" w:rsidP="001C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227" w:rsidRDefault="009502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496"/>
    <w:multiLevelType w:val="hybridMultilevel"/>
    <w:tmpl w:val="EC10BDEA"/>
    <w:lvl w:ilvl="0" w:tplc="8C869A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306A8"/>
    <w:multiLevelType w:val="hybridMultilevel"/>
    <w:tmpl w:val="138EAE5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70F5255"/>
    <w:multiLevelType w:val="hybridMultilevel"/>
    <w:tmpl w:val="4C84D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5EF"/>
    <w:multiLevelType w:val="hybridMultilevel"/>
    <w:tmpl w:val="3B325E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7F3840"/>
    <w:multiLevelType w:val="hybridMultilevel"/>
    <w:tmpl w:val="E0A4AFE0"/>
    <w:lvl w:ilvl="0" w:tplc="4E6E2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6148A"/>
    <w:multiLevelType w:val="hybridMultilevel"/>
    <w:tmpl w:val="B6080164"/>
    <w:lvl w:ilvl="0" w:tplc="D1DEB2AA">
      <w:start w:val="1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D3C9F"/>
    <w:multiLevelType w:val="hybridMultilevel"/>
    <w:tmpl w:val="732AA7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7F2AAE"/>
    <w:multiLevelType w:val="hybridMultilevel"/>
    <w:tmpl w:val="7C1A4EF6"/>
    <w:lvl w:ilvl="0" w:tplc="9072D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36FB1"/>
    <w:multiLevelType w:val="hybridMultilevel"/>
    <w:tmpl w:val="36DE38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F70"/>
    <w:multiLevelType w:val="hybridMultilevel"/>
    <w:tmpl w:val="FFE0E894"/>
    <w:lvl w:ilvl="0" w:tplc="06AA2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C26DA"/>
    <w:multiLevelType w:val="multilevel"/>
    <w:tmpl w:val="83A01C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F50420"/>
    <w:multiLevelType w:val="hybridMultilevel"/>
    <w:tmpl w:val="BEAA0760"/>
    <w:lvl w:ilvl="0" w:tplc="0A8E5F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66AF6"/>
    <w:multiLevelType w:val="hybridMultilevel"/>
    <w:tmpl w:val="7C1A4EF6"/>
    <w:lvl w:ilvl="0" w:tplc="9072D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21467"/>
    <w:multiLevelType w:val="hybridMultilevel"/>
    <w:tmpl w:val="E0A4AFE0"/>
    <w:lvl w:ilvl="0" w:tplc="4E6E2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7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29"/>
    <w:rsid w:val="0000095A"/>
    <w:rsid w:val="000348B7"/>
    <w:rsid w:val="00075189"/>
    <w:rsid w:val="00083296"/>
    <w:rsid w:val="000A637B"/>
    <w:rsid w:val="000B5D9B"/>
    <w:rsid w:val="000C3F54"/>
    <w:rsid w:val="000D35C8"/>
    <w:rsid w:val="00112398"/>
    <w:rsid w:val="00125E09"/>
    <w:rsid w:val="001349D7"/>
    <w:rsid w:val="001564B6"/>
    <w:rsid w:val="0019414E"/>
    <w:rsid w:val="001C206B"/>
    <w:rsid w:val="001C7629"/>
    <w:rsid w:val="001F4147"/>
    <w:rsid w:val="002542CF"/>
    <w:rsid w:val="00291674"/>
    <w:rsid w:val="00307D8E"/>
    <w:rsid w:val="00310FC5"/>
    <w:rsid w:val="00313BA6"/>
    <w:rsid w:val="00317FA6"/>
    <w:rsid w:val="00342894"/>
    <w:rsid w:val="003830B2"/>
    <w:rsid w:val="00385DC1"/>
    <w:rsid w:val="003D6363"/>
    <w:rsid w:val="003E1D5E"/>
    <w:rsid w:val="003E6ED3"/>
    <w:rsid w:val="00414AF9"/>
    <w:rsid w:val="00437B7A"/>
    <w:rsid w:val="004A10B3"/>
    <w:rsid w:val="004D4653"/>
    <w:rsid w:val="0051614C"/>
    <w:rsid w:val="005326F6"/>
    <w:rsid w:val="0055472A"/>
    <w:rsid w:val="00567204"/>
    <w:rsid w:val="00586183"/>
    <w:rsid w:val="005B69C2"/>
    <w:rsid w:val="005E37D1"/>
    <w:rsid w:val="005F0456"/>
    <w:rsid w:val="00642DD7"/>
    <w:rsid w:val="0064741D"/>
    <w:rsid w:val="00673C41"/>
    <w:rsid w:val="006853D5"/>
    <w:rsid w:val="006D1EDE"/>
    <w:rsid w:val="00706DAB"/>
    <w:rsid w:val="007908D3"/>
    <w:rsid w:val="007E1AE5"/>
    <w:rsid w:val="00816229"/>
    <w:rsid w:val="00835CA6"/>
    <w:rsid w:val="008449FC"/>
    <w:rsid w:val="00866BA1"/>
    <w:rsid w:val="008B6F23"/>
    <w:rsid w:val="008F4F7A"/>
    <w:rsid w:val="00926367"/>
    <w:rsid w:val="00950227"/>
    <w:rsid w:val="00963779"/>
    <w:rsid w:val="00993AF2"/>
    <w:rsid w:val="009B6765"/>
    <w:rsid w:val="009E3E3D"/>
    <w:rsid w:val="009F3B3A"/>
    <w:rsid w:val="00A11FCE"/>
    <w:rsid w:val="00A1792F"/>
    <w:rsid w:val="00A428C3"/>
    <w:rsid w:val="00AA20F6"/>
    <w:rsid w:val="00AB4FD7"/>
    <w:rsid w:val="00AC033F"/>
    <w:rsid w:val="00AD0D52"/>
    <w:rsid w:val="00B15239"/>
    <w:rsid w:val="00B20DF4"/>
    <w:rsid w:val="00B97BD6"/>
    <w:rsid w:val="00BF74F6"/>
    <w:rsid w:val="00C1317C"/>
    <w:rsid w:val="00C2233E"/>
    <w:rsid w:val="00C56497"/>
    <w:rsid w:val="00C57A8B"/>
    <w:rsid w:val="00C93D6F"/>
    <w:rsid w:val="00D019C3"/>
    <w:rsid w:val="00D378FB"/>
    <w:rsid w:val="00D6094A"/>
    <w:rsid w:val="00D66D5F"/>
    <w:rsid w:val="00DB41B2"/>
    <w:rsid w:val="00DE6500"/>
    <w:rsid w:val="00E7529E"/>
    <w:rsid w:val="00E87C88"/>
    <w:rsid w:val="00F26778"/>
    <w:rsid w:val="00F55157"/>
    <w:rsid w:val="00F742EF"/>
    <w:rsid w:val="00FA511D"/>
    <w:rsid w:val="00FB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43DEC9-01E9-4C5B-BB85-00726A5A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62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C76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629"/>
  </w:style>
  <w:style w:type="paragraph" w:styleId="Pidipagina">
    <w:name w:val="footer"/>
    <w:basedOn w:val="Normale"/>
    <w:link w:val="PidipaginaCarattere"/>
    <w:uiPriority w:val="99"/>
    <w:unhideWhenUsed/>
    <w:rsid w:val="001C76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629"/>
  </w:style>
  <w:style w:type="paragraph" w:styleId="Paragrafoelenco">
    <w:name w:val="List Paragraph"/>
    <w:basedOn w:val="Normale"/>
    <w:uiPriority w:val="34"/>
    <w:qFormat/>
    <w:rsid w:val="004A10B3"/>
    <w:pPr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A42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25E0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08276-D028-4DA8-936E-F7E01E93A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Assirevi</Company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Lorenzoni - Assirevi</dc:creator>
  <cp:keywords/>
  <dc:description/>
  <cp:lastModifiedBy>Utente</cp:lastModifiedBy>
  <cp:revision>8</cp:revision>
  <cp:lastPrinted>2015-07-15T09:52:00Z</cp:lastPrinted>
  <dcterms:created xsi:type="dcterms:W3CDTF">2015-07-15T09:49:00Z</dcterms:created>
  <dcterms:modified xsi:type="dcterms:W3CDTF">2015-07-15T10:54:00Z</dcterms:modified>
</cp:coreProperties>
</file>