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6B3F8" w14:textId="77777777" w:rsidR="00687D67" w:rsidRDefault="00687D67" w:rsidP="00407826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C2A198F" w14:textId="5D0E4F57" w:rsidR="00A25D50" w:rsidRPr="005F3212" w:rsidRDefault="00A25D50" w:rsidP="00407826">
      <w:pPr>
        <w:jc w:val="center"/>
        <w:rPr>
          <w:rFonts w:ascii="Arial" w:hAnsi="Arial" w:cs="Arial"/>
          <w:b/>
          <w:bCs/>
          <w:sz w:val="23"/>
          <w:szCs w:val="23"/>
          <w:u w:val="single"/>
        </w:rPr>
      </w:pPr>
      <w:r w:rsidRPr="005F3212">
        <w:rPr>
          <w:rFonts w:ascii="Arial" w:hAnsi="Arial" w:cs="Arial"/>
          <w:b/>
          <w:bCs/>
          <w:sz w:val="23"/>
          <w:szCs w:val="23"/>
          <w:u w:val="single"/>
        </w:rPr>
        <w:t>Comunicato stampa</w:t>
      </w:r>
    </w:p>
    <w:p w14:paraId="18E3E912" w14:textId="431DCC08" w:rsidR="00D0014F" w:rsidRPr="005F3212" w:rsidRDefault="00FB6832" w:rsidP="00D0014F">
      <w:pPr>
        <w:jc w:val="center"/>
        <w:rPr>
          <w:rFonts w:ascii="Arial" w:hAnsi="Arial" w:cs="Arial"/>
          <w:b/>
          <w:bCs/>
          <w:sz w:val="23"/>
          <w:szCs w:val="23"/>
        </w:rPr>
      </w:pPr>
      <w:r w:rsidRPr="005F3212">
        <w:rPr>
          <w:rFonts w:ascii="Arial" w:eastAsia="Times New Roman" w:hAnsi="Arial" w:cs="Arial"/>
          <w:b/>
          <w:bCs/>
          <w:caps/>
          <w:color w:val="9AADDC"/>
          <w:sz w:val="23"/>
          <w:szCs w:val="23"/>
          <w:lang w:eastAsia="it-IT"/>
        </w:rPr>
        <w:br/>
      </w:r>
      <w:r w:rsidR="00D0014F" w:rsidRPr="005F3212">
        <w:rPr>
          <w:rFonts w:ascii="Arial" w:hAnsi="Arial" w:cs="Arial"/>
          <w:b/>
          <w:bCs/>
          <w:sz w:val="23"/>
          <w:szCs w:val="23"/>
        </w:rPr>
        <w:t xml:space="preserve">COLLEGIO SINDACALE, </w:t>
      </w:r>
      <w:r w:rsidR="005F3212" w:rsidRPr="005F3212">
        <w:rPr>
          <w:rFonts w:ascii="Arial" w:hAnsi="Arial" w:cs="Arial"/>
          <w:b/>
          <w:bCs/>
          <w:sz w:val="23"/>
          <w:szCs w:val="23"/>
        </w:rPr>
        <w:t xml:space="preserve">PUBBLICATE </w:t>
      </w:r>
      <w:r w:rsidR="00D0014F" w:rsidRPr="005F3212">
        <w:rPr>
          <w:rFonts w:ascii="Arial" w:hAnsi="Arial" w:cs="Arial"/>
          <w:b/>
          <w:bCs/>
          <w:sz w:val="23"/>
          <w:szCs w:val="23"/>
        </w:rPr>
        <w:t>LE NUOVE NORME PER LE QUOTATE</w:t>
      </w:r>
    </w:p>
    <w:p w14:paraId="7A711D85" w14:textId="4467BDA8" w:rsidR="00D0014F" w:rsidRPr="005F3212" w:rsidRDefault="005F3212" w:rsidP="00D0014F">
      <w:pPr>
        <w:jc w:val="center"/>
        <w:rPr>
          <w:rFonts w:ascii="Arial" w:hAnsi="Arial" w:cs="Arial"/>
          <w:b/>
          <w:bCs/>
          <w:sz w:val="23"/>
          <w:szCs w:val="23"/>
        </w:rPr>
      </w:pPr>
      <w:r w:rsidRPr="005F3212">
        <w:rPr>
          <w:rFonts w:ascii="Arial" w:hAnsi="Arial" w:cs="Arial"/>
          <w:b/>
          <w:bCs/>
          <w:sz w:val="23"/>
          <w:szCs w:val="23"/>
        </w:rPr>
        <w:t>Il documento del Consiglio nazionale dei commercialisti aggiorna</w:t>
      </w:r>
      <w:r w:rsidR="00D0014F" w:rsidRPr="005F3212">
        <w:rPr>
          <w:rFonts w:ascii="Arial" w:hAnsi="Arial" w:cs="Arial"/>
          <w:b/>
          <w:bCs/>
          <w:sz w:val="23"/>
          <w:szCs w:val="23"/>
        </w:rPr>
        <w:t xml:space="preserve"> la precedente versione del 20</w:t>
      </w:r>
      <w:r w:rsidRPr="005F3212">
        <w:rPr>
          <w:rFonts w:ascii="Arial" w:hAnsi="Arial" w:cs="Arial"/>
          <w:b/>
          <w:bCs/>
          <w:sz w:val="23"/>
          <w:szCs w:val="23"/>
        </w:rPr>
        <w:t>18</w:t>
      </w:r>
    </w:p>
    <w:p w14:paraId="4784E7E9" w14:textId="77777777" w:rsidR="00D0014F" w:rsidRPr="005F3212" w:rsidRDefault="00D0014F" w:rsidP="00D0014F">
      <w:pPr>
        <w:jc w:val="center"/>
        <w:rPr>
          <w:rFonts w:ascii="Arial" w:hAnsi="Arial" w:cs="Arial"/>
          <w:b/>
          <w:bCs/>
          <w:sz w:val="23"/>
          <w:szCs w:val="23"/>
        </w:rPr>
      </w:pPr>
    </w:p>
    <w:p w14:paraId="001F71D0" w14:textId="33A58758" w:rsidR="005F3212" w:rsidRPr="005F3212" w:rsidRDefault="00D0014F" w:rsidP="005F3212">
      <w:pPr>
        <w:jc w:val="both"/>
        <w:rPr>
          <w:rFonts w:ascii="Arial" w:hAnsi="Arial" w:cs="Arial"/>
          <w:sz w:val="23"/>
          <w:szCs w:val="23"/>
        </w:rPr>
      </w:pPr>
      <w:r w:rsidRPr="005F3212">
        <w:rPr>
          <w:rFonts w:ascii="Arial" w:hAnsi="Arial" w:cs="Arial"/>
          <w:i/>
          <w:iCs/>
          <w:sz w:val="23"/>
          <w:szCs w:val="23"/>
        </w:rPr>
        <w:t>Roma, 2</w:t>
      </w:r>
      <w:r w:rsidR="005F3212" w:rsidRPr="005F3212">
        <w:rPr>
          <w:rFonts w:ascii="Arial" w:hAnsi="Arial" w:cs="Arial"/>
          <w:i/>
          <w:iCs/>
          <w:sz w:val="23"/>
          <w:szCs w:val="23"/>
        </w:rPr>
        <w:t>1</w:t>
      </w:r>
      <w:r w:rsidRPr="005F3212">
        <w:rPr>
          <w:rFonts w:ascii="Arial" w:hAnsi="Arial" w:cs="Arial"/>
          <w:i/>
          <w:iCs/>
          <w:sz w:val="23"/>
          <w:szCs w:val="23"/>
        </w:rPr>
        <w:t xml:space="preserve"> dicembre 2023 –</w:t>
      </w:r>
      <w:r w:rsidR="005F3212">
        <w:rPr>
          <w:rFonts w:ascii="Arial" w:hAnsi="Arial" w:cs="Arial"/>
          <w:i/>
          <w:iCs/>
          <w:sz w:val="23"/>
          <w:szCs w:val="23"/>
        </w:rPr>
        <w:t xml:space="preserve"> </w:t>
      </w:r>
      <w:r w:rsidR="005F3212" w:rsidRPr="005F3212">
        <w:rPr>
          <w:rFonts w:ascii="Arial" w:hAnsi="Arial" w:cs="Arial"/>
          <w:sz w:val="23"/>
          <w:szCs w:val="23"/>
        </w:rPr>
        <w:t xml:space="preserve">Il Consiglio nazionale dei commercialisti ha pubblicato le nuove </w:t>
      </w:r>
      <w:r w:rsidR="005F3212" w:rsidRPr="005F3212">
        <w:rPr>
          <w:rFonts w:ascii="Arial" w:hAnsi="Arial" w:cs="Arial"/>
          <w:b/>
          <w:bCs/>
          <w:sz w:val="23"/>
          <w:szCs w:val="23"/>
        </w:rPr>
        <w:t>Norme di comportamento del collegio sindacale di società quotate</w:t>
      </w:r>
      <w:r w:rsidR="005F3212" w:rsidRPr="005F3212">
        <w:rPr>
          <w:rFonts w:ascii="Arial" w:hAnsi="Arial" w:cs="Arial"/>
          <w:sz w:val="23"/>
          <w:szCs w:val="23"/>
        </w:rPr>
        <w:t xml:space="preserve">, che aggiorna, al termine di una pubblica consultazione, il precedente documento dell’aprile 2018. Le Norme hanno </w:t>
      </w:r>
      <w:r w:rsidR="005F3212" w:rsidRPr="005F3212">
        <w:rPr>
          <w:rFonts w:ascii="Arial" w:hAnsi="Arial" w:cs="Arial"/>
          <w:b/>
          <w:bCs/>
          <w:sz w:val="23"/>
          <w:szCs w:val="23"/>
        </w:rPr>
        <w:t>natura tecnica e deontologica</w:t>
      </w:r>
      <w:r w:rsidR="005F3212" w:rsidRPr="005F3212">
        <w:rPr>
          <w:rFonts w:ascii="Arial" w:hAnsi="Arial" w:cs="Arial"/>
          <w:sz w:val="23"/>
          <w:szCs w:val="23"/>
        </w:rPr>
        <w:t xml:space="preserve"> e hanno lo scopo di </w:t>
      </w:r>
      <w:r w:rsidR="005F3212" w:rsidRPr="005F3212">
        <w:rPr>
          <w:rFonts w:ascii="Arial" w:hAnsi="Arial" w:cs="Arial"/>
          <w:b/>
          <w:bCs/>
          <w:sz w:val="23"/>
          <w:szCs w:val="23"/>
        </w:rPr>
        <w:t>orientare</w:t>
      </w:r>
      <w:r w:rsidR="005F3212" w:rsidRPr="005F3212">
        <w:rPr>
          <w:rFonts w:ascii="Arial" w:hAnsi="Arial" w:cs="Arial"/>
          <w:sz w:val="23"/>
          <w:szCs w:val="23"/>
        </w:rPr>
        <w:t xml:space="preserve"> l’attività degli iscritti all’Albo dei commercialisti che svolgono incarichi nei collegi sindacali di società quotate. Ogni Norma risulta composta da Principi e Criteri applicativi corredati da riferimenti normativi. </w:t>
      </w:r>
    </w:p>
    <w:p w14:paraId="5231BB37" w14:textId="77777777" w:rsidR="005F3212" w:rsidRPr="005F3212" w:rsidRDefault="005F3212" w:rsidP="005F3212">
      <w:pPr>
        <w:jc w:val="both"/>
        <w:rPr>
          <w:rFonts w:ascii="Arial" w:hAnsi="Arial" w:cs="Arial"/>
          <w:sz w:val="23"/>
          <w:szCs w:val="23"/>
        </w:rPr>
      </w:pPr>
    </w:p>
    <w:p w14:paraId="64D18210" w14:textId="2AF70EC9" w:rsidR="005F3212" w:rsidRPr="005F3212" w:rsidRDefault="005F3212" w:rsidP="005F3212">
      <w:pPr>
        <w:jc w:val="both"/>
        <w:rPr>
          <w:rFonts w:ascii="Arial" w:hAnsi="Arial" w:cs="Arial"/>
          <w:sz w:val="23"/>
          <w:szCs w:val="23"/>
        </w:rPr>
      </w:pPr>
      <w:r w:rsidRPr="005F3212">
        <w:rPr>
          <w:rFonts w:ascii="Arial" w:hAnsi="Arial" w:cs="Arial"/>
          <w:sz w:val="23"/>
          <w:szCs w:val="23"/>
        </w:rPr>
        <w:t xml:space="preserve">“Questo Consiglio nazionale – spiega il presidente della categoria, </w:t>
      </w:r>
      <w:r w:rsidRPr="005F3212">
        <w:rPr>
          <w:rFonts w:ascii="Arial" w:hAnsi="Arial" w:cs="Arial"/>
          <w:b/>
          <w:bCs/>
          <w:sz w:val="23"/>
          <w:szCs w:val="23"/>
        </w:rPr>
        <w:t>Elbano de Nuccio</w:t>
      </w:r>
      <w:r w:rsidRPr="005F3212">
        <w:rPr>
          <w:rFonts w:ascii="Arial" w:hAnsi="Arial" w:cs="Arial"/>
          <w:sz w:val="23"/>
          <w:szCs w:val="23"/>
        </w:rPr>
        <w:t xml:space="preserve"> </w:t>
      </w:r>
      <w:r w:rsidR="00A77976">
        <w:rPr>
          <w:rFonts w:ascii="Arial" w:hAnsi="Arial" w:cs="Arial"/>
          <w:sz w:val="23"/>
          <w:szCs w:val="23"/>
        </w:rPr>
        <w:t xml:space="preserve">– </w:t>
      </w:r>
      <w:r w:rsidRPr="005F3212">
        <w:rPr>
          <w:rFonts w:ascii="Arial" w:hAnsi="Arial" w:cs="Arial"/>
          <w:sz w:val="23"/>
          <w:szCs w:val="23"/>
        </w:rPr>
        <w:t>ha rivolto una precipua attenzione</w:t>
      </w:r>
      <w:r w:rsidR="0059550F">
        <w:rPr>
          <w:rFonts w:ascii="Arial" w:hAnsi="Arial" w:cs="Arial"/>
          <w:sz w:val="23"/>
          <w:szCs w:val="23"/>
        </w:rPr>
        <w:t xml:space="preserve"> ai compiti </w:t>
      </w:r>
      <w:r w:rsidR="0059550F" w:rsidRPr="00007B6D">
        <w:rPr>
          <w:rFonts w:ascii="Arial" w:hAnsi="Arial" w:cs="Arial"/>
          <w:sz w:val="23"/>
          <w:szCs w:val="23"/>
        </w:rPr>
        <w:t>dei sindaci di società quotate</w:t>
      </w:r>
      <w:r w:rsidR="00007B6D" w:rsidRPr="00007B6D">
        <w:rPr>
          <w:rFonts w:ascii="Arial" w:hAnsi="Arial" w:cs="Arial"/>
          <w:sz w:val="23"/>
          <w:szCs w:val="23"/>
        </w:rPr>
        <w:t>.</w:t>
      </w:r>
      <w:r w:rsidRPr="005F3212">
        <w:rPr>
          <w:rFonts w:ascii="Arial" w:hAnsi="Arial" w:cs="Arial"/>
          <w:sz w:val="23"/>
          <w:szCs w:val="23"/>
        </w:rPr>
        <w:t xml:space="preserve"> In questo testo le modalità attraverso le quali il collegio sindacale esercita l’attività di vigilanza sono </w:t>
      </w:r>
      <w:r w:rsidRPr="005F3212">
        <w:rPr>
          <w:rFonts w:ascii="Arial" w:hAnsi="Arial" w:cs="Arial"/>
          <w:b/>
          <w:bCs/>
          <w:sz w:val="23"/>
          <w:szCs w:val="23"/>
        </w:rPr>
        <w:t>modulate</w:t>
      </w:r>
      <w:r w:rsidRPr="005F3212">
        <w:rPr>
          <w:rFonts w:ascii="Arial" w:hAnsi="Arial" w:cs="Arial"/>
          <w:sz w:val="23"/>
          <w:szCs w:val="23"/>
        </w:rPr>
        <w:t xml:space="preserve"> in funzione della complessità e delle caratteristiche dimensionali, organizzative, di settore e di modello di business e dei profili di rischio propri della società vigilata. In quest’ottica, è chiara l’importanza che </w:t>
      </w:r>
      <w:r w:rsidRPr="005F3212">
        <w:rPr>
          <w:rFonts w:ascii="Arial" w:hAnsi="Arial" w:cs="Arial"/>
          <w:b/>
          <w:bCs/>
          <w:sz w:val="23"/>
          <w:szCs w:val="23"/>
        </w:rPr>
        <w:t>strutturati flussi informativi</w:t>
      </w:r>
      <w:r w:rsidRPr="005F3212">
        <w:rPr>
          <w:rFonts w:ascii="Arial" w:hAnsi="Arial" w:cs="Arial"/>
          <w:sz w:val="23"/>
          <w:szCs w:val="23"/>
        </w:rPr>
        <w:t xml:space="preserve">, provenienti dall’organo di amministrazione, dal comitato controllo e rischi, ove presente, dalla società di revisione e dalle restanti funzioni e </w:t>
      </w:r>
      <w:r w:rsidR="00A77976">
        <w:rPr>
          <w:rFonts w:ascii="Arial" w:hAnsi="Arial" w:cs="Arial"/>
          <w:sz w:val="23"/>
          <w:szCs w:val="23"/>
        </w:rPr>
        <w:t xml:space="preserve">dai </w:t>
      </w:r>
      <w:r w:rsidRPr="005F3212">
        <w:rPr>
          <w:rFonts w:ascii="Arial" w:hAnsi="Arial" w:cs="Arial"/>
          <w:sz w:val="23"/>
          <w:szCs w:val="23"/>
        </w:rPr>
        <w:t>ruoli di controllo – in particolare dall</w:t>
      </w:r>
      <w:r w:rsidRPr="005F3212">
        <w:rPr>
          <w:rFonts w:ascii="Arial" w:hAnsi="Arial" w:cs="Arial"/>
          <w:b/>
          <w:bCs/>
          <w:sz w:val="23"/>
          <w:szCs w:val="23"/>
        </w:rPr>
        <w:t xml:space="preserve">’internal audit </w:t>
      </w:r>
      <w:r w:rsidRPr="005F3212">
        <w:rPr>
          <w:rFonts w:ascii="Arial" w:hAnsi="Arial" w:cs="Arial"/>
          <w:sz w:val="23"/>
          <w:szCs w:val="23"/>
        </w:rPr>
        <w:t xml:space="preserve">– possono rappresentare per i sindaci, dovendo pianificare il collegio sindacale la propria attività in funzione della rilevanza dei rischi evidenziati dall’analisi delle informazioni acquisite”. “La trasmissione e lo scambio delle informazioni – continua </w:t>
      </w:r>
      <w:r w:rsidR="00A77976">
        <w:rPr>
          <w:rFonts w:ascii="Arial" w:hAnsi="Arial" w:cs="Arial"/>
          <w:sz w:val="23"/>
          <w:szCs w:val="23"/>
        </w:rPr>
        <w:t>–</w:t>
      </w:r>
      <w:r w:rsidRPr="005F3212">
        <w:rPr>
          <w:rFonts w:ascii="Arial" w:hAnsi="Arial" w:cs="Arial"/>
          <w:sz w:val="23"/>
          <w:szCs w:val="23"/>
        </w:rPr>
        <w:t xml:space="preserve"> </w:t>
      </w:r>
      <w:r w:rsidR="00A77976">
        <w:rPr>
          <w:rFonts w:ascii="Arial" w:hAnsi="Arial" w:cs="Arial"/>
          <w:sz w:val="23"/>
          <w:szCs w:val="23"/>
        </w:rPr>
        <w:t>sono</w:t>
      </w:r>
      <w:r w:rsidRPr="005F3212">
        <w:rPr>
          <w:rFonts w:ascii="Arial" w:hAnsi="Arial" w:cs="Arial"/>
          <w:sz w:val="23"/>
          <w:szCs w:val="23"/>
        </w:rPr>
        <w:t xml:space="preserve"> util</w:t>
      </w:r>
      <w:r w:rsidR="00A77976">
        <w:rPr>
          <w:rFonts w:ascii="Arial" w:hAnsi="Arial" w:cs="Arial"/>
          <w:sz w:val="23"/>
          <w:szCs w:val="23"/>
        </w:rPr>
        <w:t>i</w:t>
      </w:r>
      <w:r w:rsidRPr="005F3212">
        <w:rPr>
          <w:rFonts w:ascii="Arial" w:hAnsi="Arial" w:cs="Arial"/>
          <w:sz w:val="23"/>
          <w:szCs w:val="23"/>
        </w:rPr>
        <w:t xml:space="preserve"> sia per </w:t>
      </w:r>
      <w:r w:rsidRPr="005F3212">
        <w:rPr>
          <w:rFonts w:ascii="Arial" w:hAnsi="Arial" w:cs="Arial"/>
          <w:b/>
          <w:bCs/>
          <w:sz w:val="23"/>
          <w:szCs w:val="23"/>
        </w:rPr>
        <w:t>interventi di reazione</w:t>
      </w:r>
      <w:r w:rsidRPr="005F3212">
        <w:rPr>
          <w:rFonts w:ascii="Arial" w:hAnsi="Arial" w:cs="Arial"/>
          <w:sz w:val="23"/>
          <w:szCs w:val="23"/>
        </w:rPr>
        <w:t xml:space="preserve"> o di </w:t>
      </w:r>
      <w:r w:rsidRPr="005F3212">
        <w:rPr>
          <w:rFonts w:ascii="Arial" w:hAnsi="Arial" w:cs="Arial"/>
          <w:b/>
          <w:bCs/>
          <w:sz w:val="23"/>
          <w:szCs w:val="23"/>
        </w:rPr>
        <w:t>correzione</w:t>
      </w:r>
      <w:r w:rsidRPr="005F3212">
        <w:rPr>
          <w:rFonts w:ascii="Arial" w:hAnsi="Arial" w:cs="Arial"/>
          <w:sz w:val="23"/>
          <w:szCs w:val="23"/>
        </w:rPr>
        <w:t xml:space="preserve"> delle criticità riscontrate, sia per esercitare </w:t>
      </w:r>
      <w:r w:rsidRPr="005F3212">
        <w:rPr>
          <w:rFonts w:ascii="Arial" w:hAnsi="Arial" w:cs="Arial"/>
          <w:b/>
          <w:bCs/>
          <w:sz w:val="23"/>
          <w:szCs w:val="23"/>
        </w:rPr>
        <w:t xml:space="preserve">poteri propositivi </w:t>
      </w:r>
      <w:r w:rsidRPr="005F3212">
        <w:rPr>
          <w:rFonts w:ascii="Arial" w:hAnsi="Arial" w:cs="Arial"/>
          <w:sz w:val="23"/>
          <w:szCs w:val="23"/>
        </w:rPr>
        <w:t xml:space="preserve">volti a impedirne la ripetizione. Si tratta all’evidenza di compiti di </w:t>
      </w:r>
      <w:r w:rsidRPr="005F3212">
        <w:rPr>
          <w:rFonts w:ascii="Arial" w:hAnsi="Arial" w:cs="Arial"/>
          <w:b/>
          <w:bCs/>
          <w:sz w:val="23"/>
          <w:szCs w:val="23"/>
        </w:rPr>
        <w:t xml:space="preserve">notevole ampiezza e rilevanza </w:t>
      </w:r>
      <w:r w:rsidRPr="005F3212">
        <w:rPr>
          <w:rFonts w:ascii="Arial" w:hAnsi="Arial" w:cs="Arial"/>
          <w:sz w:val="23"/>
          <w:szCs w:val="23"/>
        </w:rPr>
        <w:t xml:space="preserve">nella governance societaria che richiedono il possesso di </w:t>
      </w:r>
      <w:r w:rsidRPr="005F3212">
        <w:rPr>
          <w:rFonts w:ascii="Arial" w:hAnsi="Arial" w:cs="Arial"/>
          <w:b/>
          <w:bCs/>
          <w:sz w:val="23"/>
          <w:szCs w:val="23"/>
        </w:rPr>
        <w:t>competenze tecniche</w:t>
      </w:r>
      <w:r w:rsidRPr="005F3212">
        <w:rPr>
          <w:rFonts w:ascii="Arial" w:hAnsi="Arial" w:cs="Arial"/>
          <w:sz w:val="23"/>
          <w:szCs w:val="23"/>
        </w:rPr>
        <w:t xml:space="preserve"> e </w:t>
      </w:r>
      <w:r w:rsidRPr="005F3212">
        <w:rPr>
          <w:rFonts w:ascii="Arial" w:hAnsi="Arial" w:cs="Arial"/>
          <w:b/>
          <w:bCs/>
          <w:sz w:val="23"/>
          <w:szCs w:val="23"/>
        </w:rPr>
        <w:t>professionalità appropriate</w:t>
      </w:r>
      <w:r w:rsidRPr="005F3212">
        <w:rPr>
          <w:rFonts w:ascii="Arial" w:hAnsi="Arial" w:cs="Arial"/>
          <w:sz w:val="23"/>
          <w:szCs w:val="23"/>
        </w:rPr>
        <w:t xml:space="preserve"> al settore di attività e alle caratteristiche della società, il possesso di </w:t>
      </w:r>
      <w:r w:rsidRPr="005F3212">
        <w:rPr>
          <w:rFonts w:ascii="Arial" w:hAnsi="Arial" w:cs="Arial"/>
          <w:b/>
          <w:bCs/>
          <w:sz w:val="23"/>
          <w:szCs w:val="23"/>
        </w:rPr>
        <w:t>indipendenza</w:t>
      </w:r>
      <w:r w:rsidRPr="005F3212">
        <w:rPr>
          <w:rFonts w:ascii="Arial" w:hAnsi="Arial" w:cs="Arial"/>
          <w:sz w:val="23"/>
          <w:szCs w:val="23"/>
        </w:rPr>
        <w:t xml:space="preserve">, necessaria per svolgere l’incarico con obiettività e integrità, nonché impegno e tempo adeguati </w:t>
      </w:r>
      <w:r w:rsidR="00A77976" w:rsidRPr="005F3212">
        <w:rPr>
          <w:rFonts w:ascii="Arial" w:hAnsi="Arial" w:cs="Arial"/>
          <w:sz w:val="23"/>
          <w:szCs w:val="23"/>
        </w:rPr>
        <w:t>a</w:t>
      </w:r>
      <w:r w:rsidRPr="005F3212">
        <w:rPr>
          <w:rFonts w:ascii="Arial" w:hAnsi="Arial" w:cs="Arial"/>
          <w:sz w:val="23"/>
          <w:szCs w:val="23"/>
        </w:rPr>
        <w:t xml:space="preserve"> un </w:t>
      </w:r>
      <w:r w:rsidRPr="005F3212">
        <w:rPr>
          <w:rFonts w:ascii="Arial" w:hAnsi="Arial" w:cs="Arial"/>
          <w:b/>
          <w:bCs/>
          <w:sz w:val="23"/>
          <w:szCs w:val="23"/>
        </w:rPr>
        <w:t xml:space="preserve">diligente </w:t>
      </w:r>
      <w:r w:rsidRPr="005F3212">
        <w:rPr>
          <w:rFonts w:ascii="Arial" w:hAnsi="Arial" w:cs="Arial"/>
          <w:sz w:val="23"/>
          <w:szCs w:val="23"/>
        </w:rPr>
        <w:t xml:space="preserve">svolgimento dell’attività di vigilanza”. </w:t>
      </w:r>
    </w:p>
    <w:p w14:paraId="54779E4A" w14:textId="77777777" w:rsidR="005F3212" w:rsidRPr="005F3212" w:rsidRDefault="005F3212" w:rsidP="005F3212">
      <w:pPr>
        <w:jc w:val="both"/>
        <w:rPr>
          <w:rFonts w:ascii="Arial" w:hAnsi="Arial" w:cs="Arial"/>
          <w:sz w:val="23"/>
          <w:szCs w:val="23"/>
        </w:rPr>
      </w:pPr>
    </w:p>
    <w:p w14:paraId="6C5EAAC4" w14:textId="72804B26" w:rsidR="005F3212" w:rsidRPr="005F3212" w:rsidRDefault="005F3212" w:rsidP="005F3212">
      <w:pPr>
        <w:jc w:val="both"/>
        <w:rPr>
          <w:rFonts w:ascii="Arial" w:hAnsi="Arial" w:cs="Arial"/>
          <w:sz w:val="23"/>
          <w:szCs w:val="23"/>
        </w:rPr>
      </w:pPr>
      <w:r w:rsidRPr="005F3212">
        <w:rPr>
          <w:rFonts w:ascii="Arial" w:hAnsi="Arial" w:cs="Arial"/>
          <w:sz w:val="23"/>
          <w:szCs w:val="23"/>
        </w:rPr>
        <w:t xml:space="preserve">I due consiglieri nazionali delegati ai Sistemi di controllo e revisione legale (financial e non financial), </w:t>
      </w:r>
      <w:r w:rsidRPr="005F3212">
        <w:rPr>
          <w:rFonts w:ascii="Arial" w:hAnsi="Arial" w:cs="Arial"/>
          <w:b/>
          <w:bCs/>
          <w:sz w:val="23"/>
          <w:szCs w:val="23"/>
        </w:rPr>
        <w:t>Gian Luca Ancarani</w:t>
      </w:r>
      <w:r w:rsidRPr="005F3212">
        <w:rPr>
          <w:rFonts w:ascii="Arial" w:hAnsi="Arial" w:cs="Arial"/>
          <w:sz w:val="23"/>
          <w:szCs w:val="23"/>
        </w:rPr>
        <w:t xml:space="preserve"> e</w:t>
      </w:r>
      <w:r w:rsidRPr="005F3212">
        <w:rPr>
          <w:rFonts w:ascii="Arial" w:hAnsi="Arial" w:cs="Arial"/>
          <w:b/>
          <w:bCs/>
          <w:sz w:val="23"/>
          <w:szCs w:val="23"/>
        </w:rPr>
        <w:t xml:space="preserve"> Maurizio Masini</w:t>
      </w:r>
      <w:r w:rsidR="0059550F">
        <w:rPr>
          <w:rFonts w:ascii="Arial" w:hAnsi="Arial" w:cs="Arial"/>
          <w:b/>
          <w:bCs/>
          <w:sz w:val="23"/>
          <w:szCs w:val="23"/>
        </w:rPr>
        <w:t xml:space="preserve">, </w:t>
      </w:r>
      <w:r w:rsidR="00007B6D">
        <w:rPr>
          <w:rFonts w:ascii="Arial" w:hAnsi="Arial" w:cs="Arial"/>
          <w:sz w:val="23"/>
          <w:szCs w:val="23"/>
        </w:rPr>
        <w:t>sottolineano</w:t>
      </w:r>
      <w:r w:rsidR="0059550F" w:rsidRPr="00007B6D">
        <w:rPr>
          <w:rFonts w:ascii="Arial" w:hAnsi="Arial" w:cs="Arial"/>
          <w:sz w:val="23"/>
          <w:szCs w:val="23"/>
        </w:rPr>
        <w:t xml:space="preserve"> </w:t>
      </w:r>
      <w:r w:rsidR="00007B6D">
        <w:rPr>
          <w:rFonts w:ascii="Arial" w:hAnsi="Arial" w:cs="Arial"/>
          <w:sz w:val="23"/>
          <w:szCs w:val="23"/>
        </w:rPr>
        <w:t>“</w:t>
      </w:r>
      <w:r w:rsidR="0059550F" w:rsidRPr="00007B6D">
        <w:rPr>
          <w:rFonts w:ascii="Arial" w:hAnsi="Arial" w:cs="Arial"/>
          <w:sz w:val="23"/>
          <w:szCs w:val="23"/>
        </w:rPr>
        <w:t>l’importanza che ha</w:t>
      </w:r>
      <w:r w:rsidR="00007B6D">
        <w:rPr>
          <w:rFonts w:ascii="Arial" w:hAnsi="Arial" w:cs="Arial"/>
          <w:sz w:val="23"/>
          <w:szCs w:val="23"/>
        </w:rPr>
        <w:t>nno</w:t>
      </w:r>
      <w:r w:rsidR="0059550F" w:rsidRPr="00007B6D">
        <w:rPr>
          <w:rFonts w:ascii="Arial" w:hAnsi="Arial" w:cs="Arial"/>
          <w:sz w:val="23"/>
          <w:szCs w:val="23"/>
        </w:rPr>
        <w:t xml:space="preserve"> avuto </w:t>
      </w:r>
      <w:r w:rsidR="002F58B7" w:rsidRPr="00007B6D">
        <w:rPr>
          <w:rFonts w:ascii="Arial" w:hAnsi="Arial" w:cs="Arial"/>
          <w:sz w:val="23"/>
          <w:szCs w:val="23"/>
        </w:rPr>
        <w:t>l</w:t>
      </w:r>
      <w:r w:rsidR="0059550F" w:rsidRPr="00007B6D">
        <w:rPr>
          <w:rFonts w:ascii="Arial" w:hAnsi="Arial" w:cs="Arial"/>
          <w:sz w:val="23"/>
          <w:szCs w:val="23"/>
        </w:rPr>
        <w:t>a pubblica consultazione e l’interlocuzione con</w:t>
      </w:r>
      <w:r w:rsidR="002F58B7" w:rsidRPr="00007B6D">
        <w:rPr>
          <w:rFonts w:ascii="Arial" w:hAnsi="Arial" w:cs="Arial"/>
          <w:sz w:val="23"/>
          <w:szCs w:val="23"/>
        </w:rPr>
        <w:t xml:space="preserve"> le autorità di vigilanza</w:t>
      </w:r>
      <w:r w:rsidR="00007B6D">
        <w:rPr>
          <w:rFonts w:ascii="Arial" w:hAnsi="Arial" w:cs="Arial"/>
          <w:sz w:val="23"/>
          <w:szCs w:val="23"/>
        </w:rPr>
        <w:t>” e spiegano</w:t>
      </w:r>
      <w:r w:rsidR="0059550F" w:rsidRPr="0059550F">
        <w:rPr>
          <w:rFonts w:ascii="Arial" w:hAnsi="Arial" w:cs="Arial"/>
          <w:sz w:val="23"/>
          <w:szCs w:val="23"/>
        </w:rPr>
        <w:t xml:space="preserve"> le novità del</w:t>
      </w:r>
      <w:r w:rsidR="0059550F">
        <w:rPr>
          <w:rFonts w:ascii="Arial" w:hAnsi="Arial" w:cs="Arial"/>
          <w:b/>
          <w:bCs/>
          <w:sz w:val="23"/>
          <w:szCs w:val="23"/>
        </w:rPr>
        <w:t xml:space="preserve"> </w:t>
      </w:r>
      <w:r w:rsidRPr="005F3212">
        <w:rPr>
          <w:rFonts w:ascii="Arial" w:hAnsi="Arial" w:cs="Arial"/>
          <w:sz w:val="23"/>
          <w:szCs w:val="23"/>
        </w:rPr>
        <w:t>documento</w:t>
      </w:r>
      <w:r w:rsidR="0059550F">
        <w:rPr>
          <w:rFonts w:ascii="Arial" w:hAnsi="Arial" w:cs="Arial"/>
          <w:sz w:val="23"/>
          <w:szCs w:val="23"/>
        </w:rPr>
        <w:t xml:space="preserve">, </w:t>
      </w:r>
      <w:r w:rsidR="0059550F" w:rsidRPr="00007B6D">
        <w:rPr>
          <w:rFonts w:ascii="Arial" w:hAnsi="Arial" w:cs="Arial"/>
          <w:sz w:val="23"/>
          <w:szCs w:val="23"/>
        </w:rPr>
        <w:t>chiarendo che</w:t>
      </w:r>
      <w:r w:rsidRPr="005F3212">
        <w:rPr>
          <w:rFonts w:ascii="Arial" w:hAnsi="Arial" w:cs="Arial"/>
          <w:sz w:val="23"/>
          <w:szCs w:val="23"/>
        </w:rPr>
        <w:t xml:space="preserve"> “oltre a </w:t>
      </w:r>
      <w:r w:rsidRPr="005F3212">
        <w:rPr>
          <w:rFonts w:ascii="Arial" w:hAnsi="Arial" w:cs="Arial"/>
          <w:b/>
          <w:bCs/>
          <w:sz w:val="23"/>
          <w:szCs w:val="23"/>
        </w:rPr>
        <w:t>un rinnovato ordine espositivo</w:t>
      </w:r>
      <w:r w:rsidRPr="005F3212">
        <w:rPr>
          <w:rFonts w:ascii="Arial" w:hAnsi="Arial" w:cs="Arial"/>
          <w:sz w:val="23"/>
          <w:szCs w:val="23"/>
        </w:rPr>
        <w:t xml:space="preserve"> delle Norme all’interno delle sezioni, sono state apportate modifiche al fine di adeguarne i contenuti all’evoluzione del </w:t>
      </w:r>
      <w:r w:rsidRPr="005F3212">
        <w:rPr>
          <w:rFonts w:ascii="Arial" w:hAnsi="Arial" w:cs="Arial"/>
          <w:b/>
          <w:bCs/>
          <w:sz w:val="23"/>
          <w:szCs w:val="23"/>
        </w:rPr>
        <w:t>quadro normativo</w:t>
      </w:r>
      <w:r w:rsidRPr="005F3212">
        <w:rPr>
          <w:rFonts w:ascii="Arial" w:hAnsi="Arial" w:cs="Arial"/>
          <w:sz w:val="23"/>
          <w:szCs w:val="23"/>
        </w:rPr>
        <w:t xml:space="preserve">, venutasi a determinare anche a seguito della definitiva entrata in vigore del </w:t>
      </w:r>
      <w:r w:rsidRPr="005F3212">
        <w:rPr>
          <w:rFonts w:ascii="Arial" w:hAnsi="Arial" w:cs="Arial"/>
          <w:b/>
          <w:bCs/>
          <w:sz w:val="23"/>
          <w:szCs w:val="23"/>
        </w:rPr>
        <w:t>Codice della crisi d’impresa e dell’insolvenza</w:t>
      </w:r>
      <w:r w:rsidRPr="005F3212">
        <w:rPr>
          <w:rFonts w:ascii="Arial" w:hAnsi="Arial" w:cs="Arial"/>
          <w:sz w:val="23"/>
          <w:szCs w:val="23"/>
        </w:rPr>
        <w:t xml:space="preserve">, e ai nuovi </w:t>
      </w:r>
      <w:r w:rsidRPr="005F3212">
        <w:rPr>
          <w:rFonts w:ascii="Arial" w:hAnsi="Arial" w:cs="Arial"/>
          <w:b/>
          <w:bCs/>
          <w:sz w:val="23"/>
          <w:szCs w:val="23"/>
        </w:rPr>
        <w:t>Principi e Raccomandazioni</w:t>
      </w:r>
      <w:r w:rsidRPr="005F3212">
        <w:rPr>
          <w:rFonts w:ascii="Arial" w:hAnsi="Arial" w:cs="Arial"/>
          <w:sz w:val="23"/>
          <w:szCs w:val="23"/>
        </w:rPr>
        <w:t xml:space="preserve"> del </w:t>
      </w:r>
      <w:r w:rsidRPr="005F3212">
        <w:rPr>
          <w:rFonts w:ascii="Arial" w:hAnsi="Arial" w:cs="Arial"/>
          <w:b/>
          <w:bCs/>
          <w:sz w:val="23"/>
          <w:szCs w:val="23"/>
        </w:rPr>
        <w:t>Codice di Corporate Governance</w:t>
      </w:r>
      <w:r w:rsidRPr="005F3212">
        <w:rPr>
          <w:rFonts w:ascii="Arial" w:hAnsi="Arial" w:cs="Arial"/>
          <w:sz w:val="23"/>
          <w:szCs w:val="23"/>
        </w:rPr>
        <w:t xml:space="preserve"> approvato il mese di gennaio 2020. È stata sottolineata, pertanto, la rilevanza che rivestono l’ordinaria collaborazione e il continuo scambio di informazioni con le </w:t>
      </w:r>
      <w:r w:rsidRPr="005F3212">
        <w:rPr>
          <w:rFonts w:ascii="Arial" w:hAnsi="Arial" w:cs="Arial"/>
          <w:b/>
          <w:bCs/>
          <w:sz w:val="23"/>
          <w:szCs w:val="23"/>
        </w:rPr>
        <w:t>funzioni aziendali</w:t>
      </w:r>
      <w:r w:rsidRPr="005F3212">
        <w:rPr>
          <w:rFonts w:ascii="Arial" w:hAnsi="Arial" w:cs="Arial"/>
          <w:sz w:val="23"/>
          <w:szCs w:val="23"/>
        </w:rPr>
        <w:t xml:space="preserve"> che assolvono specifici compiti di controllo interno, con i </w:t>
      </w:r>
      <w:r w:rsidRPr="005F3212">
        <w:rPr>
          <w:rFonts w:ascii="Arial" w:hAnsi="Arial" w:cs="Arial"/>
          <w:b/>
          <w:bCs/>
          <w:sz w:val="23"/>
          <w:szCs w:val="23"/>
        </w:rPr>
        <w:t>comitati endoconsiliari</w:t>
      </w:r>
      <w:r w:rsidRPr="005F3212">
        <w:rPr>
          <w:rFonts w:ascii="Arial" w:hAnsi="Arial" w:cs="Arial"/>
          <w:sz w:val="23"/>
          <w:szCs w:val="23"/>
        </w:rPr>
        <w:t xml:space="preserve"> e, in particolare, con il </w:t>
      </w:r>
      <w:r w:rsidRPr="005F3212">
        <w:rPr>
          <w:rFonts w:ascii="Arial" w:hAnsi="Arial" w:cs="Arial"/>
          <w:b/>
          <w:bCs/>
          <w:sz w:val="23"/>
          <w:szCs w:val="23"/>
        </w:rPr>
        <w:t>comitato controllo e rischi</w:t>
      </w:r>
      <w:r w:rsidRPr="005F3212">
        <w:rPr>
          <w:rFonts w:ascii="Arial" w:hAnsi="Arial" w:cs="Arial"/>
          <w:sz w:val="23"/>
          <w:szCs w:val="23"/>
        </w:rPr>
        <w:t xml:space="preserve">, quando esistente”. </w:t>
      </w:r>
    </w:p>
    <w:p w14:paraId="1390032F" w14:textId="77777777" w:rsidR="005F3212" w:rsidRPr="005F3212" w:rsidRDefault="005F3212" w:rsidP="005F3212">
      <w:pPr>
        <w:jc w:val="both"/>
        <w:rPr>
          <w:rFonts w:ascii="Arial" w:hAnsi="Arial" w:cs="Arial"/>
          <w:sz w:val="23"/>
          <w:szCs w:val="23"/>
        </w:rPr>
      </w:pPr>
    </w:p>
    <w:p w14:paraId="00FDB78C" w14:textId="0092B44C" w:rsidR="005F3212" w:rsidRPr="005F3212" w:rsidRDefault="005F3212" w:rsidP="005F3212">
      <w:pPr>
        <w:jc w:val="both"/>
        <w:rPr>
          <w:rFonts w:ascii="Arial" w:hAnsi="Arial" w:cs="Arial"/>
          <w:sz w:val="23"/>
          <w:szCs w:val="23"/>
        </w:rPr>
      </w:pPr>
      <w:r w:rsidRPr="005F3212">
        <w:rPr>
          <w:rFonts w:ascii="Arial" w:hAnsi="Arial" w:cs="Arial"/>
          <w:sz w:val="23"/>
          <w:szCs w:val="23"/>
        </w:rPr>
        <w:t xml:space="preserve">“Le Norme – aggiungono </w:t>
      </w:r>
      <w:r w:rsidR="00A77976">
        <w:rPr>
          <w:rFonts w:ascii="Arial" w:hAnsi="Arial" w:cs="Arial"/>
          <w:sz w:val="23"/>
          <w:szCs w:val="23"/>
        </w:rPr>
        <w:t>–</w:t>
      </w:r>
      <w:r w:rsidRPr="005F3212">
        <w:rPr>
          <w:rFonts w:ascii="Arial" w:hAnsi="Arial" w:cs="Arial"/>
          <w:sz w:val="23"/>
          <w:szCs w:val="23"/>
        </w:rPr>
        <w:t xml:space="preserve"> riportano i Principi applicabili in via generale ai collegi sindacali delle società con azioni quotate in mercati regolamentati. Nondimeno</w:t>
      </w:r>
      <w:r w:rsidR="00A77976">
        <w:rPr>
          <w:rFonts w:ascii="Arial" w:hAnsi="Arial" w:cs="Arial"/>
          <w:sz w:val="23"/>
          <w:szCs w:val="23"/>
        </w:rPr>
        <w:t>,</w:t>
      </w:r>
      <w:r w:rsidRPr="005F3212">
        <w:rPr>
          <w:rFonts w:ascii="Arial" w:hAnsi="Arial" w:cs="Arial"/>
          <w:sz w:val="23"/>
          <w:szCs w:val="23"/>
        </w:rPr>
        <w:t xml:space="preserve"> tali Principi vanno sia integrati con eventuali disposizioni dettate per gli organi di società che operano in settori vigilati, sia applicati in misura proporzionata alla natura, alla dimensione e alla complessità dell’attività in concreto esercitata dalla società. Pur riferendosi alle società quotate in </w:t>
      </w:r>
      <w:r w:rsidRPr="005F3212">
        <w:rPr>
          <w:rFonts w:ascii="Arial" w:hAnsi="Arial" w:cs="Arial"/>
          <w:b/>
          <w:bCs/>
          <w:sz w:val="23"/>
          <w:szCs w:val="23"/>
        </w:rPr>
        <w:t>mercati regolamentati</w:t>
      </w:r>
      <w:r w:rsidRPr="005F3212">
        <w:rPr>
          <w:rFonts w:ascii="Arial" w:hAnsi="Arial" w:cs="Arial"/>
          <w:sz w:val="23"/>
          <w:szCs w:val="23"/>
        </w:rPr>
        <w:t xml:space="preserve">, le Norme rappresentano un punto di riferimento al quale possono utilmente ispirarsi anche le </w:t>
      </w:r>
      <w:r w:rsidRPr="005F3212">
        <w:rPr>
          <w:rFonts w:ascii="Arial" w:hAnsi="Arial" w:cs="Arial"/>
          <w:b/>
          <w:bCs/>
          <w:sz w:val="23"/>
          <w:szCs w:val="23"/>
        </w:rPr>
        <w:lastRenderedPageBreak/>
        <w:t>società con azioni negoziate nei mercati alternativi</w:t>
      </w:r>
      <w:r w:rsidRPr="005F3212">
        <w:rPr>
          <w:rFonts w:ascii="Arial" w:hAnsi="Arial" w:cs="Arial"/>
          <w:sz w:val="23"/>
          <w:szCs w:val="23"/>
        </w:rPr>
        <w:t>, previa valutazione, anche in relazione agli assetti proprietari e alle peculiarità delle singole operazioni, dell'opportunità di adeguarsi alle medesime”.</w:t>
      </w:r>
    </w:p>
    <w:p w14:paraId="6C96C768" w14:textId="77777777" w:rsidR="005F3212" w:rsidRPr="005F3212" w:rsidRDefault="005F3212" w:rsidP="005F3212">
      <w:pPr>
        <w:rPr>
          <w:rFonts w:ascii="Arial" w:hAnsi="Arial" w:cs="Arial"/>
          <w:sz w:val="23"/>
          <w:szCs w:val="23"/>
        </w:rPr>
      </w:pPr>
    </w:p>
    <w:sectPr w:rsidR="005F3212" w:rsidRPr="005F3212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EDE14" w14:textId="77777777" w:rsidR="0049248F" w:rsidRDefault="0049248F" w:rsidP="00A25D50">
      <w:r>
        <w:separator/>
      </w:r>
    </w:p>
  </w:endnote>
  <w:endnote w:type="continuationSeparator" w:id="0">
    <w:p w14:paraId="1F980BCF" w14:textId="77777777" w:rsidR="0049248F" w:rsidRDefault="0049248F" w:rsidP="00A25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ItcCentury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A29C7" w14:textId="77777777" w:rsidR="0049248F" w:rsidRDefault="0049248F" w:rsidP="00A25D50">
      <w:r>
        <w:separator/>
      </w:r>
    </w:p>
  </w:footnote>
  <w:footnote w:type="continuationSeparator" w:id="0">
    <w:p w14:paraId="0374DA72" w14:textId="77777777" w:rsidR="0049248F" w:rsidRDefault="0049248F" w:rsidP="00A25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FFB10" w14:textId="776E30DD" w:rsidR="003B37B2" w:rsidRPr="005816F1" w:rsidRDefault="004E3EC6" w:rsidP="004E3EC6">
    <w:pPr>
      <w:pStyle w:val="Intestazione"/>
      <w:tabs>
        <w:tab w:val="clear" w:pos="4819"/>
        <w:tab w:val="clear" w:pos="9638"/>
        <w:tab w:val="left" w:pos="1605"/>
        <w:tab w:val="left" w:pos="2745"/>
      </w:tabs>
      <w:jc w:val="center"/>
      <w:rPr>
        <w:sz w:val="24"/>
        <w:szCs w:val="24"/>
      </w:rPr>
    </w:pPr>
    <w:r>
      <w:rPr>
        <w:noProof/>
      </w:rPr>
      <w:drawing>
        <wp:inline distT="0" distB="0" distL="0" distR="0" wp14:anchorId="595580B3" wp14:editId="284DCDD6">
          <wp:extent cx="2926080" cy="993913"/>
          <wp:effectExtent l="0" t="0" r="0" b="0"/>
          <wp:docPr id="2112599317" name="Immagine 2112599317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8130" cy="994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EA39F4"/>
    <w:multiLevelType w:val="hybridMultilevel"/>
    <w:tmpl w:val="F2683F6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028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D50"/>
    <w:rsid w:val="00007B6D"/>
    <w:rsid w:val="00007C23"/>
    <w:rsid w:val="00012E93"/>
    <w:rsid w:val="00027BE3"/>
    <w:rsid w:val="00041437"/>
    <w:rsid w:val="00051B2D"/>
    <w:rsid w:val="000555C2"/>
    <w:rsid w:val="00055C12"/>
    <w:rsid w:val="00071CF9"/>
    <w:rsid w:val="00074F9D"/>
    <w:rsid w:val="00080E29"/>
    <w:rsid w:val="0009108B"/>
    <w:rsid w:val="000A3C95"/>
    <w:rsid w:val="000A3D02"/>
    <w:rsid w:val="000B23B8"/>
    <w:rsid w:val="000C4581"/>
    <w:rsid w:val="000D1140"/>
    <w:rsid w:val="000D46D2"/>
    <w:rsid w:val="000F1CA8"/>
    <w:rsid w:val="000F659E"/>
    <w:rsid w:val="001072C8"/>
    <w:rsid w:val="00111CF5"/>
    <w:rsid w:val="001271ED"/>
    <w:rsid w:val="00127A00"/>
    <w:rsid w:val="00136CF7"/>
    <w:rsid w:val="001447D0"/>
    <w:rsid w:val="001568B1"/>
    <w:rsid w:val="00164C51"/>
    <w:rsid w:val="00177F55"/>
    <w:rsid w:val="0018410F"/>
    <w:rsid w:val="0019376B"/>
    <w:rsid w:val="001A0044"/>
    <w:rsid w:val="001A6EDF"/>
    <w:rsid w:val="001C4D6B"/>
    <w:rsid w:val="001D3F66"/>
    <w:rsid w:val="001D48AE"/>
    <w:rsid w:val="001E0307"/>
    <w:rsid w:val="001E2682"/>
    <w:rsid w:val="001E4EF0"/>
    <w:rsid w:val="001F21E4"/>
    <w:rsid w:val="001F399E"/>
    <w:rsid w:val="001F5831"/>
    <w:rsid w:val="0020469F"/>
    <w:rsid w:val="00204F62"/>
    <w:rsid w:val="00216437"/>
    <w:rsid w:val="0022126A"/>
    <w:rsid w:val="0023378D"/>
    <w:rsid w:val="00237EC9"/>
    <w:rsid w:val="0024253C"/>
    <w:rsid w:val="00243892"/>
    <w:rsid w:val="00243F31"/>
    <w:rsid w:val="002647CB"/>
    <w:rsid w:val="00267E62"/>
    <w:rsid w:val="00277377"/>
    <w:rsid w:val="002A143A"/>
    <w:rsid w:val="002A46B8"/>
    <w:rsid w:val="002A74FE"/>
    <w:rsid w:val="002B687E"/>
    <w:rsid w:val="002B7D2B"/>
    <w:rsid w:val="002F0117"/>
    <w:rsid w:val="002F58B7"/>
    <w:rsid w:val="003002C5"/>
    <w:rsid w:val="003059CF"/>
    <w:rsid w:val="0031113D"/>
    <w:rsid w:val="00333A0F"/>
    <w:rsid w:val="0034189F"/>
    <w:rsid w:val="00347274"/>
    <w:rsid w:val="00356418"/>
    <w:rsid w:val="003606F3"/>
    <w:rsid w:val="00365441"/>
    <w:rsid w:val="003771AB"/>
    <w:rsid w:val="00382DCB"/>
    <w:rsid w:val="00394F50"/>
    <w:rsid w:val="003A20B9"/>
    <w:rsid w:val="003A2DAE"/>
    <w:rsid w:val="003A52D9"/>
    <w:rsid w:val="003A643A"/>
    <w:rsid w:val="003A663E"/>
    <w:rsid w:val="003A73E6"/>
    <w:rsid w:val="003B37B2"/>
    <w:rsid w:val="003E3AB2"/>
    <w:rsid w:val="00407826"/>
    <w:rsid w:val="004328C7"/>
    <w:rsid w:val="00446E08"/>
    <w:rsid w:val="00463C7D"/>
    <w:rsid w:val="004812F0"/>
    <w:rsid w:val="0049248F"/>
    <w:rsid w:val="004B1F06"/>
    <w:rsid w:val="004B7F50"/>
    <w:rsid w:val="004C59E2"/>
    <w:rsid w:val="004E34CF"/>
    <w:rsid w:val="004E3EC6"/>
    <w:rsid w:val="004F0506"/>
    <w:rsid w:val="004F6EF6"/>
    <w:rsid w:val="0050036C"/>
    <w:rsid w:val="00503FF5"/>
    <w:rsid w:val="005135B9"/>
    <w:rsid w:val="00513CFB"/>
    <w:rsid w:val="0052277C"/>
    <w:rsid w:val="0053620E"/>
    <w:rsid w:val="00537AF6"/>
    <w:rsid w:val="005409C2"/>
    <w:rsid w:val="00543803"/>
    <w:rsid w:val="00544C5E"/>
    <w:rsid w:val="005503BE"/>
    <w:rsid w:val="00555FDC"/>
    <w:rsid w:val="00561CB7"/>
    <w:rsid w:val="00564A6A"/>
    <w:rsid w:val="0059550F"/>
    <w:rsid w:val="00595B13"/>
    <w:rsid w:val="005B64A0"/>
    <w:rsid w:val="005F3212"/>
    <w:rsid w:val="006150FC"/>
    <w:rsid w:val="00645F87"/>
    <w:rsid w:val="00646006"/>
    <w:rsid w:val="0065788A"/>
    <w:rsid w:val="00673CD2"/>
    <w:rsid w:val="006842B5"/>
    <w:rsid w:val="00685BF9"/>
    <w:rsid w:val="00687D67"/>
    <w:rsid w:val="00692C5A"/>
    <w:rsid w:val="006B0A61"/>
    <w:rsid w:val="006B282B"/>
    <w:rsid w:val="006B5515"/>
    <w:rsid w:val="006C090E"/>
    <w:rsid w:val="006C4593"/>
    <w:rsid w:val="006C4C65"/>
    <w:rsid w:val="006F38A6"/>
    <w:rsid w:val="00713B57"/>
    <w:rsid w:val="00733833"/>
    <w:rsid w:val="00740F1F"/>
    <w:rsid w:val="007410F9"/>
    <w:rsid w:val="007451A9"/>
    <w:rsid w:val="007451D3"/>
    <w:rsid w:val="00763CE4"/>
    <w:rsid w:val="00772CD8"/>
    <w:rsid w:val="00773D0E"/>
    <w:rsid w:val="00777FC6"/>
    <w:rsid w:val="00780F0B"/>
    <w:rsid w:val="007840AA"/>
    <w:rsid w:val="007B2325"/>
    <w:rsid w:val="007B6CE4"/>
    <w:rsid w:val="007C2A85"/>
    <w:rsid w:val="007E7258"/>
    <w:rsid w:val="0080228B"/>
    <w:rsid w:val="00803B21"/>
    <w:rsid w:val="008168D0"/>
    <w:rsid w:val="0081779E"/>
    <w:rsid w:val="00840BF8"/>
    <w:rsid w:val="008417DC"/>
    <w:rsid w:val="0088021D"/>
    <w:rsid w:val="00883612"/>
    <w:rsid w:val="00895B38"/>
    <w:rsid w:val="00897909"/>
    <w:rsid w:val="008B3982"/>
    <w:rsid w:val="008C35A0"/>
    <w:rsid w:val="008E140C"/>
    <w:rsid w:val="008E55E3"/>
    <w:rsid w:val="008F01F8"/>
    <w:rsid w:val="008F69B1"/>
    <w:rsid w:val="00901181"/>
    <w:rsid w:val="00904442"/>
    <w:rsid w:val="009357A4"/>
    <w:rsid w:val="009359D8"/>
    <w:rsid w:val="009558A6"/>
    <w:rsid w:val="009679A1"/>
    <w:rsid w:val="009726DC"/>
    <w:rsid w:val="009A61B8"/>
    <w:rsid w:val="009B6359"/>
    <w:rsid w:val="009C4006"/>
    <w:rsid w:val="009C6FB2"/>
    <w:rsid w:val="009D18CC"/>
    <w:rsid w:val="009D2456"/>
    <w:rsid w:val="00A04E4C"/>
    <w:rsid w:val="00A2361E"/>
    <w:rsid w:val="00A23A10"/>
    <w:rsid w:val="00A25D50"/>
    <w:rsid w:val="00A36955"/>
    <w:rsid w:val="00A41325"/>
    <w:rsid w:val="00A547B5"/>
    <w:rsid w:val="00A618D3"/>
    <w:rsid w:val="00A67C3B"/>
    <w:rsid w:val="00A74AA6"/>
    <w:rsid w:val="00A77976"/>
    <w:rsid w:val="00A854AA"/>
    <w:rsid w:val="00AE049F"/>
    <w:rsid w:val="00AE0BB1"/>
    <w:rsid w:val="00AE2F64"/>
    <w:rsid w:val="00AE2FF1"/>
    <w:rsid w:val="00B154FD"/>
    <w:rsid w:val="00B2654F"/>
    <w:rsid w:val="00B278C1"/>
    <w:rsid w:val="00B4713B"/>
    <w:rsid w:val="00B56245"/>
    <w:rsid w:val="00B623C7"/>
    <w:rsid w:val="00B93E34"/>
    <w:rsid w:val="00B95666"/>
    <w:rsid w:val="00BA19DE"/>
    <w:rsid w:val="00BB3259"/>
    <w:rsid w:val="00BC0331"/>
    <w:rsid w:val="00BC683F"/>
    <w:rsid w:val="00BE5CB4"/>
    <w:rsid w:val="00BF6083"/>
    <w:rsid w:val="00C04C6A"/>
    <w:rsid w:val="00C11198"/>
    <w:rsid w:val="00C17FC9"/>
    <w:rsid w:val="00C20913"/>
    <w:rsid w:val="00C25278"/>
    <w:rsid w:val="00C3730F"/>
    <w:rsid w:val="00C66A20"/>
    <w:rsid w:val="00C703AA"/>
    <w:rsid w:val="00C76BEE"/>
    <w:rsid w:val="00C80173"/>
    <w:rsid w:val="00C82382"/>
    <w:rsid w:val="00C84922"/>
    <w:rsid w:val="00C87780"/>
    <w:rsid w:val="00C974AB"/>
    <w:rsid w:val="00CC6E36"/>
    <w:rsid w:val="00CF5627"/>
    <w:rsid w:val="00D0014F"/>
    <w:rsid w:val="00D31EDC"/>
    <w:rsid w:val="00D626C3"/>
    <w:rsid w:val="00D66F96"/>
    <w:rsid w:val="00D742E0"/>
    <w:rsid w:val="00D8383C"/>
    <w:rsid w:val="00D86F1A"/>
    <w:rsid w:val="00DA0ED2"/>
    <w:rsid w:val="00DB0771"/>
    <w:rsid w:val="00DC6813"/>
    <w:rsid w:val="00DE7244"/>
    <w:rsid w:val="00E4100D"/>
    <w:rsid w:val="00E80398"/>
    <w:rsid w:val="00EC1A2D"/>
    <w:rsid w:val="00EC7099"/>
    <w:rsid w:val="00ED55FF"/>
    <w:rsid w:val="00EE2F69"/>
    <w:rsid w:val="00F011E8"/>
    <w:rsid w:val="00F06907"/>
    <w:rsid w:val="00F13E2C"/>
    <w:rsid w:val="00F21C61"/>
    <w:rsid w:val="00F22B6C"/>
    <w:rsid w:val="00F45169"/>
    <w:rsid w:val="00F524D2"/>
    <w:rsid w:val="00F53C83"/>
    <w:rsid w:val="00F54D2A"/>
    <w:rsid w:val="00F5789E"/>
    <w:rsid w:val="00F70F2A"/>
    <w:rsid w:val="00F8774F"/>
    <w:rsid w:val="00F910CC"/>
    <w:rsid w:val="00F970FF"/>
    <w:rsid w:val="00FA0468"/>
    <w:rsid w:val="00FB1FE4"/>
    <w:rsid w:val="00FB6832"/>
    <w:rsid w:val="00FC23F6"/>
    <w:rsid w:val="00FD5B72"/>
    <w:rsid w:val="00FD6D4F"/>
    <w:rsid w:val="00FE1C1C"/>
    <w:rsid w:val="00FF285E"/>
    <w:rsid w:val="00FF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7E1A2"/>
  <w15:docId w15:val="{1AB63A64-E29F-4F0A-BDEB-1C93A3EEA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5D50"/>
    <w:pPr>
      <w:spacing w:after="0" w:line="240" w:lineRule="auto"/>
    </w:pPr>
  </w:style>
  <w:style w:type="paragraph" w:styleId="Titolo1">
    <w:name w:val="heading 1"/>
    <w:basedOn w:val="Normale"/>
    <w:link w:val="Titolo1Carattere"/>
    <w:uiPriority w:val="9"/>
    <w:qFormat/>
    <w:rsid w:val="001E268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25D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5D50"/>
  </w:style>
  <w:style w:type="paragraph" w:styleId="Pidipagina">
    <w:name w:val="footer"/>
    <w:basedOn w:val="Normale"/>
    <w:link w:val="PidipaginaCarattere"/>
    <w:uiPriority w:val="99"/>
    <w:unhideWhenUsed/>
    <w:rsid w:val="00A25D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5D50"/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A25D50"/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A25D50"/>
    <w:rPr>
      <w:rFonts w:eastAsiaTheme="minorEastAsia"/>
      <w:lang w:eastAsia="it-IT"/>
    </w:rPr>
  </w:style>
  <w:style w:type="paragraph" w:customStyle="1" w:styleId="cpv">
    <w:name w:val="cpv"/>
    <w:uiPriority w:val="99"/>
    <w:rsid w:val="00A25D50"/>
    <w:pPr>
      <w:widowControl w:val="0"/>
      <w:tabs>
        <w:tab w:val="left" w:pos="0"/>
        <w:tab w:val="left" w:pos="1418"/>
        <w:tab w:val="left" w:pos="2835"/>
        <w:tab w:val="left" w:pos="4252"/>
      </w:tabs>
      <w:autoSpaceDE w:val="0"/>
      <w:autoSpaceDN w:val="0"/>
      <w:adjustRightInd w:val="0"/>
      <w:spacing w:before="175" w:after="0" w:line="25" w:lineRule="atLeast"/>
      <w:jc w:val="both"/>
    </w:pPr>
    <w:rPr>
      <w:rFonts w:ascii="ItcCenturyLight" w:eastAsia="Times New Roman" w:hAnsi="ItcCenturyLight" w:cs="ItcCenturyLight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25D50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25D50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25D50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8B398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B398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B398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B398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B3982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2CD8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2CD8"/>
    <w:rPr>
      <w:rFonts w:ascii="Times New Roman" w:hAnsi="Times New Roman" w:cs="Times New Roman"/>
      <w:sz w:val="18"/>
      <w:szCs w:val="18"/>
    </w:rPr>
  </w:style>
  <w:style w:type="paragraph" w:styleId="Revisione">
    <w:name w:val="Revision"/>
    <w:hidden/>
    <w:uiPriority w:val="99"/>
    <w:semiHidden/>
    <w:rsid w:val="003E3AB2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1447D0"/>
    <w:pPr>
      <w:ind w:left="720"/>
      <w:contextualSpacing/>
    </w:pPr>
  </w:style>
  <w:style w:type="paragraph" w:customStyle="1" w:styleId="Default">
    <w:name w:val="Default"/>
    <w:rsid w:val="004F050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1F39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1F399E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y2iqfc">
    <w:name w:val="y2iqfc"/>
    <w:basedOn w:val="Carpredefinitoparagrafo"/>
    <w:rsid w:val="001F399E"/>
  </w:style>
  <w:style w:type="character" w:customStyle="1" w:styleId="Titolo1Carattere">
    <w:name w:val="Titolo 1 Carattere"/>
    <w:basedOn w:val="Carpredefinitoparagrafo"/>
    <w:link w:val="Titolo1"/>
    <w:uiPriority w:val="9"/>
    <w:rsid w:val="001E2682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BC0331"/>
    <w:rPr>
      <w:b/>
      <w:bCs/>
    </w:rPr>
  </w:style>
  <w:style w:type="paragraph" w:customStyle="1" w:styleId="TitoloDocumento">
    <w:name w:val="Titolo Documento"/>
    <w:basedOn w:val="Normale"/>
    <w:qFormat/>
    <w:rsid w:val="00C04C6A"/>
    <w:pPr>
      <w:autoSpaceDE w:val="0"/>
      <w:autoSpaceDN w:val="0"/>
      <w:adjustRightInd w:val="0"/>
      <w:jc w:val="both"/>
    </w:pPr>
    <w:rPr>
      <w:rFonts w:ascii="Calibri" w:eastAsia="Calibri" w:hAnsi="Calibri" w:cs="Calibri"/>
      <w:b/>
      <w:smallCaps/>
      <w:color w:val="FFFFFF" w:themeColor="background1"/>
      <w:sz w:val="72"/>
      <w:szCs w:val="72"/>
    </w:rPr>
  </w:style>
  <w:style w:type="paragraph" w:styleId="NormaleWeb">
    <w:name w:val="Normal (Web)"/>
    <w:basedOn w:val="Normale"/>
    <w:uiPriority w:val="99"/>
    <w:unhideWhenUsed/>
    <w:rsid w:val="001072C8"/>
    <w:rPr>
      <w:rFonts w:ascii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e"/>
    <w:rsid w:val="00FB68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22126A"/>
    <w:rPr>
      <w:i/>
      <w:iCs/>
    </w:rPr>
  </w:style>
  <w:style w:type="paragraph" w:styleId="Corpotesto">
    <w:name w:val="Body Text"/>
    <w:basedOn w:val="Normale"/>
    <w:link w:val="CorpotestoCarattere"/>
    <w:uiPriority w:val="1"/>
    <w:qFormat/>
    <w:rsid w:val="00EC7099"/>
    <w:pPr>
      <w:widowControl w:val="0"/>
      <w:autoSpaceDE w:val="0"/>
      <w:autoSpaceDN w:val="0"/>
      <w:spacing w:before="46"/>
      <w:ind w:left="20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C7099"/>
    <w:rPr>
      <w:rFonts w:ascii="Times New Roman" w:eastAsia="Times New Roman" w:hAnsi="Times New Roman" w:cs="Times New Roman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0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Tiziana</cp:lastModifiedBy>
  <cp:revision>3</cp:revision>
  <cp:lastPrinted>2023-12-13T11:29:00Z</cp:lastPrinted>
  <dcterms:created xsi:type="dcterms:W3CDTF">2023-12-20T16:34:00Z</dcterms:created>
  <dcterms:modified xsi:type="dcterms:W3CDTF">2023-12-21T09:05:00Z</dcterms:modified>
</cp:coreProperties>
</file>