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75BA" w14:textId="77777777" w:rsidR="00C8115B" w:rsidRPr="00410E38" w:rsidRDefault="00C8115B" w:rsidP="00410E38">
      <w:pPr>
        <w:shd w:val="clear" w:color="auto" w:fill="FFFFFF"/>
        <w:tabs>
          <w:tab w:val="left" w:pos="5916"/>
        </w:tabs>
        <w:jc w:val="center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34C3F908" w14:textId="77777777" w:rsidR="00F95513" w:rsidRPr="00456AF9" w:rsidRDefault="00F95513" w:rsidP="00456AF9">
      <w:pPr>
        <w:pStyle w:val="xmsonormal"/>
        <w:shd w:val="clear" w:color="auto" w:fill="FFFFFF"/>
        <w:jc w:val="both"/>
        <w:rPr>
          <w:rStyle w:val="contentpasted0"/>
          <w:rFonts w:ascii="Arial" w:hAnsi="Arial" w:cs="Arial"/>
          <w:b/>
          <w:bCs/>
          <w:sz w:val="23"/>
          <w:szCs w:val="23"/>
          <w:u w:val="single"/>
          <w:bdr w:val="none" w:sz="0" w:space="0" w:color="auto" w:frame="1"/>
        </w:rPr>
      </w:pPr>
    </w:p>
    <w:p w14:paraId="7DA6F8E6" w14:textId="164E26C8" w:rsidR="00F95513" w:rsidRPr="00456AF9" w:rsidRDefault="00F95513" w:rsidP="00456AF9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3"/>
          <w:szCs w:val="23"/>
          <w:u w:val="single"/>
          <w:bdr w:val="none" w:sz="0" w:space="0" w:color="auto" w:frame="1"/>
        </w:rPr>
      </w:pPr>
      <w:r w:rsidRPr="00456AF9">
        <w:rPr>
          <w:rStyle w:val="contentpasted0"/>
          <w:rFonts w:ascii="Arial" w:hAnsi="Arial" w:cs="Arial"/>
          <w:b/>
          <w:bCs/>
          <w:sz w:val="23"/>
          <w:szCs w:val="23"/>
          <w:u w:val="single"/>
          <w:bdr w:val="none" w:sz="0" w:space="0" w:color="auto" w:frame="1"/>
        </w:rPr>
        <w:t>Comunicato stampa</w:t>
      </w:r>
    </w:p>
    <w:p w14:paraId="574D6EC4" w14:textId="77777777" w:rsidR="00456AF9" w:rsidRPr="00456AF9" w:rsidRDefault="00456AF9" w:rsidP="00456AF9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3"/>
          <w:szCs w:val="23"/>
          <w:u w:val="single"/>
          <w:bdr w:val="none" w:sz="0" w:space="0" w:color="auto" w:frame="1"/>
        </w:rPr>
      </w:pPr>
    </w:p>
    <w:p w14:paraId="062FE6EC" w14:textId="2B806867" w:rsidR="00456AF9" w:rsidRDefault="00456AF9" w:rsidP="00456AF9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3"/>
          <w:szCs w:val="23"/>
          <w:bdr w:val="none" w:sz="0" w:space="0" w:color="auto" w:frame="1"/>
        </w:rPr>
      </w:pPr>
      <w:r w:rsidRPr="00456AF9">
        <w:rPr>
          <w:rStyle w:val="contentpasted0"/>
          <w:rFonts w:ascii="Arial" w:hAnsi="Arial" w:cs="Arial"/>
          <w:b/>
          <w:bCs/>
          <w:sz w:val="23"/>
          <w:szCs w:val="23"/>
          <w:bdr w:val="none" w:sz="0" w:space="0" w:color="auto" w:frame="1"/>
        </w:rPr>
        <w:t>COMMERCIALISTI, DAL 12 FEBBRAIO AL VIA UN CORSO DI ALTA FORMAZIONE SUI CTU</w:t>
      </w:r>
    </w:p>
    <w:p w14:paraId="5175BD2E" w14:textId="77777777" w:rsidR="00423094" w:rsidRPr="00456AF9" w:rsidRDefault="00423094" w:rsidP="00456AF9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3"/>
          <w:szCs w:val="23"/>
          <w:bdr w:val="none" w:sz="0" w:space="0" w:color="auto" w:frame="1"/>
        </w:rPr>
      </w:pPr>
    </w:p>
    <w:p w14:paraId="31F857BB" w14:textId="1D7B90A2" w:rsidR="00456AF9" w:rsidRDefault="00456AF9" w:rsidP="00456AF9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sz w:val="23"/>
          <w:szCs w:val="23"/>
          <w:bdr w:val="none" w:sz="0" w:space="0" w:color="auto" w:frame="1"/>
        </w:rPr>
      </w:pPr>
      <w:r w:rsidRPr="00456AF9">
        <w:rPr>
          <w:rStyle w:val="contentpasted0"/>
          <w:rFonts w:ascii="Arial" w:hAnsi="Arial" w:cs="Arial"/>
          <w:b/>
          <w:bCs/>
          <w:sz w:val="23"/>
          <w:szCs w:val="23"/>
          <w:bdr w:val="none" w:sz="0" w:space="0" w:color="auto" w:frame="1"/>
        </w:rPr>
        <w:t>Organizzato dall’Ordine di Bologna della categoria con il Dipartimento di Scienze aziendali dell’Università cittadina, è patrocinato dal Consiglio nazionale dei commercialisti e dall’Associazione dei curatori e dei CTU del tribunale felsineo</w:t>
      </w:r>
    </w:p>
    <w:p w14:paraId="62B744A7" w14:textId="77777777" w:rsidR="00423094" w:rsidRPr="00456AF9" w:rsidRDefault="00423094" w:rsidP="00456AF9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sz w:val="23"/>
          <w:szCs w:val="23"/>
        </w:rPr>
      </w:pPr>
    </w:p>
    <w:p w14:paraId="09A77D1A" w14:textId="4F3278A2" w:rsidR="00F95513" w:rsidRPr="00456AF9" w:rsidRDefault="00F95513" w:rsidP="00456AF9">
      <w:pPr>
        <w:pStyle w:val="xmsonormal"/>
        <w:shd w:val="clear" w:color="auto" w:fill="FFFFFF"/>
        <w:jc w:val="both"/>
        <w:rPr>
          <w:rFonts w:ascii="Arial" w:hAnsi="Arial" w:cs="Arial"/>
          <w:b/>
          <w:bCs/>
          <w:sz w:val="23"/>
          <w:szCs w:val="23"/>
        </w:rPr>
      </w:pPr>
    </w:p>
    <w:p w14:paraId="0E53F518" w14:textId="77777777" w:rsidR="00423094" w:rsidRDefault="005C5152" w:rsidP="00456AF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456AF9">
        <w:rPr>
          <w:rFonts w:ascii="Arial" w:hAnsi="Arial" w:cs="Arial"/>
          <w:i/>
          <w:iCs/>
          <w:sz w:val="23"/>
          <w:szCs w:val="23"/>
        </w:rPr>
        <w:t>Roma, 3</w:t>
      </w:r>
      <w:r w:rsidR="00456AF9" w:rsidRPr="00456AF9">
        <w:rPr>
          <w:rFonts w:ascii="Arial" w:hAnsi="Arial" w:cs="Arial"/>
          <w:i/>
          <w:iCs/>
          <w:sz w:val="23"/>
          <w:szCs w:val="23"/>
        </w:rPr>
        <w:t>1</w:t>
      </w:r>
      <w:r w:rsidRPr="00456AF9">
        <w:rPr>
          <w:rFonts w:ascii="Arial" w:hAnsi="Arial" w:cs="Arial"/>
          <w:i/>
          <w:iCs/>
          <w:sz w:val="23"/>
          <w:szCs w:val="23"/>
        </w:rPr>
        <w:t xml:space="preserve"> gennaio 2024 -</w:t>
      </w:r>
      <w:r w:rsidRPr="00456AF9">
        <w:rPr>
          <w:rFonts w:ascii="Arial" w:hAnsi="Arial" w:cs="Arial"/>
          <w:sz w:val="23"/>
          <w:szCs w:val="23"/>
        </w:rPr>
        <w:t xml:space="preserve"> </w:t>
      </w:r>
      <w:r w:rsidR="00456AF9" w:rsidRPr="00456AF9">
        <w:rPr>
          <w:rFonts w:ascii="Arial" w:hAnsi="Arial" w:cs="Arial"/>
          <w:color w:val="333333"/>
          <w:sz w:val="23"/>
          <w:szCs w:val="23"/>
        </w:rPr>
        <w:t>“</w:t>
      </w:r>
      <w:r w:rsidR="00456AF9"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L’attività del consulente tecnico e del perito nei giudizi civili e penali: questioni processuali e </w:t>
      </w:r>
      <w:proofErr w:type="spellStart"/>
      <w:r w:rsidR="00456AF9"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cases</w:t>
      </w:r>
      <w:proofErr w:type="spellEnd"/>
      <w:r w:rsidR="00456AF9"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study</w:t>
      </w:r>
      <w:r w:rsidR="00456AF9" w:rsidRPr="00456AF9">
        <w:rPr>
          <w:rFonts w:ascii="Arial" w:hAnsi="Arial" w:cs="Arial"/>
          <w:color w:val="333333"/>
          <w:sz w:val="23"/>
          <w:szCs w:val="23"/>
        </w:rPr>
        <w:t>” è il titolo del corso di alta formazione gratuito organizzato dall’Ordine dei commercialisti di Bologna con l’Associazione dei curatori e dei CTU del tribunale del capoluogo emiliano. Il corso, che gode del </w:t>
      </w:r>
      <w:r w:rsidR="00456AF9"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patrocinio del Consiglio nazionale dei commercialisti </w:t>
      </w:r>
      <w:r w:rsidR="00456AF9" w:rsidRPr="00456AF9">
        <w:rPr>
          <w:rFonts w:ascii="Arial" w:hAnsi="Arial" w:cs="Arial"/>
          <w:color w:val="333333"/>
          <w:sz w:val="23"/>
          <w:szCs w:val="23"/>
        </w:rPr>
        <w:t>e del dipartimento di scienze aziendali dell’Università cittadina Alma Mater, prenderà il via il </w:t>
      </w:r>
      <w:r w:rsidR="00456AF9"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12 febbraio</w:t>
      </w:r>
      <w:r w:rsidR="00456AF9" w:rsidRPr="00456AF9">
        <w:rPr>
          <w:rFonts w:ascii="Arial" w:hAnsi="Arial" w:cs="Arial"/>
          <w:color w:val="333333"/>
          <w:sz w:val="23"/>
          <w:szCs w:val="23"/>
        </w:rPr>
        <w:t> con la prima delle cinque giornate di studio.</w:t>
      </w:r>
      <w:r w:rsidR="00423094">
        <w:rPr>
          <w:rFonts w:ascii="Arial" w:hAnsi="Arial" w:cs="Arial"/>
          <w:color w:val="333333"/>
          <w:sz w:val="23"/>
          <w:szCs w:val="23"/>
        </w:rPr>
        <w:t xml:space="preserve"> </w:t>
      </w:r>
      <w:r w:rsidR="00456AF9" w:rsidRPr="00456AF9">
        <w:rPr>
          <w:rFonts w:ascii="Arial" w:hAnsi="Arial" w:cs="Arial"/>
          <w:color w:val="333333"/>
          <w:sz w:val="23"/>
          <w:szCs w:val="23"/>
        </w:rPr>
        <w:t>Le altre sono in programma il </w:t>
      </w:r>
      <w:r w:rsidR="00456AF9"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26 febbraio</w:t>
      </w:r>
      <w:r w:rsidR="00456AF9" w:rsidRPr="00456AF9">
        <w:rPr>
          <w:rFonts w:ascii="Arial" w:hAnsi="Arial" w:cs="Arial"/>
          <w:color w:val="333333"/>
          <w:sz w:val="23"/>
          <w:szCs w:val="23"/>
        </w:rPr>
        <w:t>, l’</w:t>
      </w:r>
      <w:r w:rsidR="00456AF9"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11 marzo</w:t>
      </w:r>
      <w:r w:rsidR="00456AF9" w:rsidRPr="00456AF9">
        <w:rPr>
          <w:rFonts w:ascii="Arial" w:hAnsi="Arial" w:cs="Arial"/>
          <w:color w:val="333333"/>
          <w:sz w:val="23"/>
          <w:szCs w:val="23"/>
        </w:rPr>
        <w:t>, il </w:t>
      </w:r>
      <w:r w:rsidR="00456AF9"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25 marzo</w:t>
      </w:r>
      <w:r w:rsidR="00456AF9" w:rsidRPr="00456AF9">
        <w:rPr>
          <w:rFonts w:ascii="Arial" w:hAnsi="Arial" w:cs="Arial"/>
          <w:color w:val="333333"/>
          <w:sz w:val="23"/>
          <w:szCs w:val="23"/>
        </w:rPr>
        <w:t> e il </w:t>
      </w:r>
      <w:r w:rsidR="00456AF9"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15 aprile</w:t>
      </w:r>
      <w:r w:rsidR="00456AF9" w:rsidRPr="00456AF9">
        <w:rPr>
          <w:rFonts w:ascii="Arial" w:hAnsi="Arial" w:cs="Arial"/>
          <w:color w:val="333333"/>
          <w:sz w:val="23"/>
          <w:szCs w:val="23"/>
        </w:rPr>
        <w:t>.</w:t>
      </w:r>
    </w:p>
    <w:p w14:paraId="6333BBE7" w14:textId="77777777" w:rsidR="00423094" w:rsidRDefault="00423094" w:rsidP="00456AF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1F04936C" w14:textId="77777777" w:rsidR="00423094" w:rsidRDefault="00456AF9" w:rsidP="00456AF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456AF9">
        <w:rPr>
          <w:rFonts w:ascii="Arial" w:hAnsi="Arial" w:cs="Arial"/>
          <w:color w:val="333333"/>
          <w:sz w:val="23"/>
          <w:szCs w:val="23"/>
        </w:rPr>
        <w:t>La frequenza del corso dà diritto a </w:t>
      </w:r>
      <w:r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15 crediti</w:t>
      </w:r>
      <w:r w:rsidRPr="00456AF9">
        <w:rPr>
          <w:rFonts w:ascii="Arial" w:hAnsi="Arial" w:cs="Arial"/>
          <w:color w:val="333333"/>
          <w:sz w:val="23"/>
          <w:szCs w:val="23"/>
        </w:rPr>
        <w:t> validi ai fini della formazione professionale dei commercialisti. Sarà possibile seguire le lezioni sia in presenza, presso l’Ordine dei commercialisti di Bologna, sia a distanza sulla piattaforma go to webinar.</w:t>
      </w:r>
    </w:p>
    <w:p w14:paraId="25E64193" w14:textId="77777777" w:rsidR="00423094" w:rsidRDefault="00423094" w:rsidP="00456AF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487556E1" w14:textId="0D9846F1" w:rsidR="00456AF9" w:rsidRDefault="00456AF9" w:rsidP="00456AF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456AF9">
        <w:rPr>
          <w:rFonts w:ascii="Arial" w:hAnsi="Arial" w:cs="Arial"/>
          <w:color w:val="333333"/>
          <w:sz w:val="23"/>
          <w:szCs w:val="23"/>
        </w:rPr>
        <w:t>Nel corso della prima giornata sono previsti i saluti istituzionali del segretario, delegato alle funzioni Giudiziarie e ADR del Consiglio nazionale dei commercialisti, </w:t>
      </w:r>
      <w:r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Giovanna Greco</w:t>
      </w:r>
      <w:r w:rsidRPr="00456AF9">
        <w:rPr>
          <w:rFonts w:ascii="Arial" w:hAnsi="Arial" w:cs="Arial"/>
          <w:color w:val="333333"/>
          <w:sz w:val="23"/>
          <w:szCs w:val="23"/>
        </w:rPr>
        <w:t>, della presidente dell’Ordine locale dei commercialisti, </w:t>
      </w:r>
      <w:r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Enrica Piacquadio</w:t>
      </w:r>
      <w:r w:rsidRPr="00456AF9">
        <w:rPr>
          <w:rFonts w:ascii="Arial" w:hAnsi="Arial" w:cs="Arial"/>
          <w:color w:val="333333"/>
          <w:sz w:val="23"/>
          <w:szCs w:val="23"/>
        </w:rPr>
        <w:t>, del presidente del Tribunale di Bologna, </w:t>
      </w:r>
      <w:r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Pasquale Liccardo</w:t>
      </w:r>
      <w:r w:rsidRPr="00456AF9">
        <w:rPr>
          <w:rFonts w:ascii="Arial" w:hAnsi="Arial" w:cs="Arial"/>
          <w:color w:val="333333"/>
          <w:sz w:val="23"/>
          <w:szCs w:val="23"/>
        </w:rPr>
        <w:t> e del Presidente dell’Associazione dei curatori e dei CTU del Tribunale di Bologna, </w:t>
      </w:r>
      <w:r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Esterina </w:t>
      </w:r>
      <w:proofErr w:type="spellStart"/>
      <w:r w:rsidRPr="00456AF9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Littardi</w:t>
      </w:r>
      <w:proofErr w:type="spellEnd"/>
      <w:r w:rsidRPr="00456AF9">
        <w:rPr>
          <w:rFonts w:ascii="Arial" w:hAnsi="Arial" w:cs="Arial"/>
          <w:color w:val="333333"/>
          <w:sz w:val="23"/>
          <w:szCs w:val="23"/>
        </w:rPr>
        <w:t>.</w:t>
      </w:r>
    </w:p>
    <w:p w14:paraId="43686A4F" w14:textId="77777777" w:rsidR="00423094" w:rsidRPr="00456AF9" w:rsidRDefault="00423094" w:rsidP="00456AF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5892DAD1" w14:textId="77777777" w:rsidR="00456AF9" w:rsidRDefault="00456AF9" w:rsidP="00456A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456AF9">
        <w:rPr>
          <w:rFonts w:ascii="Arial" w:eastAsia="Times New Roman" w:hAnsi="Arial" w:cs="Arial"/>
          <w:color w:val="333333"/>
          <w:sz w:val="23"/>
          <w:szCs w:val="23"/>
        </w:rPr>
        <w:t>Il corso si pone l’obiettivo di fornire una puntuale conoscenza delle </w:t>
      </w:r>
      <w:r w:rsidRPr="00456AF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dinamiche processuali</w:t>
      </w:r>
      <w:r w:rsidRPr="00456AF9">
        <w:rPr>
          <w:rFonts w:ascii="Arial" w:eastAsia="Times New Roman" w:hAnsi="Arial" w:cs="Arial"/>
          <w:color w:val="333333"/>
          <w:sz w:val="23"/>
          <w:szCs w:val="23"/>
        </w:rPr>
        <w:t> che regolano l’attività del consulente tecnico e del perito nei </w:t>
      </w:r>
      <w:r w:rsidRPr="00456AF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procedimenti civili e penali</w:t>
      </w:r>
      <w:r w:rsidRPr="00456AF9">
        <w:rPr>
          <w:rFonts w:ascii="Arial" w:eastAsia="Times New Roman" w:hAnsi="Arial" w:cs="Arial"/>
          <w:color w:val="333333"/>
          <w:sz w:val="23"/>
          <w:szCs w:val="23"/>
        </w:rPr>
        <w:t>, anche alla luce delle novità introdotte dalla </w:t>
      </w:r>
      <w:r w:rsidRPr="00456AF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riforma Cartabia</w:t>
      </w:r>
      <w:r w:rsidRPr="00456AF9">
        <w:rPr>
          <w:rFonts w:ascii="Arial" w:eastAsia="Times New Roman" w:hAnsi="Arial" w:cs="Arial"/>
          <w:color w:val="333333"/>
          <w:sz w:val="23"/>
          <w:szCs w:val="23"/>
        </w:rPr>
        <w:t>. Una parte iniziale viene riservata alle novità dettate dal </w:t>
      </w:r>
      <w:r w:rsidRPr="00456AF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D.M. n. 109/2023</w:t>
      </w:r>
      <w:r w:rsidRPr="00456AF9">
        <w:rPr>
          <w:rFonts w:ascii="Arial" w:eastAsia="Times New Roman" w:hAnsi="Arial" w:cs="Arial"/>
          <w:color w:val="333333"/>
          <w:sz w:val="23"/>
          <w:szCs w:val="23"/>
        </w:rPr>
        <w:t> in tema di iscrizione, formazione, tenuta ed aggiornamento del </w:t>
      </w:r>
      <w:r w:rsidRPr="00456AF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Nuovo Portale Albo telematico CTU</w:t>
      </w:r>
      <w:r w:rsidRPr="00456AF9">
        <w:rPr>
          <w:rFonts w:ascii="Arial" w:eastAsia="Times New Roman" w:hAnsi="Arial" w:cs="Arial"/>
          <w:color w:val="333333"/>
          <w:sz w:val="23"/>
          <w:szCs w:val="23"/>
        </w:rPr>
        <w:t>, </w:t>
      </w:r>
      <w:r w:rsidRPr="00456AF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periti ed elenco nazionale</w:t>
      </w:r>
      <w:r w:rsidRPr="00456AF9">
        <w:rPr>
          <w:rFonts w:ascii="Arial" w:eastAsia="Times New Roman" w:hAnsi="Arial" w:cs="Arial"/>
          <w:color w:val="333333"/>
          <w:sz w:val="23"/>
          <w:szCs w:val="23"/>
        </w:rPr>
        <w:t>. Secondo le norme processuali, il consulente tecnico è un ausiliario, dotato di competenza tecnica “particolare” o “speciale” che assiste il giudice per il compimento di atti processuali, divenendo tale qualifica un requisito indispensabile ai fini dell’</w:t>
      </w:r>
      <w:r w:rsidRPr="00456AF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iscrizione</w:t>
      </w:r>
      <w:r w:rsidRPr="00456AF9">
        <w:rPr>
          <w:rFonts w:ascii="Arial" w:eastAsia="Times New Roman" w:hAnsi="Arial" w:cs="Arial"/>
          <w:color w:val="333333"/>
          <w:sz w:val="23"/>
          <w:szCs w:val="23"/>
        </w:rPr>
        <w:t> all’Albo dei CTU ed alla permanenza all’interno dello stesso. In tale ottica, il corso mira a far conseguire il requisito di “</w:t>
      </w:r>
      <w:r w:rsidRPr="00456AF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speciale competenza</w:t>
      </w:r>
      <w:r w:rsidRPr="00456AF9">
        <w:rPr>
          <w:rFonts w:ascii="Arial" w:eastAsia="Times New Roman" w:hAnsi="Arial" w:cs="Arial"/>
          <w:color w:val="333333"/>
          <w:sz w:val="23"/>
          <w:szCs w:val="23"/>
        </w:rPr>
        <w:t>” che consente ai partecipanti di coniugare, nell’ambito di un approccio multidisciplinare, il “sapere tecnico” a quello “giuridico” e, non da ultimo, il “saper essere” inteso come competenza ed autorevolezza dell’ausiliario nella gestione delle attività peritali.</w:t>
      </w:r>
    </w:p>
    <w:p w14:paraId="2CA41C21" w14:textId="77777777" w:rsidR="00423094" w:rsidRPr="00456AF9" w:rsidRDefault="00423094" w:rsidP="00456A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</w:p>
    <w:p w14:paraId="14E15F0B" w14:textId="77777777" w:rsidR="00456AF9" w:rsidRPr="00456AF9" w:rsidRDefault="00456AF9" w:rsidP="00456A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456AF9">
        <w:rPr>
          <w:rFonts w:ascii="Arial" w:eastAsia="Times New Roman" w:hAnsi="Arial" w:cs="Arial"/>
          <w:color w:val="333333"/>
          <w:sz w:val="23"/>
          <w:szCs w:val="23"/>
        </w:rPr>
        <w:t>Questi, in dettaglio, i temi affrontati nelle cinque giornate del corso:</w:t>
      </w:r>
    </w:p>
    <w:p w14:paraId="2507D7AE" w14:textId="77777777" w:rsidR="00456AF9" w:rsidRPr="00456AF9" w:rsidRDefault="00456AF9" w:rsidP="00456A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456AF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12 febbraio 2024 (dalle ore 15:00 alle ore 18:00)</w:t>
      </w:r>
      <w:r w:rsidRPr="00456AF9">
        <w:rPr>
          <w:rFonts w:ascii="Arial" w:eastAsia="Times New Roman" w:hAnsi="Arial" w:cs="Arial"/>
          <w:color w:val="333333"/>
          <w:sz w:val="23"/>
          <w:szCs w:val="23"/>
        </w:rPr>
        <w:t>: Il regolamento per l’iscrizione, la formazione, la tenuta e l’aggiornamento del Nuovo Portale Albo telematico CTU, periti ed elenco nazionale di cui al D.M. n. 109/2023. I principi di diritto processuale e l’analisi delle particolari questioni processuali nella fase prodromica all’ammissione della CTU. Le cautele nel trattamento dei dati personali da parte del CTU.</w:t>
      </w:r>
    </w:p>
    <w:p w14:paraId="38E9E7E8" w14:textId="77777777" w:rsidR="00456AF9" w:rsidRPr="00456AF9" w:rsidRDefault="00456AF9" w:rsidP="00456A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456AF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26 febbraio 2024 (dalle ore 15:00 alle ore 18:00)</w:t>
      </w:r>
      <w:r w:rsidRPr="00456AF9">
        <w:rPr>
          <w:rFonts w:ascii="Arial" w:eastAsia="Times New Roman" w:hAnsi="Arial" w:cs="Arial"/>
          <w:color w:val="333333"/>
          <w:sz w:val="23"/>
          <w:szCs w:val="23"/>
        </w:rPr>
        <w:t xml:space="preserve">: Lo svolgimento della consulenza tecnica d’ufficio: gestione delle operazioni peritali e poteri del CTU. Le tecniche di comunicazione e le </w:t>
      </w:r>
      <w:r w:rsidRPr="00456AF9">
        <w:rPr>
          <w:rFonts w:ascii="Arial" w:eastAsia="Times New Roman" w:hAnsi="Arial" w:cs="Arial"/>
          <w:color w:val="333333"/>
          <w:sz w:val="23"/>
          <w:szCs w:val="23"/>
        </w:rPr>
        <w:lastRenderedPageBreak/>
        <w:t>strategie nell’ambito del tentativo di conciliazione nella CT di natura contabile. Il ruolo del consulente tecnico di parte. Le modalità di liquidazione e le problematiche di fatturazione del compenso al CTU.</w:t>
      </w:r>
    </w:p>
    <w:p w14:paraId="007283E1" w14:textId="77777777" w:rsidR="00456AF9" w:rsidRPr="00456AF9" w:rsidRDefault="00456AF9" w:rsidP="00456A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456AF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11 marzo 2024 (dalle ore 15:00 alle ore 18:00)</w:t>
      </w:r>
      <w:r w:rsidRPr="00456AF9">
        <w:rPr>
          <w:rFonts w:ascii="Arial" w:eastAsia="Times New Roman" w:hAnsi="Arial" w:cs="Arial"/>
          <w:color w:val="333333"/>
          <w:sz w:val="23"/>
          <w:szCs w:val="23"/>
        </w:rPr>
        <w:t>: Il consulente tecnico ed il perito nell’indagine preliminare penale e nel dibattimento: questioni comuni e criticità. Il ruolo dei consulenti tecnici di parte.</w:t>
      </w:r>
    </w:p>
    <w:p w14:paraId="443A04FD" w14:textId="77777777" w:rsidR="00456AF9" w:rsidRPr="00456AF9" w:rsidRDefault="00456AF9" w:rsidP="00456A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456AF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25 marzo 2024 (dalle ore 15:00 alle ore 18:00)</w:t>
      </w:r>
      <w:r w:rsidRPr="00456AF9">
        <w:rPr>
          <w:rFonts w:ascii="Arial" w:eastAsia="Times New Roman" w:hAnsi="Arial" w:cs="Arial"/>
          <w:color w:val="333333"/>
          <w:sz w:val="23"/>
          <w:szCs w:val="23"/>
        </w:rPr>
        <w:t xml:space="preserve">: Case Study: La consulenza tecnica ai fini dell’accertamento della sussistenza di adeguati assetti, organizzativi, amministrativi e contabili, nonché all’efficace adozione di un modello organizzativo ex </w:t>
      </w:r>
      <w:proofErr w:type="spellStart"/>
      <w:r w:rsidRPr="00456AF9">
        <w:rPr>
          <w:rFonts w:ascii="Arial" w:eastAsia="Times New Roman" w:hAnsi="Arial" w:cs="Arial"/>
          <w:color w:val="333333"/>
          <w:sz w:val="23"/>
          <w:szCs w:val="23"/>
        </w:rPr>
        <w:t>D.Lgs.</w:t>
      </w:r>
      <w:proofErr w:type="spellEnd"/>
      <w:r w:rsidRPr="00456AF9">
        <w:rPr>
          <w:rFonts w:ascii="Arial" w:eastAsia="Times New Roman" w:hAnsi="Arial" w:cs="Arial"/>
          <w:color w:val="333333"/>
          <w:sz w:val="23"/>
          <w:szCs w:val="23"/>
        </w:rPr>
        <w:t xml:space="preserve"> n. 231/01.</w:t>
      </w:r>
    </w:p>
    <w:p w14:paraId="1D222183" w14:textId="5716A1BF" w:rsidR="002334E3" w:rsidRPr="00456AF9" w:rsidRDefault="00456AF9" w:rsidP="00456A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456AF9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15 aprile 2024 (dalle ore 15:00 alle ore 18:00)</w:t>
      </w:r>
      <w:r w:rsidRPr="00456AF9">
        <w:rPr>
          <w:rFonts w:ascii="Arial" w:eastAsia="Times New Roman" w:hAnsi="Arial" w:cs="Arial"/>
          <w:color w:val="333333"/>
          <w:sz w:val="23"/>
          <w:szCs w:val="23"/>
        </w:rPr>
        <w:t xml:space="preserve">: Case Study: La consulenza tecnica ai fini dell’accertamento dello stato d’impresa “in difficoltà” del soggetto finanziato con mutui ed aperture di credito garantiti da garanzia pubblica (fondo di garanzia MCC per le PMI o </w:t>
      </w:r>
      <w:proofErr w:type="spellStart"/>
      <w:r w:rsidRPr="00456AF9">
        <w:rPr>
          <w:rFonts w:ascii="Arial" w:eastAsia="Times New Roman" w:hAnsi="Arial" w:cs="Arial"/>
          <w:color w:val="333333"/>
          <w:sz w:val="23"/>
          <w:szCs w:val="23"/>
        </w:rPr>
        <w:t>Sace</w:t>
      </w:r>
      <w:proofErr w:type="spellEnd"/>
      <w:r w:rsidRPr="00456AF9">
        <w:rPr>
          <w:rFonts w:ascii="Arial" w:eastAsia="Times New Roman" w:hAnsi="Arial" w:cs="Arial"/>
          <w:color w:val="333333"/>
          <w:sz w:val="23"/>
          <w:szCs w:val="23"/>
        </w:rPr>
        <w:t>) di cui al D.L. n. 23/2020. La valutazione delle condizioni di “impresa in difficoltà” e del merito creditizio.</w:t>
      </w:r>
    </w:p>
    <w:sectPr w:rsidR="002334E3" w:rsidRPr="00456A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E81C" w14:textId="77777777" w:rsidR="008F70C5" w:rsidRDefault="008F70C5" w:rsidP="00220212">
      <w:r>
        <w:separator/>
      </w:r>
    </w:p>
  </w:endnote>
  <w:endnote w:type="continuationSeparator" w:id="0">
    <w:p w14:paraId="0681CCCA" w14:textId="77777777" w:rsidR="008F70C5" w:rsidRDefault="008F70C5" w:rsidP="002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C59A" w14:textId="77777777" w:rsidR="008F70C5" w:rsidRDefault="008F70C5" w:rsidP="00220212">
      <w:r>
        <w:separator/>
      </w:r>
    </w:p>
  </w:footnote>
  <w:footnote w:type="continuationSeparator" w:id="0">
    <w:p w14:paraId="3B396D02" w14:textId="77777777" w:rsidR="008F70C5" w:rsidRDefault="008F70C5" w:rsidP="0022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182F" w14:textId="3AE2477E" w:rsidR="00220212" w:rsidRDefault="00220212" w:rsidP="00220212">
    <w:pPr>
      <w:pStyle w:val="Intestazione"/>
      <w:jc w:val="center"/>
    </w:pPr>
    <w:r>
      <w:rPr>
        <w:noProof/>
      </w:rPr>
      <w:drawing>
        <wp:inline distT="0" distB="0" distL="0" distR="0" wp14:anchorId="15DD6D97" wp14:editId="6AC1F1E6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26DF"/>
    <w:multiLevelType w:val="hybridMultilevel"/>
    <w:tmpl w:val="BFBACEE8"/>
    <w:lvl w:ilvl="0" w:tplc="7A6E5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4122">
    <w:abstractNumId w:val="0"/>
  </w:num>
  <w:num w:numId="2" w16cid:durableId="197919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9"/>
    <w:rsid w:val="00010022"/>
    <w:rsid w:val="000479AC"/>
    <w:rsid w:val="000B6668"/>
    <w:rsid w:val="000C110F"/>
    <w:rsid w:val="000F1D74"/>
    <w:rsid w:val="000F55E6"/>
    <w:rsid w:val="00116D81"/>
    <w:rsid w:val="00137DEC"/>
    <w:rsid w:val="00143CA7"/>
    <w:rsid w:val="0015226C"/>
    <w:rsid w:val="00165DD0"/>
    <w:rsid w:val="00177C26"/>
    <w:rsid w:val="001E3A81"/>
    <w:rsid w:val="002075E5"/>
    <w:rsid w:val="00216372"/>
    <w:rsid w:val="00216ED1"/>
    <w:rsid w:val="00220212"/>
    <w:rsid w:val="002334E3"/>
    <w:rsid w:val="00253767"/>
    <w:rsid w:val="0026533A"/>
    <w:rsid w:val="00296AF5"/>
    <w:rsid w:val="002A32AA"/>
    <w:rsid w:val="002B4562"/>
    <w:rsid w:val="002B5F48"/>
    <w:rsid w:val="00350105"/>
    <w:rsid w:val="003C3F4F"/>
    <w:rsid w:val="003E17D9"/>
    <w:rsid w:val="003E3525"/>
    <w:rsid w:val="003E3FCA"/>
    <w:rsid w:val="00410E38"/>
    <w:rsid w:val="00422713"/>
    <w:rsid w:val="00423094"/>
    <w:rsid w:val="00445AEC"/>
    <w:rsid w:val="0045305C"/>
    <w:rsid w:val="00456AF9"/>
    <w:rsid w:val="00483158"/>
    <w:rsid w:val="00486C52"/>
    <w:rsid w:val="00497999"/>
    <w:rsid w:val="004B5EE7"/>
    <w:rsid w:val="004C2BCA"/>
    <w:rsid w:val="004D1071"/>
    <w:rsid w:val="004E23E1"/>
    <w:rsid w:val="00512314"/>
    <w:rsid w:val="00553F32"/>
    <w:rsid w:val="005626A0"/>
    <w:rsid w:val="005663D0"/>
    <w:rsid w:val="0057792D"/>
    <w:rsid w:val="005A4AF3"/>
    <w:rsid w:val="005C5152"/>
    <w:rsid w:val="005E533E"/>
    <w:rsid w:val="005F6E31"/>
    <w:rsid w:val="00624D8B"/>
    <w:rsid w:val="00634A0E"/>
    <w:rsid w:val="006350D0"/>
    <w:rsid w:val="006736CC"/>
    <w:rsid w:val="00685B2B"/>
    <w:rsid w:val="00691D93"/>
    <w:rsid w:val="00695F82"/>
    <w:rsid w:val="006C3AB0"/>
    <w:rsid w:val="006C3BC3"/>
    <w:rsid w:val="006D7D54"/>
    <w:rsid w:val="00700A3D"/>
    <w:rsid w:val="007045B2"/>
    <w:rsid w:val="00704F82"/>
    <w:rsid w:val="00714F2B"/>
    <w:rsid w:val="00745DF2"/>
    <w:rsid w:val="007559CD"/>
    <w:rsid w:val="007C51A4"/>
    <w:rsid w:val="007C6736"/>
    <w:rsid w:val="007D37AA"/>
    <w:rsid w:val="007F178D"/>
    <w:rsid w:val="00810BBF"/>
    <w:rsid w:val="00814031"/>
    <w:rsid w:val="00816260"/>
    <w:rsid w:val="00845204"/>
    <w:rsid w:val="00874EAE"/>
    <w:rsid w:val="0088605D"/>
    <w:rsid w:val="008B0F11"/>
    <w:rsid w:val="008F70C5"/>
    <w:rsid w:val="0092736C"/>
    <w:rsid w:val="00956C46"/>
    <w:rsid w:val="009708C8"/>
    <w:rsid w:val="00980BD2"/>
    <w:rsid w:val="0099080D"/>
    <w:rsid w:val="009C51B5"/>
    <w:rsid w:val="009D00BF"/>
    <w:rsid w:val="009E2D35"/>
    <w:rsid w:val="00A0710B"/>
    <w:rsid w:val="00A24D54"/>
    <w:rsid w:val="00A25D47"/>
    <w:rsid w:val="00A375C3"/>
    <w:rsid w:val="00A402FE"/>
    <w:rsid w:val="00A63415"/>
    <w:rsid w:val="00A65977"/>
    <w:rsid w:val="00A735FC"/>
    <w:rsid w:val="00A84692"/>
    <w:rsid w:val="00AA55EF"/>
    <w:rsid w:val="00AE075F"/>
    <w:rsid w:val="00AF1374"/>
    <w:rsid w:val="00B02DEF"/>
    <w:rsid w:val="00B50F42"/>
    <w:rsid w:val="00B92636"/>
    <w:rsid w:val="00B96F6D"/>
    <w:rsid w:val="00BA4DF9"/>
    <w:rsid w:val="00BA70C0"/>
    <w:rsid w:val="00BC10E3"/>
    <w:rsid w:val="00BC51B8"/>
    <w:rsid w:val="00BD2E30"/>
    <w:rsid w:val="00BD5ADB"/>
    <w:rsid w:val="00BD6325"/>
    <w:rsid w:val="00BD6C57"/>
    <w:rsid w:val="00BE6220"/>
    <w:rsid w:val="00C03826"/>
    <w:rsid w:val="00C251E7"/>
    <w:rsid w:val="00C522FE"/>
    <w:rsid w:val="00C56DFA"/>
    <w:rsid w:val="00C63A2F"/>
    <w:rsid w:val="00C75BC4"/>
    <w:rsid w:val="00C8115B"/>
    <w:rsid w:val="00CA1B58"/>
    <w:rsid w:val="00CA44D8"/>
    <w:rsid w:val="00CE19E0"/>
    <w:rsid w:val="00CF7779"/>
    <w:rsid w:val="00D06680"/>
    <w:rsid w:val="00D21953"/>
    <w:rsid w:val="00DC53DA"/>
    <w:rsid w:val="00DE7D69"/>
    <w:rsid w:val="00E03186"/>
    <w:rsid w:val="00E069B1"/>
    <w:rsid w:val="00E07E8C"/>
    <w:rsid w:val="00E26B37"/>
    <w:rsid w:val="00E3119E"/>
    <w:rsid w:val="00E35668"/>
    <w:rsid w:val="00E458A2"/>
    <w:rsid w:val="00E61584"/>
    <w:rsid w:val="00E65C94"/>
    <w:rsid w:val="00E66DD6"/>
    <w:rsid w:val="00E6752D"/>
    <w:rsid w:val="00E9030F"/>
    <w:rsid w:val="00E94CBC"/>
    <w:rsid w:val="00EC05A8"/>
    <w:rsid w:val="00EC41A2"/>
    <w:rsid w:val="00F44B94"/>
    <w:rsid w:val="00F70981"/>
    <w:rsid w:val="00F8194F"/>
    <w:rsid w:val="00F95513"/>
    <w:rsid w:val="00FB21E7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630"/>
  <w15:chartTrackingRefBased/>
  <w15:docId w15:val="{FF192B2E-9D7F-4FA4-A806-D07091E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51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6A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7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73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C6736"/>
    <w:rPr>
      <w:b/>
      <w:bCs/>
    </w:rPr>
  </w:style>
  <w:style w:type="character" w:styleId="Enfasicorsivo">
    <w:name w:val="Emphasis"/>
    <w:basedOn w:val="Carpredefinitoparagrafo"/>
    <w:uiPriority w:val="20"/>
    <w:qFormat/>
    <w:rsid w:val="007C67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0212"/>
    <w:pPr>
      <w:tabs>
        <w:tab w:val="center" w:pos="4819"/>
        <w:tab w:val="right" w:pos="9638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12"/>
  </w:style>
  <w:style w:type="paragraph" w:styleId="Pidipagina">
    <w:name w:val="footer"/>
    <w:basedOn w:val="Normale"/>
    <w:link w:val="PidipaginaCarattere"/>
    <w:uiPriority w:val="99"/>
    <w:unhideWhenUsed/>
    <w:rsid w:val="00220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12"/>
  </w:style>
  <w:style w:type="character" w:styleId="Collegamentovisitato">
    <w:name w:val="FollowedHyperlink"/>
    <w:basedOn w:val="Carpredefinitoparagrafo"/>
    <w:uiPriority w:val="99"/>
    <w:semiHidden/>
    <w:unhideWhenUsed/>
    <w:rsid w:val="00AE075F"/>
    <w:rPr>
      <w:color w:val="954F72" w:themeColor="followedHyperlink"/>
      <w:u w:val="single"/>
    </w:rPr>
  </w:style>
  <w:style w:type="paragraph" w:customStyle="1" w:styleId="xmsonormal">
    <w:name w:val="xmsonormal"/>
    <w:basedOn w:val="Normale"/>
    <w:rsid w:val="00F95513"/>
  </w:style>
  <w:style w:type="character" w:customStyle="1" w:styleId="contentpasted0">
    <w:name w:val="contentpasted0"/>
    <w:basedOn w:val="Carpredefinitoparagrafo"/>
    <w:rsid w:val="00F95513"/>
  </w:style>
  <w:style w:type="paragraph" w:styleId="NormaleWeb">
    <w:name w:val="Normal (Web)"/>
    <w:basedOn w:val="Normale"/>
    <w:uiPriority w:val="99"/>
    <w:unhideWhenUsed/>
    <w:rsid w:val="008B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0F11"/>
    <w:pPr>
      <w:spacing w:after="160" w:line="256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F1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paragraph" w:customStyle="1" w:styleId="TitoloDocumento">
    <w:name w:val="Titolo Documento"/>
    <w:basedOn w:val="Normale"/>
    <w:qFormat/>
    <w:rsid w:val="00E458A2"/>
    <w:pPr>
      <w:autoSpaceDE w:val="0"/>
      <w:autoSpaceDN w:val="0"/>
      <w:adjustRightInd w:val="0"/>
      <w:jc w:val="both"/>
    </w:pPr>
    <w:rPr>
      <w:rFonts w:eastAsia="Calibri"/>
      <w:b/>
      <w:smallCaps/>
      <w:color w:val="FFFFFF" w:themeColor="background1"/>
      <w:sz w:val="72"/>
      <w:szCs w:val="7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6AF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9</cp:revision>
  <dcterms:created xsi:type="dcterms:W3CDTF">2024-01-29T15:12:00Z</dcterms:created>
  <dcterms:modified xsi:type="dcterms:W3CDTF">2024-01-31T15:53:00Z</dcterms:modified>
</cp:coreProperties>
</file>