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CD813" w14:textId="77777777" w:rsidR="003D772F" w:rsidRPr="003D772F" w:rsidRDefault="003D772F" w:rsidP="003D772F">
      <w:pPr>
        <w:pStyle w:val="elementtoproof"/>
        <w:jc w:val="center"/>
        <w:rPr>
          <w:rFonts w:ascii="Arial" w:hAnsi="Arial" w:cs="Arial"/>
          <w:b/>
          <w:bCs/>
          <w:color w:val="333333"/>
          <w:sz w:val="23"/>
          <w:szCs w:val="23"/>
          <w:u w:val="single"/>
        </w:rPr>
      </w:pPr>
      <w:r w:rsidRPr="003D772F">
        <w:rPr>
          <w:rFonts w:ascii="Arial" w:hAnsi="Arial" w:cs="Arial"/>
          <w:b/>
          <w:bCs/>
          <w:color w:val="333333"/>
          <w:sz w:val="23"/>
          <w:szCs w:val="23"/>
          <w:u w:val="single"/>
        </w:rPr>
        <w:t>Comunicato stampa</w:t>
      </w:r>
    </w:p>
    <w:p w14:paraId="47B7A68F" w14:textId="77777777" w:rsidR="003D772F" w:rsidRDefault="003D772F" w:rsidP="003D772F">
      <w:pPr>
        <w:pStyle w:val="elementtoproof"/>
        <w:jc w:val="center"/>
        <w:rPr>
          <w:rFonts w:ascii="Arial" w:hAnsi="Arial" w:cs="Arial"/>
          <w:b/>
          <w:bCs/>
          <w:color w:val="333333"/>
          <w:sz w:val="23"/>
          <w:szCs w:val="23"/>
        </w:rPr>
      </w:pPr>
    </w:p>
    <w:p w14:paraId="4488F247" w14:textId="609AA41E" w:rsidR="003D772F" w:rsidRDefault="003D772F" w:rsidP="003D772F">
      <w:pPr>
        <w:pStyle w:val="elementtoproof"/>
        <w:jc w:val="center"/>
        <w:rPr>
          <w:rFonts w:ascii="Arial" w:hAnsi="Arial" w:cs="Arial"/>
          <w:b/>
          <w:bCs/>
          <w:color w:val="333333"/>
          <w:sz w:val="23"/>
          <w:szCs w:val="23"/>
        </w:rPr>
      </w:pPr>
      <w:r w:rsidRPr="003D772F">
        <w:rPr>
          <w:rFonts w:ascii="Arial" w:hAnsi="Arial" w:cs="Arial"/>
          <w:b/>
          <w:bCs/>
          <w:color w:val="333333"/>
          <w:sz w:val="23"/>
          <w:szCs w:val="23"/>
        </w:rPr>
        <w:t xml:space="preserve">LE OSCILLAZIONI DELLA CASSAZIONE SULLA PROCURA ALLE LITI, DOCUMENTO CNDCEC </w:t>
      </w:r>
      <w:r>
        <w:rPr>
          <w:rFonts w:ascii="Arial" w:hAnsi="Arial" w:cs="Arial"/>
          <w:b/>
          <w:bCs/>
          <w:color w:val="333333"/>
          <w:sz w:val="23"/>
          <w:szCs w:val="23"/>
        </w:rPr>
        <w:t>–</w:t>
      </w:r>
      <w:r w:rsidRPr="003D772F">
        <w:rPr>
          <w:rFonts w:ascii="Arial" w:hAnsi="Arial" w:cs="Arial"/>
          <w:b/>
          <w:bCs/>
          <w:color w:val="333333"/>
          <w:sz w:val="23"/>
          <w:szCs w:val="23"/>
        </w:rPr>
        <w:t xml:space="preserve"> FNC</w:t>
      </w:r>
    </w:p>
    <w:p w14:paraId="5D7B016E" w14:textId="77777777" w:rsidR="003D772F" w:rsidRDefault="003D772F" w:rsidP="003D772F">
      <w:pPr>
        <w:pStyle w:val="elementtoproof"/>
        <w:jc w:val="center"/>
        <w:rPr>
          <w:rFonts w:ascii="Arial" w:hAnsi="Arial" w:cs="Arial"/>
          <w:b/>
          <w:bCs/>
          <w:color w:val="333333"/>
          <w:sz w:val="23"/>
          <w:szCs w:val="23"/>
        </w:rPr>
      </w:pPr>
    </w:p>
    <w:p w14:paraId="46D8D4FC" w14:textId="6279FC23" w:rsidR="003D772F" w:rsidRPr="003D772F" w:rsidRDefault="003D772F" w:rsidP="003D772F">
      <w:pPr>
        <w:pStyle w:val="elementtoproof"/>
        <w:jc w:val="center"/>
        <w:rPr>
          <w:rFonts w:ascii="Arial" w:hAnsi="Arial" w:cs="Arial"/>
          <w:b/>
          <w:bCs/>
          <w:color w:val="333333"/>
          <w:sz w:val="23"/>
          <w:szCs w:val="23"/>
        </w:rPr>
      </w:pPr>
      <w:r w:rsidRPr="003D772F">
        <w:rPr>
          <w:rFonts w:ascii="Arial" w:hAnsi="Arial" w:cs="Arial"/>
          <w:b/>
          <w:bCs/>
          <w:sz w:val="23"/>
          <w:szCs w:val="23"/>
        </w:rPr>
        <w:t>Focus su</w:t>
      </w:r>
      <w:r w:rsidR="00C006B1">
        <w:rPr>
          <w:rFonts w:ascii="Arial" w:hAnsi="Arial" w:cs="Arial"/>
          <w:b/>
          <w:bCs/>
          <w:sz w:val="23"/>
          <w:szCs w:val="23"/>
        </w:rPr>
        <w:t>i temi oggetto di</w:t>
      </w:r>
      <w:r w:rsidRPr="003D772F">
        <w:rPr>
          <w:rFonts w:ascii="Arial" w:hAnsi="Arial" w:cs="Arial"/>
          <w:b/>
          <w:bCs/>
          <w:sz w:val="23"/>
          <w:szCs w:val="23"/>
        </w:rPr>
        <w:t xml:space="preserve"> alcune ordinanze di rimessione per valutare i riflessi che gli opposti orientamenti possono avere nei giudizi di merito del processo tributario</w:t>
      </w:r>
    </w:p>
    <w:p w14:paraId="54C35FFD" w14:textId="77777777" w:rsidR="003D772F" w:rsidRPr="003D772F" w:rsidRDefault="003D772F" w:rsidP="003D772F">
      <w:pPr>
        <w:pStyle w:val="elementtoproof"/>
        <w:jc w:val="both"/>
        <w:rPr>
          <w:rFonts w:ascii="Arial" w:hAnsi="Arial" w:cs="Arial"/>
          <w:sz w:val="23"/>
          <w:szCs w:val="23"/>
        </w:rPr>
      </w:pPr>
    </w:p>
    <w:p w14:paraId="664650B6" w14:textId="76198309" w:rsidR="003D772F" w:rsidRDefault="003D772F" w:rsidP="003D772F">
      <w:pPr>
        <w:pStyle w:val="elementtoproof"/>
        <w:jc w:val="both"/>
        <w:rPr>
          <w:rFonts w:ascii="Arial" w:hAnsi="Arial" w:cs="Arial"/>
          <w:sz w:val="23"/>
          <w:szCs w:val="23"/>
        </w:rPr>
      </w:pPr>
      <w:r w:rsidRPr="003D772F">
        <w:rPr>
          <w:rFonts w:ascii="Arial" w:hAnsi="Arial" w:cs="Arial"/>
          <w:i/>
          <w:iCs/>
          <w:sz w:val="23"/>
          <w:szCs w:val="23"/>
        </w:rPr>
        <w:t>Roma, 30 ottobre 2023</w:t>
      </w:r>
      <w:r>
        <w:rPr>
          <w:rFonts w:ascii="Arial" w:hAnsi="Arial" w:cs="Arial"/>
          <w:sz w:val="23"/>
          <w:szCs w:val="23"/>
        </w:rPr>
        <w:t xml:space="preserve"> – </w:t>
      </w:r>
      <w:r w:rsidRPr="003D772F">
        <w:rPr>
          <w:rFonts w:ascii="Arial" w:hAnsi="Arial" w:cs="Arial"/>
          <w:sz w:val="23"/>
          <w:szCs w:val="23"/>
        </w:rPr>
        <w:t>Il Consiglio e la Fondazione nazionali dei commercialisti hanno pubblicato il documento di ricerca “</w:t>
      </w:r>
      <w:hyperlink r:id="rId7" w:history="1">
        <w:r w:rsidRPr="003D772F">
          <w:rPr>
            <w:rStyle w:val="Collegamentoipertestuale"/>
            <w:rFonts w:ascii="Arial" w:hAnsi="Arial" w:cs="Arial"/>
            <w:b/>
            <w:bCs/>
            <w:sz w:val="23"/>
            <w:szCs w:val="23"/>
          </w:rPr>
          <w:t>Le oscillazioni della cassazione sulla procura alle liti</w:t>
        </w:r>
      </w:hyperlink>
      <w:r>
        <w:rPr>
          <w:rFonts w:ascii="Arial" w:hAnsi="Arial" w:cs="Arial"/>
          <w:color w:val="333333"/>
          <w:sz w:val="23"/>
          <w:szCs w:val="23"/>
        </w:rPr>
        <w:t>”</w:t>
      </w:r>
      <w:r w:rsidRPr="003D772F">
        <w:rPr>
          <w:rFonts w:ascii="Arial" w:hAnsi="Arial" w:cs="Arial"/>
          <w:color w:val="333333"/>
          <w:sz w:val="23"/>
          <w:szCs w:val="23"/>
        </w:rPr>
        <w:t xml:space="preserve"> </w:t>
      </w:r>
      <w:r w:rsidRPr="003D772F">
        <w:rPr>
          <w:rFonts w:ascii="Arial" w:hAnsi="Arial" w:cs="Arial"/>
          <w:sz w:val="23"/>
          <w:szCs w:val="23"/>
        </w:rPr>
        <w:t xml:space="preserve">con il quale si analizzano i temi oggetto di alcune </w:t>
      </w:r>
      <w:r w:rsidRPr="003D772F">
        <w:rPr>
          <w:rFonts w:ascii="Arial" w:hAnsi="Arial" w:cs="Arial"/>
          <w:b/>
          <w:bCs/>
          <w:sz w:val="23"/>
          <w:szCs w:val="23"/>
        </w:rPr>
        <w:t>ordinanze di rimessione</w:t>
      </w:r>
      <w:r w:rsidRPr="003D772F">
        <w:rPr>
          <w:rFonts w:ascii="Arial" w:hAnsi="Arial" w:cs="Arial"/>
          <w:sz w:val="23"/>
          <w:szCs w:val="23"/>
        </w:rPr>
        <w:t> per valutare i riflessi che gli opposti orientamenti possono avere nei giudizi di merito del processo tributario.</w:t>
      </w:r>
    </w:p>
    <w:p w14:paraId="172F2A5A" w14:textId="77777777" w:rsidR="003D772F" w:rsidRPr="003D772F" w:rsidRDefault="003D772F" w:rsidP="003D772F">
      <w:pPr>
        <w:pStyle w:val="elementtoproof"/>
        <w:jc w:val="both"/>
        <w:rPr>
          <w:rFonts w:ascii="Arial" w:hAnsi="Arial" w:cs="Arial"/>
          <w:sz w:val="23"/>
          <w:szCs w:val="23"/>
        </w:rPr>
      </w:pPr>
    </w:p>
    <w:p w14:paraId="32935439" w14:textId="077878D8" w:rsidR="003D772F" w:rsidRDefault="003D772F" w:rsidP="003D772F">
      <w:pPr>
        <w:pStyle w:val="elementtoproof"/>
        <w:shd w:val="clear" w:color="auto" w:fill="FFFFFF"/>
        <w:jc w:val="both"/>
        <w:rPr>
          <w:rFonts w:ascii="Arial" w:hAnsi="Arial" w:cs="Arial"/>
          <w:sz w:val="23"/>
          <w:szCs w:val="23"/>
        </w:rPr>
      </w:pPr>
      <w:r w:rsidRPr="003D772F">
        <w:rPr>
          <w:rFonts w:ascii="Arial" w:hAnsi="Arial" w:cs="Arial"/>
          <w:sz w:val="23"/>
          <w:szCs w:val="23"/>
        </w:rPr>
        <w:t xml:space="preserve">Nella prefazione al lavoro, realizzato da </w:t>
      </w:r>
      <w:r w:rsidRPr="003D772F">
        <w:rPr>
          <w:rFonts w:ascii="Arial" w:hAnsi="Arial" w:cs="Arial"/>
          <w:b/>
          <w:bCs/>
          <w:sz w:val="23"/>
          <w:szCs w:val="23"/>
        </w:rPr>
        <w:t xml:space="preserve">Pasquale Saggese e Marco </w:t>
      </w:r>
      <w:proofErr w:type="spellStart"/>
      <w:r w:rsidRPr="003D772F">
        <w:rPr>
          <w:rFonts w:ascii="Arial" w:hAnsi="Arial" w:cs="Arial"/>
          <w:b/>
          <w:bCs/>
          <w:sz w:val="23"/>
          <w:szCs w:val="23"/>
        </w:rPr>
        <w:t>Ligrani</w:t>
      </w:r>
      <w:proofErr w:type="spellEnd"/>
      <w:r w:rsidRPr="003D772F">
        <w:rPr>
          <w:rFonts w:ascii="Arial" w:hAnsi="Arial" w:cs="Arial"/>
          <w:sz w:val="23"/>
          <w:szCs w:val="23"/>
        </w:rPr>
        <w:t xml:space="preserve"> e rientrante nell’attività dell’area sul contenzioso tributario cui è delegata la Consigliera nazionale </w:t>
      </w:r>
      <w:r w:rsidRPr="003D772F">
        <w:rPr>
          <w:rFonts w:ascii="Arial" w:hAnsi="Arial" w:cs="Arial"/>
          <w:b/>
          <w:bCs/>
          <w:sz w:val="23"/>
          <w:szCs w:val="23"/>
        </w:rPr>
        <w:t>Rosa D’Angiolella</w:t>
      </w:r>
      <w:r w:rsidRPr="003D772F">
        <w:rPr>
          <w:rFonts w:ascii="Arial" w:hAnsi="Arial" w:cs="Arial"/>
          <w:sz w:val="23"/>
          <w:szCs w:val="23"/>
        </w:rPr>
        <w:t xml:space="preserve">, si ricorda come “con </w:t>
      </w:r>
      <w:r w:rsidRPr="003D772F">
        <w:rPr>
          <w:rFonts w:ascii="Arial" w:hAnsi="Arial" w:cs="Arial"/>
          <w:b/>
          <w:bCs/>
          <w:sz w:val="23"/>
          <w:szCs w:val="23"/>
        </w:rPr>
        <w:t>ordinanza</w:t>
      </w:r>
      <w:r w:rsidRPr="003D772F">
        <w:rPr>
          <w:rFonts w:ascii="Arial" w:hAnsi="Arial" w:cs="Arial"/>
          <w:sz w:val="23"/>
          <w:szCs w:val="23"/>
        </w:rPr>
        <w:t> </w:t>
      </w:r>
      <w:r w:rsidRPr="003D772F">
        <w:rPr>
          <w:rFonts w:ascii="Arial" w:hAnsi="Arial" w:cs="Arial"/>
          <w:b/>
          <w:bCs/>
          <w:sz w:val="23"/>
          <w:szCs w:val="23"/>
        </w:rPr>
        <w:t>5 luglio 2023, n. 19039</w:t>
      </w:r>
      <w:r w:rsidRPr="003D772F">
        <w:rPr>
          <w:rFonts w:ascii="Arial" w:hAnsi="Arial" w:cs="Arial"/>
          <w:sz w:val="23"/>
          <w:szCs w:val="23"/>
        </w:rPr>
        <w:t xml:space="preserve">, la terza sezione civile della Corte di cassazione (presidente De Stefano, relatore </w:t>
      </w:r>
      <w:proofErr w:type="spellStart"/>
      <w:r w:rsidRPr="003D772F">
        <w:rPr>
          <w:rFonts w:ascii="Arial" w:hAnsi="Arial" w:cs="Arial"/>
          <w:sz w:val="23"/>
          <w:szCs w:val="23"/>
        </w:rPr>
        <w:t>Fanticini</w:t>
      </w:r>
      <w:proofErr w:type="spellEnd"/>
      <w:r w:rsidRPr="003D772F">
        <w:rPr>
          <w:rFonts w:ascii="Arial" w:hAnsi="Arial" w:cs="Arial"/>
          <w:sz w:val="23"/>
          <w:szCs w:val="23"/>
        </w:rPr>
        <w:t>) ha rimesso al Primo Presidente di valutare l’opportunità di assegnare alle Sezioni Unite la questione della legittimità della procura non contestuale al ricorso, avuto riguardo alla data e al luogo di conferimento della procura. Nel caso esaminato dalla terza sezione, la procura speciale per la proposizione del ricorso in cassazione era stata certificata dal difensore in un momento anteriore (benché successivo alla decisione impugnata) e in un luogo diversi rispetto a quelli in cui era stato redatto l’atto a cui il mandato afferiva. Per questa ragione, la terza sezione, richiamando i propri precedenti conformi pronunciati dal medesimo presidente e dal medesimo relatore, che avevano ritenuto illegittima la procura non contestuale al ricorso, e quello difforme n. 36827/2022, ha rimesso la questione al Primo Presidente, affinché ne valuti l’assegnazione al Supremo consesso”.</w:t>
      </w:r>
    </w:p>
    <w:p w14:paraId="00FF7DB2" w14:textId="77777777" w:rsidR="003D772F" w:rsidRPr="003D772F" w:rsidRDefault="003D772F" w:rsidP="003D772F">
      <w:pPr>
        <w:pStyle w:val="elementtoproof"/>
        <w:shd w:val="clear" w:color="auto" w:fill="FFFFFF"/>
        <w:jc w:val="both"/>
        <w:rPr>
          <w:rFonts w:ascii="Arial" w:hAnsi="Arial" w:cs="Arial"/>
          <w:sz w:val="23"/>
          <w:szCs w:val="23"/>
        </w:rPr>
      </w:pPr>
    </w:p>
    <w:p w14:paraId="5912DD15" w14:textId="79041875" w:rsidR="003D772F" w:rsidRDefault="003D772F" w:rsidP="003D772F">
      <w:pPr>
        <w:pStyle w:val="elementtoproof"/>
        <w:shd w:val="clear" w:color="auto" w:fill="FFFFFF"/>
        <w:jc w:val="both"/>
        <w:rPr>
          <w:rFonts w:ascii="Arial" w:hAnsi="Arial" w:cs="Arial"/>
          <w:sz w:val="23"/>
          <w:szCs w:val="23"/>
        </w:rPr>
      </w:pPr>
      <w:r w:rsidRPr="003D772F">
        <w:rPr>
          <w:rFonts w:ascii="Arial" w:hAnsi="Arial" w:cs="Arial"/>
          <w:sz w:val="23"/>
          <w:szCs w:val="23"/>
        </w:rPr>
        <w:t xml:space="preserve">Successivamente, sottolineano gli autori del documento, “a distanza di una settimana, con </w:t>
      </w:r>
      <w:r w:rsidRPr="003D772F">
        <w:rPr>
          <w:rFonts w:ascii="Arial" w:hAnsi="Arial" w:cs="Arial"/>
          <w:b/>
          <w:bCs/>
          <w:sz w:val="23"/>
          <w:szCs w:val="23"/>
        </w:rPr>
        <w:t>ordinanza 13 luglio 2023, n. 20176</w:t>
      </w:r>
      <w:r w:rsidRPr="003D772F">
        <w:rPr>
          <w:rFonts w:ascii="Arial" w:hAnsi="Arial" w:cs="Arial"/>
          <w:sz w:val="23"/>
          <w:szCs w:val="23"/>
        </w:rPr>
        <w:t>, la terza sezione civile (presidente De Stefano, relatore Tatangelo) ha rimesso al Primo Presidente di valutare l’assegnazione alle Sezioni Unite della diversa questione concernente la modalità di congiunzione tra l’atto nativo digitale e la procura redatta, sottoscritta e autenticata in formato analogico che sia trasmessa, sotto forma di copia informatica autenticata con firma digitale, ai sensi dall’articolo 83, terzo comma, ultimo periodo, c.p.c.”</w:t>
      </w:r>
      <w:r>
        <w:rPr>
          <w:rFonts w:ascii="Arial" w:hAnsi="Arial" w:cs="Arial"/>
          <w:sz w:val="23"/>
          <w:szCs w:val="23"/>
        </w:rPr>
        <w:t>.</w:t>
      </w:r>
    </w:p>
    <w:p w14:paraId="70248880" w14:textId="77777777" w:rsidR="003D772F" w:rsidRPr="003D772F" w:rsidRDefault="003D772F" w:rsidP="003D772F">
      <w:pPr>
        <w:pStyle w:val="elementtoproof"/>
        <w:shd w:val="clear" w:color="auto" w:fill="FFFFFF"/>
        <w:jc w:val="both"/>
        <w:rPr>
          <w:rFonts w:ascii="Arial" w:hAnsi="Arial" w:cs="Arial"/>
          <w:sz w:val="23"/>
          <w:szCs w:val="23"/>
        </w:rPr>
      </w:pPr>
    </w:p>
    <w:p w14:paraId="43B84851" w14:textId="273DB7FD" w:rsidR="003D772F" w:rsidRDefault="003D772F" w:rsidP="003D772F">
      <w:pPr>
        <w:pStyle w:val="elementtoproof"/>
        <w:shd w:val="clear" w:color="auto" w:fill="FFFFFF"/>
        <w:jc w:val="both"/>
        <w:rPr>
          <w:rFonts w:ascii="Arial" w:hAnsi="Arial" w:cs="Arial"/>
          <w:sz w:val="23"/>
          <w:szCs w:val="23"/>
        </w:rPr>
      </w:pPr>
      <w:r w:rsidRPr="003D772F">
        <w:rPr>
          <w:rFonts w:ascii="Arial" w:hAnsi="Arial" w:cs="Arial"/>
          <w:sz w:val="23"/>
          <w:szCs w:val="23"/>
        </w:rPr>
        <w:t>“Nonostante oggetto di valutazione, in entrambe le ordinanze, siano state due procure speciali conferite per il giudizio di cassazione – proseguono – in esse sono stati richiamati, oltre all’</w:t>
      </w:r>
      <w:r w:rsidRPr="003D772F">
        <w:rPr>
          <w:rFonts w:ascii="Arial" w:hAnsi="Arial" w:cs="Arial"/>
          <w:b/>
          <w:bCs/>
          <w:sz w:val="23"/>
          <w:szCs w:val="23"/>
        </w:rPr>
        <w:t>articolo 365 c.p.c</w:t>
      </w:r>
      <w:r w:rsidRPr="003D772F">
        <w:rPr>
          <w:rFonts w:ascii="Arial" w:hAnsi="Arial" w:cs="Arial"/>
          <w:sz w:val="23"/>
          <w:szCs w:val="23"/>
        </w:rPr>
        <w:t>., riguardante il giudizio di cassazione, anche l’</w:t>
      </w:r>
      <w:r w:rsidRPr="003D772F">
        <w:rPr>
          <w:rFonts w:ascii="Arial" w:hAnsi="Arial" w:cs="Arial"/>
          <w:b/>
          <w:bCs/>
          <w:sz w:val="23"/>
          <w:szCs w:val="23"/>
        </w:rPr>
        <w:t>articolo 83 c.p.c</w:t>
      </w:r>
      <w:r w:rsidRPr="003D772F">
        <w:rPr>
          <w:rFonts w:ascii="Arial" w:hAnsi="Arial" w:cs="Arial"/>
          <w:sz w:val="23"/>
          <w:szCs w:val="23"/>
        </w:rPr>
        <w:t xml:space="preserve">., riguardante la procura alle liti in generale e, dunque, anche quella conferita per i gradi di merito. Quest’ultima norma è da ritenersi applicabile al processo tributario, in virtù del rinvio generale alle norme del </w:t>
      </w:r>
      <w:r w:rsidR="004C343B" w:rsidRPr="003D772F">
        <w:rPr>
          <w:rFonts w:ascii="Arial" w:hAnsi="Arial" w:cs="Arial"/>
          <w:sz w:val="23"/>
          <w:szCs w:val="23"/>
        </w:rPr>
        <w:t>Codice di procedura civile</w:t>
      </w:r>
      <w:r w:rsidRPr="003D772F">
        <w:rPr>
          <w:rFonts w:ascii="Arial" w:hAnsi="Arial" w:cs="Arial"/>
          <w:sz w:val="23"/>
          <w:szCs w:val="23"/>
        </w:rPr>
        <w:t xml:space="preserve"> contenuto nell’</w:t>
      </w:r>
      <w:r w:rsidRPr="003D772F">
        <w:rPr>
          <w:rFonts w:ascii="Arial" w:hAnsi="Arial" w:cs="Arial"/>
          <w:b/>
          <w:bCs/>
          <w:sz w:val="23"/>
          <w:szCs w:val="23"/>
        </w:rPr>
        <w:t>articolo 1, comma 2, del d.lgs. n. 546/1992</w:t>
      </w:r>
      <w:r w:rsidRPr="003D772F">
        <w:rPr>
          <w:rFonts w:ascii="Arial" w:hAnsi="Arial" w:cs="Arial"/>
          <w:sz w:val="23"/>
          <w:szCs w:val="23"/>
        </w:rPr>
        <w:t>, nonostante il conferimento dell’incarico per la difesa nel processo tributario trovi una specifica disciplina nell’</w:t>
      </w:r>
      <w:r w:rsidRPr="003D772F">
        <w:rPr>
          <w:rFonts w:ascii="Arial" w:hAnsi="Arial" w:cs="Arial"/>
          <w:b/>
          <w:bCs/>
          <w:sz w:val="23"/>
          <w:szCs w:val="23"/>
        </w:rPr>
        <w:t>articolo 12, comma 7</w:t>
      </w:r>
      <w:r w:rsidRPr="003D772F">
        <w:rPr>
          <w:rFonts w:ascii="Arial" w:hAnsi="Arial" w:cs="Arial"/>
          <w:sz w:val="23"/>
          <w:szCs w:val="23"/>
        </w:rPr>
        <w:t>, del medesimo decreto legislativo”.</w:t>
      </w:r>
    </w:p>
    <w:p w14:paraId="1A2CC1AC" w14:textId="77777777" w:rsidR="003D772F" w:rsidRPr="003D772F" w:rsidRDefault="003D772F" w:rsidP="003D772F">
      <w:pPr>
        <w:pStyle w:val="elementtoproof"/>
        <w:shd w:val="clear" w:color="auto" w:fill="FFFFFF"/>
        <w:jc w:val="both"/>
        <w:rPr>
          <w:rFonts w:ascii="Arial" w:hAnsi="Arial" w:cs="Arial"/>
          <w:sz w:val="23"/>
          <w:szCs w:val="23"/>
        </w:rPr>
      </w:pPr>
    </w:p>
    <w:p w14:paraId="775F95C2" w14:textId="52F2B905" w:rsidR="00FC1EB7" w:rsidRPr="003D772F" w:rsidRDefault="003D772F" w:rsidP="003D772F">
      <w:pPr>
        <w:pStyle w:val="elementtoproof"/>
        <w:shd w:val="clear" w:color="auto" w:fill="FFFFFF"/>
        <w:jc w:val="both"/>
        <w:rPr>
          <w:rFonts w:ascii="Arial" w:hAnsi="Arial" w:cs="Arial"/>
          <w:sz w:val="23"/>
          <w:szCs w:val="23"/>
        </w:rPr>
      </w:pPr>
      <w:r w:rsidRPr="003D772F">
        <w:rPr>
          <w:rFonts w:ascii="Arial" w:hAnsi="Arial" w:cs="Arial"/>
          <w:sz w:val="23"/>
          <w:szCs w:val="23"/>
        </w:rPr>
        <w:t xml:space="preserve">“Per quanto detto – concludono – le considerazioni contenute nel documento sono riferite anche alla </w:t>
      </w:r>
      <w:r w:rsidRPr="003D772F">
        <w:rPr>
          <w:rFonts w:ascii="Arial" w:hAnsi="Arial" w:cs="Arial"/>
          <w:b/>
          <w:bCs/>
          <w:sz w:val="23"/>
          <w:szCs w:val="23"/>
        </w:rPr>
        <w:t xml:space="preserve">procura </w:t>
      </w:r>
      <w:r w:rsidRPr="003D772F">
        <w:rPr>
          <w:rFonts w:ascii="Arial" w:hAnsi="Arial" w:cs="Arial"/>
          <w:b/>
          <w:bCs/>
          <w:i/>
          <w:iCs/>
          <w:sz w:val="23"/>
          <w:szCs w:val="23"/>
        </w:rPr>
        <w:t xml:space="preserve">ad </w:t>
      </w:r>
      <w:proofErr w:type="spellStart"/>
      <w:r w:rsidRPr="003D772F">
        <w:rPr>
          <w:rFonts w:ascii="Arial" w:hAnsi="Arial" w:cs="Arial"/>
          <w:b/>
          <w:bCs/>
          <w:i/>
          <w:iCs/>
          <w:sz w:val="23"/>
          <w:szCs w:val="23"/>
        </w:rPr>
        <w:t>litem</w:t>
      </w:r>
      <w:proofErr w:type="spellEnd"/>
      <w:r w:rsidRPr="003D772F">
        <w:rPr>
          <w:rFonts w:ascii="Arial" w:hAnsi="Arial" w:cs="Arial"/>
          <w:b/>
          <w:bCs/>
          <w:sz w:val="23"/>
          <w:szCs w:val="23"/>
        </w:rPr>
        <w:t> </w:t>
      </w:r>
      <w:r w:rsidRPr="003D772F">
        <w:rPr>
          <w:rFonts w:ascii="Arial" w:hAnsi="Arial" w:cs="Arial"/>
          <w:sz w:val="23"/>
          <w:szCs w:val="23"/>
        </w:rPr>
        <w:t xml:space="preserve">conferita per il primo e il secondo grado nel processo tributario, nel quale lo </w:t>
      </w:r>
      <w:proofErr w:type="spellStart"/>
      <w:r w:rsidRPr="003D772F">
        <w:rPr>
          <w:rFonts w:ascii="Arial" w:hAnsi="Arial" w:cs="Arial"/>
          <w:b/>
          <w:bCs/>
          <w:i/>
          <w:iCs/>
          <w:sz w:val="23"/>
          <w:szCs w:val="23"/>
        </w:rPr>
        <w:t>jus</w:t>
      </w:r>
      <w:proofErr w:type="spellEnd"/>
      <w:r w:rsidRPr="003D772F">
        <w:rPr>
          <w:rFonts w:ascii="Arial" w:hAnsi="Arial" w:cs="Arial"/>
          <w:b/>
          <w:bCs/>
          <w:i/>
          <w:iCs/>
          <w:sz w:val="23"/>
          <w:szCs w:val="23"/>
        </w:rPr>
        <w:t xml:space="preserve"> </w:t>
      </w:r>
      <w:proofErr w:type="spellStart"/>
      <w:r w:rsidRPr="003D772F">
        <w:rPr>
          <w:rFonts w:ascii="Arial" w:hAnsi="Arial" w:cs="Arial"/>
          <w:b/>
          <w:bCs/>
          <w:i/>
          <w:iCs/>
          <w:sz w:val="23"/>
          <w:szCs w:val="23"/>
        </w:rPr>
        <w:t>postulandi</w:t>
      </w:r>
      <w:proofErr w:type="spellEnd"/>
      <w:r w:rsidRPr="003D772F">
        <w:rPr>
          <w:rFonts w:ascii="Arial" w:hAnsi="Arial" w:cs="Arial"/>
          <w:sz w:val="23"/>
          <w:szCs w:val="23"/>
        </w:rPr>
        <w:t xml:space="preserve">, ai sensi dell’articolo 12, comma 3, lettera b), d.lgs. n. 546/1992, è attribuito anche agli iscritti nella </w:t>
      </w:r>
      <w:r w:rsidRPr="003D772F">
        <w:rPr>
          <w:rFonts w:ascii="Arial" w:hAnsi="Arial" w:cs="Arial"/>
          <w:b/>
          <w:bCs/>
          <w:sz w:val="23"/>
          <w:szCs w:val="23"/>
        </w:rPr>
        <w:t>Sezione A “commercialisti”</w:t>
      </w:r>
      <w:r w:rsidRPr="003D772F">
        <w:rPr>
          <w:rFonts w:ascii="Arial" w:hAnsi="Arial" w:cs="Arial"/>
          <w:sz w:val="23"/>
          <w:szCs w:val="23"/>
        </w:rPr>
        <w:t> dell’Albo dei dottori commercialisti e degli esperti contabili”.</w:t>
      </w:r>
    </w:p>
    <w:sectPr w:rsidR="00FC1EB7" w:rsidRPr="003D772F">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10FF" w14:textId="77777777" w:rsidR="0039322A" w:rsidRDefault="0039322A" w:rsidP="00AE5BC0">
      <w:r>
        <w:separator/>
      </w:r>
    </w:p>
  </w:endnote>
  <w:endnote w:type="continuationSeparator" w:id="0">
    <w:p w14:paraId="350055AB" w14:textId="77777777" w:rsidR="0039322A" w:rsidRDefault="0039322A" w:rsidP="00AE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68C73" w14:textId="77777777" w:rsidR="0039322A" w:rsidRDefault="0039322A" w:rsidP="00AE5BC0">
      <w:r>
        <w:separator/>
      </w:r>
    </w:p>
  </w:footnote>
  <w:footnote w:type="continuationSeparator" w:id="0">
    <w:p w14:paraId="42E16C67" w14:textId="77777777" w:rsidR="0039322A" w:rsidRDefault="0039322A" w:rsidP="00AE5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247F" w14:textId="344091A8" w:rsidR="009E0415" w:rsidRDefault="003D772F" w:rsidP="003D36A9">
    <w:pPr>
      <w:pStyle w:val="Intestazione"/>
      <w:jc w:val="center"/>
    </w:pPr>
    <w:r>
      <w:rPr>
        <w:noProof/>
        <w:color w:val="000000"/>
      </w:rPr>
      <w:drawing>
        <wp:inline distT="0" distB="0" distL="0" distR="0" wp14:anchorId="2C209AC5" wp14:editId="79DE4F01">
          <wp:extent cx="2528764" cy="858955"/>
          <wp:effectExtent l="0" t="0" r="0" b="0"/>
          <wp:docPr id="1" name="image1.png" descr="CNDCEC"/>
          <wp:cNvGraphicFramePr/>
          <a:graphic xmlns:a="http://schemas.openxmlformats.org/drawingml/2006/main">
            <a:graphicData uri="http://schemas.openxmlformats.org/drawingml/2006/picture">
              <pic:pic xmlns:pic="http://schemas.openxmlformats.org/drawingml/2006/picture">
                <pic:nvPicPr>
                  <pic:cNvPr id="0" name="image1.png" descr="CNDCEC"/>
                  <pic:cNvPicPr preferRelativeResize="0"/>
                </pic:nvPicPr>
                <pic:blipFill>
                  <a:blip r:embed="rId1"/>
                  <a:srcRect/>
                  <a:stretch>
                    <a:fillRect/>
                  </a:stretch>
                </pic:blipFill>
                <pic:spPr>
                  <a:xfrm>
                    <a:off x="0" y="0"/>
                    <a:ext cx="2528764" cy="858955"/>
                  </a:xfrm>
                  <a:prstGeom prst="rect">
                    <a:avLst/>
                  </a:prstGeom>
                  <a:ln/>
                </pic:spPr>
              </pic:pic>
            </a:graphicData>
          </a:graphic>
        </wp:inline>
      </w:drawing>
    </w:r>
  </w:p>
  <w:p w14:paraId="026D6BA3" w14:textId="0C2597B9" w:rsidR="009E0415" w:rsidRDefault="009E0415" w:rsidP="009E041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88D"/>
    <w:multiLevelType w:val="hybridMultilevel"/>
    <w:tmpl w:val="AB4C10B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3B503554"/>
    <w:multiLevelType w:val="hybridMultilevel"/>
    <w:tmpl w:val="A95EFFBE"/>
    <w:lvl w:ilvl="0" w:tplc="D1067734">
      <w:start w:val="9"/>
      <w:numFmt w:val="bullet"/>
      <w:lvlText w:val="-"/>
      <w:lvlJc w:val="left"/>
      <w:pPr>
        <w:ind w:left="1192" w:hanging="360"/>
      </w:pPr>
      <w:rPr>
        <w:rFonts w:ascii="Arial" w:eastAsia="Verdana" w:hAnsi="Arial" w:cs="Arial" w:hint="default"/>
      </w:rPr>
    </w:lvl>
    <w:lvl w:ilvl="1" w:tplc="04100003">
      <w:start w:val="1"/>
      <w:numFmt w:val="bullet"/>
      <w:lvlText w:val="o"/>
      <w:lvlJc w:val="left"/>
      <w:pPr>
        <w:ind w:left="1912" w:hanging="360"/>
      </w:pPr>
      <w:rPr>
        <w:rFonts w:ascii="Courier New" w:hAnsi="Courier New" w:cs="Courier New" w:hint="default"/>
      </w:rPr>
    </w:lvl>
    <w:lvl w:ilvl="2" w:tplc="04100005">
      <w:start w:val="1"/>
      <w:numFmt w:val="bullet"/>
      <w:lvlText w:val=""/>
      <w:lvlJc w:val="left"/>
      <w:pPr>
        <w:ind w:left="2632" w:hanging="360"/>
      </w:pPr>
      <w:rPr>
        <w:rFonts w:ascii="Wingdings" w:hAnsi="Wingdings" w:hint="default"/>
      </w:rPr>
    </w:lvl>
    <w:lvl w:ilvl="3" w:tplc="04100001">
      <w:start w:val="1"/>
      <w:numFmt w:val="bullet"/>
      <w:lvlText w:val=""/>
      <w:lvlJc w:val="left"/>
      <w:pPr>
        <w:ind w:left="3352" w:hanging="360"/>
      </w:pPr>
      <w:rPr>
        <w:rFonts w:ascii="Symbol" w:hAnsi="Symbol" w:hint="default"/>
      </w:rPr>
    </w:lvl>
    <w:lvl w:ilvl="4" w:tplc="04100003">
      <w:start w:val="1"/>
      <w:numFmt w:val="bullet"/>
      <w:lvlText w:val="o"/>
      <w:lvlJc w:val="left"/>
      <w:pPr>
        <w:ind w:left="4072" w:hanging="360"/>
      </w:pPr>
      <w:rPr>
        <w:rFonts w:ascii="Courier New" w:hAnsi="Courier New" w:cs="Courier New" w:hint="default"/>
      </w:rPr>
    </w:lvl>
    <w:lvl w:ilvl="5" w:tplc="04100005">
      <w:start w:val="1"/>
      <w:numFmt w:val="bullet"/>
      <w:lvlText w:val=""/>
      <w:lvlJc w:val="left"/>
      <w:pPr>
        <w:ind w:left="4792" w:hanging="360"/>
      </w:pPr>
      <w:rPr>
        <w:rFonts w:ascii="Wingdings" w:hAnsi="Wingdings" w:hint="default"/>
      </w:rPr>
    </w:lvl>
    <w:lvl w:ilvl="6" w:tplc="04100001">
      <w:start w:val="1"/>
      <w:numFmt w:val="bullet"/>
      <w:lvlText w:val=""/>
      <w:lvlJc w:val="left"/>
      <w:pPr>
        <w:ind w:left="5512" w:hanging="360"/>
      </w:pPr>
      <w:rPr>
        <w:rFonts w:ascii="Symbol" w:hAnsi="Symbol" w:hint="default"/>
      </w:rPr>
    </w:lvl>
    <w:lvl w:ilvl="7" w:tplc="04100003">
      <w:start w:val="1"/>
      <w:numFmt w:val="bullet"/>
      <w:lvlText w:val="o"/>
      <w:lvlJc w:val="left"/>
      <w:pPr>
        <w:ind w:left="6232" w:hanging="360"/>
      </w:pPr>
      <w:rPr>
        <w:rFonts w:ascii="Courier New" w:hAnsi="Courier New" w:cs="Courier New" w:hint="default"/>
      </w:rPr>
    </w:lvl>
    <w:lvl w:ilvl="8" w:tplc="04100005">
      <w:start w:val="1"/>
      <w:numFmt w:val="bullet"/>
      <w:lvlText w:val=""/>
      <w:lvlJc w:val="left"/>
      <w:pPr>
        <w:ind w:left="6952" w:hanging="360"/>
      </w:pPr>
      <w:rPr>
        <w:rFonts w:ascii="Wingdings" w:hAnsi="Wingdings" w:hint="default"/>
      </w:rPr>
    </w:lvl>
  </w:abstractNum>
  <w:abstractNum w:abstractNumId="2" w15:restartNumberingAfterBreak="0">
    <w:nsid w:val="6D291176"/>
    <w:multiLevelType w:val="hybridMultilevel"/>
    <w:tmpl w:val="3D30DD72"/>
    <w:lvl w:ilvl="0" w:tplc="A04E3D2C">
      <w:start w:val="1"/>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03821422">
    <w:abstractNumId w:val="0"/>
  </w:num>
  <w:num w:numId="2" w16cid:durableId="1340698327">
    <w:abstractNumId w:val="2"/>
  </w:num>
  <w:num w:numId="3" w16cid:durableId="2064282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004"/>
    <w:rsid w:val="000030BA"/>
    <w:rsid w:val="0001032E"/>
    <w:rsid w:val="00017EFB"/>
    <w:rsid w:val="00024D85"/>
    <w:rsid w:val="00063BAE"/>
    <w:rsid w:val="000963C3"/>
    <w:rsid w:val="000D669D"/>
    <w:rsid w:val="001277B8"/>
    <w:rsid w:val="00176878"/>
    <w:rsid w:val="001A088E"/>
    <w:rsid w:val="001A0AAF"/>
    <w:rsid w:val="001B7DCA"/>
    <w:rsid w:val="001C3677"/>
    <w:rsid w:val="001C60F7"/>
    <w:rsid w:val="001D1668"/>
    <w:rsid w:val="001D6F38"/>
    <w:rsid w:val="001E32F3"/>
    <w:rsid w:val="001E53AB"/>
    <w:rsid w:val="001E700A"/>
    <w:rsid w:val="002054FF"/>
    <w:rsid w:val="00207AC6"/>
    <w:rsid w:val="002359C9"/>
    <w:rsid w:val="002A26EA"/>
    <w:rsid w:val="002A488E"/>
    <w:rsid w:val="002A762F"/>
    <w:rsid w:val="002C2004"/>
    <w:rsid w:val="002C343A"/>
    <w:rsid w:val="002D0E08"/>
    <w:rsid w:val="002E29EF"/>
    <w:rsid w:val="00303685"/>
    <w:rsid w:val="00311365"/>
    <w:rsid w:val="00327AAB"/>
    <w:rsid w:val="003360C5"/>
    <w:rsid w:val="00337723"/>
    <w:rsid w:val="003475B6"/>
    <w:rsid w:val="0036772E"/>
    <w:rsid w:val="00372D5F"/>
    <w:rsid w:val="00372DB6"/>
    <w:rsid w:val="0039322A"/>
    <w:rsid w:val="003964D3"/>
    <w:rsid w:val="003D36A9"/>
    <w:rsid w:val="003D4C7C"/>
    <w:rsid w:val="003D69AC"/>
    <w:rsid w:val="003D772F"/>
    <w:rsid w:val="003F4FEF"/>
    <w:rsid w:val="0042216A"/>
    <w:rsid w:val="00424BFC"/>
    <w:rsid w:val="0044154E"/>
    <w:rsid w:val="004514CA"/>
    <w:rsid w:val="00454275"/>
    <w:rsid w:val="0048676F"/>
    <w:rsid w:val="004B0775"/>
    <w:rsid w:val="004C1F8E"/>
    <w:rsid w:val="004C343B"/>
    <w:rsid w:val="004C7E87"/>
    <w:rsid w:val="004D1B5F"/>
    <w:rsid w:val="00512AB6"/>
    <w:rsid w:val="00523718"/>
    <w:rsid w:val="005253CE"/>
    <w:rsid w:val="00525A6D"/>
    <w:rsid w:val="0055755D"/>
    <w:rsid w:val="0056157A"/>
    <w:rsid w:val="0056242E"/>
    <w:rsid w:val="00570A55"/>
    <w:rsid w:val="0058397D"/>
    <w:rsid w:val="00583E1B"/>
    <w:rsid w:val="0058790C"/>
    <w:rsid w:val="00591A59"/>
    <w:rsid w:val="005922C7"/>
    <w:rsid w:val="005C1750"/>
    <w:rsid w:val="005D5115"/>
    <w:rsid w:val="005D6F45"/>
    <w:rsid w:val="00614938"/>
    <w:rsid w:val="00616F48"/>
    <w:rsid w:val="006410DC"/>
    <w:rsid w:val="006551AA"/>
    <w:rsid w:val="00662B04"/>
    <w:rsid w:val="00673908"/>
    <w:rsid w:val="006758F4"/>
    <w:rsid w:val="00684464"/>
    <w:rsid w:val="006B6327"/>
    <w:rsid w:val="00713EFB"/>
    <w:rsid w:val="00726874"/>
    <w:rsid w:val="007573F2"/>
    <w:rsid w:val="00772033"/>
    <w:rsid w:val="00774AEA"/>
    <w:rsid w:val="00777246"/>
    <w:rsid w:val="0078353D"/>
    <w:rsid w:val="00796C3B"/>
    <w:rsid w:val="007B657C"/>
    <w:rsid w:val="008010DE"/>
    <w:rsid w:val="0080208B"/>
    <w:rsid w:val="00817A0A"/>
    <w:rsid w:val="00833481"/>
    <w:rsid w:val="00854D7B"/>
    <w:rsid w:val="008749B3"/>
    <w:rsid w:val="008A03D5"/>
    <w:rsid w:val="008B262F"/>
    <w:rsid w:val="008B2858"/>
    <w:rsid w:val="008B71A7"/>
    <w:rsid w:val="008C702E"/>
    <w:rsid w:val="008D09E2"/>
    <w:rsid w:val="008D3710"/>
    <w:rsid w:val="008E4E7D"/>
    <w:rsid w:val="00911C30"/>
    <w:rsid w:val="00912B19"/>
    <w:rsid w:val="0091458C"/>
    <w:rsid w:val="00935965"/>
    <w:rsid w:val="00942028"/>
    <w:rsid w:val="0094571B"/>
    <w:rsid w:val="00966661"/>
    <w:rsid w:val="00986429"/>
    <w:rsid w:val="009A28DC"/>
    <w:rsid w:val="009A3761"/>
    <w:rsid w:val="009B32E0"/>
    <w:rsid w:val="009C2CD0"/>
    <w:rsid w:val="009C486A"/>
    <w:rsid w:val="009D0B83"/>
    <w:rsid w:val="009D70F1"/>
    <w:rsid w:val="009E0415"/>
    <w:rsid w:val="00A24309"/>
    <w:rsid w:val="00A35894"/>
    <w:rsid w:val="00A522F2"/>
    <w:rsid w:val="00A53E0D"/>
    <w:rsid w:val="00A7109A"/>
    <w:rsid w:val="00A776F2"/>
    <w:rsid w:val="00A86F00"/>
    <w:rsid w:val="00A91EE0"/>
    <w:rsid w:val="00A97FDB"/>
    <w:rsid w:val="00AE3F1F"/>
    <w:rsid w:val="00AE5BC0"/>
    <w:rsid w:val="00B13366"/>
    <w:rsid w:val="00B5497E"/>
    <w:rsid w:val="00B61F45"/>
    <w:rsid w:val="00B66AA8"/>
    <w:rsid w:val="00B7353A"/>
    <w:rsid w:val="00B75F20"/>
    <w:rsid w:val="00BA6A63"/>
    <w:rsid w:val="00BB6A5D"/>
    <w:rsid w:val="00BD3EB8"/>
    <w:rsid w:val="00C006B1"/>
    <w:rsid w:val="00C308D9"/>
    <w:rsid w:val="00C9471B"/>
    <w:rsid w:val="00CA3B6A"/>
    <w:rsid w:val="00CD0A13"/>
    <w:rsid w:val="00D05FED"/>
    <w:rsid w:val="00D06499"/>
    <w:rsid w:val="00D06644"/>
    <w:rsid w:val="00D236F3"/>
    <w:rsid w:val="00D3392C"/>
    <w:rsid w:val="00D42AC1"/>
    <w:rsid w:val="00D70AE2"/>
    <w:rsid w:val="00D76F8C"/>
    <w:rsid w:val="00D828EA"/>
    <w:rsid w:val="00D90884"/>
    <w:rsid w:val="00DA4B64"/>
    <w:rsid w:val="00DA5938"/>
    <w:rsid w:val="00DA6F15"/>
    <w:rsid w:val="00DC7401"/>
    <w:rsid w:val="00E343EC"/>
    <w:rsid w:val="00E36B13"/>
    <w:rsid w:val="00E86E06"/>
    <w:rsid w:val="00EA23A5"/>
    <w:rsid w:val="00EB31D0"/>
    <w:rsid w:val="00EC534D"/>
    <w:rsid w:val="00ED7EB2"/>
    <w:rsid w:val="00EE0A52"/>
    <w:rsid w:val="00EE79C9"/>
    <w:rsid w:val="00EF7D0E"/>
    <w:rsid w:val="00F07E10"/>
    <w:rsid w:val="00F24544"/>
    <w:rsid w:val="00F379AB"/>
    <w:rsid w:val="00FB0593"/>
    <w:rsid w:val="00FB5AA3"/>
    <w:rsid w:val="00FB62C7"/>
    <w:rsid w:val="00FC1EB7"/>
    <w:rsid w:val="00FD3101"/>
    <w:rsid w:val="00FD785C"/>
    <w:rsid w:val="00FF3E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41A7D"/>
  <w15:chartTrackingRefBased/>
  <w15:docId w15:val="{B50276BE-8359-46F8-8BED-A71E66EE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1EB7"/>
    <w:pPr>
      <w:spacing w:after="0" w:line="240" w:lineRule="auto"/>
    </w:pPr>
    <w:rPr>
      <w:kern w:val="0"/>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E5BC0"/>
    <w:pPr>
      <w:tabs>
        <w:tab w:val="center" w:pos="4819"/>
        <w:tab w:val="right" w:pos="9638"/>
      </w:tabs>
    </w:pPr>
    <w:rPr>
      <w:kern w:val="2"/>
      <w14:ligatures w14:val="standardContextual"/>
    </w:rPr>
  </w:style>
  <w:style w:type="character" w:customStyle="1" w:styleId="IntestazioneCarattere">
    <w:name w:val="Intestazione Carattere"/>
    <w:basedOn w:val="Carpredefinitoparagrafo"/>
    <w:link w:val="Intestazione"/>
    <w:uiPriority w:val="99"/>
    <w:rsid w:val="00AE5BC0"/>
  </w:style>
  <w:style w:type="paragraph" w:styleId="Pidipagina">
    <w:name w:val="footer"/>
    <w:basedOn w:val="Normale"/>
    <w:link w:val="PidipaginaCarattere"/>
    <w:uiPriority w:val="99"/>
    <w:unhideWhenUsed/>
    <w:rsid w:val="00AE5BC0"/>
    <w:pPr>
      <w:tabs>
        <w:tab w:val="center" w:pos="4819"/>
        <w:tab w:val="right" w:pos="9638"/>
      </w:tabs>
    </w:pPr>
    <w:rPr>
      <w:kern w:val="2"/>
      <w14:ligatures w14:val="standardContextual"/>
    </w:rPr>
  </w:style>
  <w:style w:type="character" w:customStyle="1" w:styleId="PidipaginaCarattere">
    <w:name w:val="Piè di pagina Carattere"/>
    <w:basedOn w:val="Carpredefinitoparagrafo"/>
    <w:link w:val="Pidipagina"/>
    <w:uiPriority w:val="99"/>
    <w:rsid w:val="00AE5BC0"/>
  </w:style>
  <w:style w:type="character" w:styleId="Collegamentoipertestuale">
    <w:name w:val="Hyperlink"/>
    <w:basedOn w:val="Carpredefinitoparagrafo"/>
    <w:uiPriority w:val="99"/>
    <w:unhideWhenUsed/>
    <w:rsid w:val="00FC1EB7"/>
    <w:rPr>
      <w:color w:val="0563C1" w:themeColor="hyperlink"/>
      <w:u w:val="single"/>
    </w:rPr>
  </w:style>
  <w:style w:type="paragraph" w:customStyle="1" w:styleId="xmsonormal">
    <w:name w:val="xmsonormal"/>
    <w:basedOn w:val="Normale"/>
    <w:rsid w:val="00EF7D0E"/>
    <w:rPr>
      <w:rFonts w:ascii="Calibri" w:hAnsi="Calibri" w:cs="Calibri"/>
      <w:lang w:eastAsia="it-IT"/>
    </w:rPr>
  </w:style>
  <w:style w:type="character" w:customStyle="1" w:styleId="contentpasted0">
    <w:name w:val="contentpasted0"/>
    <w:basedOn w:val="Carpredefinitoparagrafo"/>
    <w:rsid w:val="00EF7D0E"/>
  </w:style>
  <w:style w:type="character" w:styleId="Enfasicorsivo">
    <w:name w:val="Emphasis"/>
    <w:basedOn w:val="Carpredefinitoparagrafo"/>
    <w:uiPriority w:val="20"/>
    <w:qFormat/>
    <w:rsid w:val="009D0B83"/>
    <w:rPr>
      <w:i/>
      <w:iCs/>
    </w:rPr>
  </w:style>
  <w:style w:type="paragraph" w:styleId="NormaleWeb">
    <w:name w:val="Normal (Web)"/>
    <w:basedOn w:val="Normale"/>
    <w:uiPriority w:val="99"/>
    <w:semiHidden/>
    <w:unhideWhenUsed/>
    <w:rsid w:val="00FD785C"/>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FD785C"/>
    <w:rPr>
      <w:b/>
      <w:bCs/>
    </w:rPr>
  </w:style>
  <w:style w:type="paragraph" w:customStyle="1" w:styleId="elementtoproof">
    <w:name w:val="elementtoproof"/>
    <w:basedOn w:val="Normale"/>
    <w:rsid w:val="003D772F"/>
    <w:rPr>
      <w:rFonts w:ascii="Calibri" w:hAnsi="Calibri" w:cs="Calibri"/>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2800762">
      <w:bodyDiv w:val="1"/>
      <w:marLeft w:val="0"/>
      <w:marRight w:val="0"/>
      <w:marTop w:val="0"/>
      <w:marBottom w:val="0"/>
      <w:divBdr>
        <w:top w:val="none" w:sz="0" w:space="0" w:color="auto"/>
        <w:left w:val="none" w:sz="0" w:space="0" w:color="auto"/>
        <w:bottom w:val="none" w:sz="0" w:space="0" w:color="auto"/>
        <w:right w:val="none" w:sz="0" w:space="0" w:color="auto"/>
      </w:divBdr>
    </w:div>
    <w:div w:id="1267543708">
      <w:bodyDiv w:val="1"/>
      <w:marLeft w:val="0"/>
      <w:marRight w:val="0"/>
      <w:marTop w:val="0"/>
      <w:marBottom w:val="0"/>
      <w:divBdr>
        <w:top w:val="none" w:sz="0" w:space="0" w:color="auto"/>
        <w:left w:val="none" w:sz="0" w:space="0" w:color="auto"/>
        <w:bottom w:val="none" w:sz="0" w:space="0" w:color="auto"/>
        <w:right w:val="none" w:sz="0" w:space="0" w:color="auto"/>
      </w:divBdr>
    </w:div>
    <w:div w:id="193582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ondazionenazionalecommercialisti.it/node/17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552</Words>
  <Characters>3150</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Mastrogiacomo Tiziana</dc:creator>
  <cp:keywords/>
  <dc:description/>
  <cp:lastModifiedBy>Mastrogiacomo Tiziana</cp:lastModifiedBy>
  <cp:revision>5</cp:revision>
  <dcterms:created xsi:type="dcterms:W3CDTF">2023-10-30T09:29:00Z</dcterms:created>
  <dcterms:modified xsi:type="dcterms:W3CDTF">2023-10-30T09:36:00Z</dcterms:modified>
</cp:coreProperties>
</file>