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071811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49C9E57E" w14:textId="5CD1BAC6" w:rsidR="009A3EB5" w:rsidRPr="00071811" w:rsidRDefault="009A3EB5" w:rsidP="00071811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bookmarkStart w:id="0" w:name="_Hlk114743328"/>
      <w:r w:rsidRPr="00071811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Comunicato stampa</w:t>
      </w:r>
    </w:p>
    <w:p w14:paraId="61760257" w14:textId="377F6FA0" w:rsidR="009A3EB5" w:rsidRPr="00071811" w:rsidRDefault="009A3EB5" w:rsidP="00071811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bookmarkEnd w:id="0"/>
    <w:p w14:paraId="606660CE" w14:textId="434FA8E4" w:rsidR="00A32F29" w:rsidRPr="00071811" w:rsidRDefault="00A32F29" w:rsidP="00071811">
      <w:pPr>
        <w:jc w:val="center"/>
        <w:rPr>
          <w:rFonts w:ascii="Arial" w:hAnsi="Arial" w:cs="Arial"/>
          <w:b/>
          <w:bCs/>
        </w:rPr>
      </w:pPr>
      <w:r w:rsidRPr="00071811">
        <w:rPr>
          <w:rFonts w:ascii="Arial" w:hAnsi="Arial" w:cs="Arial"/>
          <w:b/>
          <w:bCs/>
        </w:rPr>
        <w:t>CRISI D’IMPRESA: COMMERCIALISTI, ESTENDERE AL REVISORE LEGALE LE SEGNALAZIONI PER L’EMERSION</w:t>
      </w:r>
      <w:r w:rsidR="00BB41B0" w:rsidRPr="00071811">
        <w:rPr>
          <w:rFonts w:ascii="Arial" w:hAnsi="Arial" w:cs="Arial"/>
          <w:b/>
          <w:bCs/>
        </w:rPr>
        <w:t>E</w:t>
      </w:r>
      <w:r w:rsidRPr="00071811">
        <w:rPr>
          <w:rFonts w:ascii="Arial" w:hAnsi="Arial" w:cs="Arial"/>
          <w:b/>
          <w:bCs/>
        </w:rPr>
        <w:t xml:space="preserve"> DELLA CRISI</w:t>
      </w:r>
    </w:p>
    <w:p w14:paraId="77DE7FF8" w14:textId="77777777" w:rsidR="00B62562" w:rsidRPr="00071811" w:rsidRDefault="00B62562" w:rsidP="00071811">
      <w:pPr>
        <w:jc w:val="both"/>
        <w:rPr>
          <w:rFonts w:ascii="Arial" w:hAnsi="Arial" w:cs="Arial"/>
          <w:b/>
          <w:bCs/>
        </w:rPr>
      </w:pPr>
    </w:p>
    <w:p w14:paraId="1F1CD4DA" w14:textId="7E320A43" w:rsidR="00A32F29" w:rsidRDefault="00A32F29" w:rsidP="00071811">
      <w:pPr>
        <w:jc w:val="both"/>
        <w:rPr>
          <w:rFonts w:ascii="Arial" w:hAnsi="Arial" w:cs="Arial"/>
          <w:b/>
          <w:bCs/>
          <w:color w:val="000000"/>
          <w:lang w:val="it"/>
        </w:rPr>
      </w:pPr>
      <w:r w:rsidRPr="00071811">
        <w:rPr>
          <w:rFonts w:ascii="Arial" w:hAnsi="Arial" w:cs="Arial"/>
          <w:b/>
          <w:bCs/>
        </w:rPr>
        <w:t>Lettera del presidente nazionale de Nuccio al Ministro della Giustizia Cartabia: “</w:t>
      </w:r>
      <w:r w:rsidR="00BB41B0" w:rsidRPr="00071811">
        <w:rPr>
          <w:rFonts w:ascii="Arial" w:eastAsia="MS Mincho" w:hAnsi="Arial" w:cs="Arial"/>
          <w:b/>
          <w:bCs/>
        </w:rPr>
        <w:t>Il</w:t>
      </w:r>
      <w:r w:rsidR="00BB41B0" w:rsidRPr="00071811">
        <w:rPr>
          <w:rFonts w:ascii="Arial" w:hAnsi="Arial" w:cs="Arial"/>
          <w:b/>
          <w:bCs/>
          <w:color w:val="000000"/>
          <w:lang w:val="it"/>
        </w:rPr>
        <w:t xml:space="preserve"> disallineamento fra ruoli e doveri tra revisore legale e organo di controllo della società, al cospetto di una crisi, p</w:t>
      </w:r>
      <w:r w:rsidR="006E0267" w:rsidRPr="00071811">
        <w:rPr>
          <w:rFonts w:ascii="Arial" w:hAnsi="Arial" w:cs="Arial"/>
          <w:b/>
          <w:bCs/>
          <w:color w:val="000000"/>
          <w:lang w:val="it"/>
        </w:rPr>
        <w:t>uò</w:t>
      </w:r>
      <w:r w:rsidR="00BB41B0" w:rsidRPr="00071811">
        <w:rPr>
          <w:rFonts w:ascii="Arial" w:hAnsi="Arial" w:cs="Arial"/>
          <w:b/>
          <w:bCs/>
          <w:color w:val="000000"/>
          <w:lang w:val="it"/>
        </w:rPr>
        <w:t xml:space="preserve"> provocare inefficienze nella tempestiva emersione”</w:t>
      </w:r>
    </w:p>
    <w:p w14:paraId="60C0984F" w14:textId="77777777" w:rsidR="00071811" w:rsidRPr="00071811" w:rsidRDefault="00071811" w:rsidP="00071811">
      <w:pPr>
        <w:jc w:val="both"/>
        <w:rPr>
          <w:rFonts w:ascii="Arial" w:hAnsi="Arial" w:cs="Arial"/>
          <w:b/>
          <w:bCs/>
        </w:rPr>
      </w:pPr>
    </w:p>
    <w:p w14:paraId="60F12F16" w14:textId="30F2D667" w:rsidR="00A32F29" w:rsidRDefault="00A32F29" w:rsidP="000718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"/>
        </w:rPr>
      </w:pPr>
      <w:r w:rsidRPr="00071811">
        <w:rPr>
          <w:rFonts w:ascii="Arial" w:hAnsi="Arial" w:cs="Arial"/>
          <w:i/>
          <w:iCs/>
        </w:rPr>
        <w:t xml:space="preserve">Roma, 30 settembre 2022 </w:t>
      </w:r>
      <w:r w:rsidR="00B62562" w:rsidRPr="00071811">
        <w:rPr>
          <w:rFonts w:ascii="Arial" w:hAnsi="Arial" w:cs="Arial"/>
          <w:i/>
          <w:iCs/>
        </w:rPr>
        <w:t>–</w:t>
      </w:r>
      <w:r w:rsidRPr="00071811">
        <w:rPr>
          <w:rFonts w:ascii="Arial" w:hAnsi="Arial" w:cs="Arial"/>
        </w:rPr>
        <w:t xml:space="preserve"> </w:t>
      </w:r>
      <w:r w:rsidR="006E0267" w:rsidRPr="00071811">
        <w:rPr>
          <w:rFonts w:ascii="Arial" w:hAnsi="Arial" w:cs="Arial"/>
          <w:color w:val="000000"/>
          <w:spacing w:val="4"/>
          <w:lang w:val="it"/>
        </w:rPr>
        <w:t xml:space="preserve">Riformulare gli </w:t>
      </w:r>
      <w:r w:rsidRPr="00071811">
        <w:rPr>
          <w:rFonts w:ascii="Arial" w:hAnsi="Arial" w:cs="Arial"/>
          <w:color w:val="000000"/>
          <w:spacing w:val="4"/>
          <w:lang w:val="it"/>
        </w:rPr>
        <w:t xml:space="preserve">artt. 25 – octies e ss. del Codice della crisi nella prospettiva di </w:t>
      </w:r>
      <w:r w:rsidRPr="00071811">
        <w:rPr>
          <w:rFonts w:ascii="Arial" w:hAnsi="Arial" w:cs="Arial"/>
          <w:b/>
          <w:bCs/>
          <w:color w:val="000000"/>
          <w:spacing w:val="4"/>
          <w:lang w:val="it"/>
        </w:rPr>
        <w:t>estendere anche al revisore legale gli opportuni obblighi di segnalazione</w:t>
      </w:r>
      <w:r w:rsidRPr="00071811">
        <w:rPr>
          <w:rFonts w:ascii="Arial" w:hAnsi="Arial" w:cs="Arial"/>
          <w:color w:val="000000"/>
          <w:spacing w:val="4"/>
          <w:lang w:val="it"/>
        </w:rPr>
        <w:t xml:space="preserve"> all’organo di amministrazione </w:t>
      </w:r>
      <w:r w:rsidRPr="00071811">
        <w:rPr>
          <w:rFonts w:ascii="Arial" w:hAnsi="Arial" w:cs="Arial"/>
          <w:color w:val="000000"/>
          <w:lang w:val="it"/>
        </w:rPr>
        <w:t>circa la ricorrenza dei presupposti per la presentazione dell'istanza di Composizione della crisi.</w:t>
      </w:r>
      <w:r w:rsidR="00B62562" w:rsidRPr="00071811">
        <w:rPr>
          <w:rFonts w:ascii="Arial" w:hAnsi="Arial" w:cs="Arial"/>
          <w:color w:val="000000"/>
          <w:lang w:val="it"/>
        </w:rPr>
        <w:t xml:space="preserve"> È l’</w:t>
      </w:r>
      <w:r w:rsidR="006E0267" w:rsidRPr="00071811">
        <w:rPr>
          <w:rFonts w:ascii="Arial" w:hAnsi="Arial" w:cs="Arial"/>
          <w:color w:val="000000"/>
          <w:lang w:val="it"/>
        </w:rPr>
        <w:t>invito</w:t>
      </w:r>
      <w:r w:rsidR="00B62562" w:rsidRPr="00071811">
        <w:rPr>
          <w:rFonts w:ascii="Arial" w:hAnsi="Arial" w:cs="Arial"/>
          <w:color w:val="000000"/>
          <w:lang w:val="it"/>
        </w:rPr>
        <w:t xml:space="preserve"> formulato dal presidente del Consiglio nazionale dei commercialisti, </w:t>
      </w:r>
      <w:r w:rsidR="00B62562" w:rsidRPr="00071811">
        <w:rPr>
          <w:rFonts w:ascii="Arial" w:hAnsi="Arial" w:cs="Arial"/>
          <w:b/>
          <w:bCs/>
          <w:color w:val="000000"/>
          <w:lang w:val="it"/>
        </w:rPr>
        <w:t>Elbano de Nuccio</w:t>
      </w:r>
      <w:r w:rsidR="00B62562" w:rsidRPr="00071811">
        <w:rPr>
          <w:rFonts w:ascii="Arial" w:hAnsi="Arial" w:cs="Arial"/>
          <w:color w:val="000000"/>
          <w:lang w:val="it"/>
        </w:rPr>
        <w:t xml:space="preserve">, in una lettera inviata oggi alla Ministra della Giustizia, </w:t>
      </w:r>
      <w:r w:rsidR="00B62562" w:rsidRPr="00071811">
        <w:rPr>
          <w:rFonts w:ascii="Arial" w:hAnsi="Arial" w:cs="Arial"/>
          <w:b/>
          <w:bCs/>
          <w:color w:val="000000"/>
          <w:lang w:val="it"/>
        </w:rPr>
        <w:t>Marta Cartabia</w:t>
      </w:r>
      <w:r w:rsidR="00B62562" w:rsidRPr="00071811">
        <w:rPr>
          <w:rFonts w:ascii="Arial" w:hAnsi="Arial" w:cs="Arial"/>
          <w:color w:val="000000"/>
          <w:lang w:val="it"/>
        </w:rPr>
        <w:t>.</w:t>
      </w:r>
    </w:p>
    <w:p w14:paraId="6F180575" w14:textId="77777777" w:rsidR="00071811" w:rsidRPr="00071811" w:rsidRDefault="00071811" w:rsidP="000718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4"/>
          <w:lang w:val="it"/>
        </w:rPr>
      </w:pPr>
    </w:p>
    <w:p w14:paraId="5D891AD3" w14:textId="50C962B9" w:rsidR="00A32F29" w:rsidRDefault="00B62562" w:rsidP="000718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6"/>
          <w:lang w:val="it"/>
        </w:rPr>
      </w:pPr>
      <w:r w:rsidRPr="00071811">
        <w:rPr>
          <w:rFonts w:ascii="Arial" w:hAnsi="Arial" w:cs="Arial"/>
          <w:color w:val="000000"/>
          <w:spacing w:val="6"/>
          <w:lang w:val="it"/>
        </w:rPr>
        <w:t>“L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 xml:space="preserve">’art. 25-octies del Codice della Crisi </w:t>
      </w:r>
      <w:r w:rsidR="00071811">
        <w:rPr>
          <w:rFonts w:ascii="Arial" w:hAnsi="Arial" w:cs="Arial"/>
          <w:color w:val="000000"/>
          <w:spacing w:val="6"/>
          <w:lang w:val="it"/>
        </w:rPr>
        <w:t>–</w:t>
      </w:r>
      <w:r w:rsidRPr="00071811">
        <w:rPr>
          <w:rFonts w:ascii="Arial" w:hAnsi="Arial" w:cs="Arial"/>
          <w:color w:val="000000"/>
          <w:spacing w:val="6"/>
          <w:lang w:val="it"/>
        </w:rPr>
        <w:t xml:space="preserve"> scrive de Nuccio </w:t>
      </w:r>
      <w:r w:rsidR="00071811">
        <w:rPr>
          <w:rFonts w:ascii="Arial" w:hAnsi="Arial" w:cs="Arial"/>
          <w:color w:val="000000"/>
          <w:spacing w:val="6"/>
          <w:lang w:val="it"/>
        </w:rPr>
        <w:t>–</w:t>
      </w:r>
      <w:r w:rsidRPr="00071811">
        <w:rPr>
          <w:rFonts w:ascii="Arial" w:hAnsi="Arial" w:cs="Arial"/>
          <w:color w:val="000000"/>
          <w:spacing w:val="6"/>
          <w:lang w:val="it"/>
        </w:rPr>
        <w:t xml:space="preserve"> 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 xml:space="preserve">replica, con rilevanti modifiche, il contenuto dell’art. 14 dell’originaria formulazione del Codice della crisi che, a nostro avviso, dovrebbe essere recuperato nella prospettiva di </w:t>
      </w:r>
      <w:r w:rsidR="00A32F29" w:rsidRPr="00071811">
        <w:rPr>
          <w:rFonts w:ascii="Arial" w:hAnsi="Arial" w:cs="Arial"/>
          <w:b/>
          <w:bCs/>
          <w:color w:val="000000"/>
          <w:spacing w:val="6"/>
          <w:lang w:val="it"/>
        </w:rPr>
        <w:t>dotare di efficacia il sistema delle segnalazioni attualmente vigente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 xml:space="preserve">. </w:t>
      </w:r>
      <w:r w:rsidRPr="00071811">
        <w:rPr>
          <w:rFonts w:ascii="Arial" w:hAnsi="Arial" w:cs="Arial"/>
          <w:color w:val="000000"/>
          <w:spacing w:val="6"/>
          <w:lang w:val="it"/>
        </w:rPr>
        <w:t xml:space="preserve"> 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>L’art. 14 della originaria versione del Codice della crisi, infatti, faceva ricadere gli obblighi di segnalazione non solo sull’organo di controllo, bensì anche sui soggetti incaricati della revisione legale - revisore persona fisica o società di revisione – chiamati ad attivarsi presso l’organo di amministrazione, ciascuno nell’ambito del</w:t>
      </w:r>
      <w:r w:rsidR="00071811">
        <w:rPr>
          <w:rFonts w:ascii="Arial" w:hAnsi="Arial" w:cs="Arial"/>
          <w:color w:val="000000"/>
          <w:spacing w:val="6"/>
          <w:lang w:val="it"/>
        </w:rPr>
        <w:t>l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>e proprie funzioni. In tal modo, veniva ben colto il differente ruolo svolto dell’organo di controllo della società e dal revisore legale nella governance societaria</w:t>
      </w:r>
      <w:r w:rsidRPr="00071811">
        <w:rPr>
          <w:rFonts w:ascii="Arial" w:hAnsi="Arial" w:cs="Arial"/>
          <w:color w:val="000000"/>
          <w:spacing w:val="6"/>
          <w:lang w:val="it"/>
        </w:rPr>
        <w:t>”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>.</w:t>
      </w:r>
    </w:p>
    <w:p w14:paraId="0B952AC5" w14:textId="77777777" w:rsidR="00071811" w:rsidRPr="00071811" w:rsidRDefault="00071811" w:rsidP="000718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6"/>
          <w:lang w:val="it"/>
        </w:rPr>
      </w:pPr>
    </w:p>
    <w:p w14:paraId="6FD6F188" w14:textId="58DD2879" w:rsidR="00A32F29" w:rsidRDefault="00B62562" w:rsidP="000718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6"/>
          <w:lang w:val="it"/>
        </w:rPr>
      </w:pPr>
      <w:r w:rsidRPr="00071811">
        <w:rPr>
          <w:rFonts w:ascii="Arial" w:hAnsi="Arial" w:cs="Arial"/>
          <w:color w:val="000000"/>
          <w:spacing w:val="6"/>
          <w:lang w:val="it"/>
        </w:rPr>
        <w:t xml:space="preserve">Per </w:t>
      </w:r>
      <w:r w:rsidR="006E0267" w:rsidRPr="00071811">
        <w:rPr>
          <w:rFonts w:ascii="Arial" w:hAnsi="Arial" w:cs="Arial"/>
          <w:color w:val="000000"/>
          <w:spacing w:val="6"/>
          <w:lang w:val="it"/>
        </w:rPr>
        <w:t xml:space="preserve">il presidente dei commercialisti, d’intesa con i consiglieri nazionali delegati alla materia, </w:t>
      </w:r>
      <w:r w:rsidR="006E0267" w:rsidRPr="00071811">
        <w:rPr>
          <w:rFonts w:ascii="Arial" w:hAnsi="Arial" w:cs="Arial"/>
          <w:b/>
          <w:bCs/>
          <w:color w:val="000000"/>
          <w:spacing w:val="6"/>
          <w:lang w:val="it"/>
        </w:rPr>
        <w:t>Cristina Marrone</w:t>
      </w:r>
      <w:r w:rsidR="006E0267" w:rsidRPr="00071811">
        <w:rPr>
          <w:rFonts w:ascii="Arial" w:hAnsi="Arial" w:cs="Arial"/>
          <w:color w:val="000000"/>
          <w:spacing w:val="6"/>
          <w:lang w:val="it"/>
        </w:rPr>
        <w:t xml:space="preserve"> e </w:t>
      </w:r>
      <w:r w:rsidR="006E0267" w:rsidRPr="00071811">
        <w:rPr>
          <w:rFonts w:ascii="Arial" w:hAnsi="Arial" w:cs="Arial"/>
          <w:b/>
          <w:bCs/>
          <w:color w:val="000000"/>
          <w:spacing w:val="6"/>
          <w:lang w:val="it"/>
        </w:rPr>
        <w:t>Pierpaolo Sanna</w:t>
      </w:r>
      <w:r w:rsidR="00E476CC" w:rsidRPr="00071811">
        <w:rPr>
          <w:rFonts w:ascii="Arial" w:hAnsi="Arial" w:cs="Arial"/>
          <w:color w:val="000000"/>
          <w:spacing w:val="6"/>
          <w:lang w:val="it"/>
        </w:rPr>
        <w:t xml:space="preserve"> </w:t>
      </w:r>
      <w:r w:rsidRPr="00071811">
        <w:rPr>
          <w:rFonts w:ascii="Arial" w:hAnsi="Arial" w:cs="Arial"/>
          <w:color w:val="000000"/>
          <w:spacing w:val="6"/>
          <w:lang w:val="it"/>
        </w:rPr>
        <w:t>“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>nelle situazioni di crisi (o pre-crisi o insolvenza reversibile) contemplate nel Codice della crisi, anche in funzione della tutela dell’interesse pubblico, occorr</w:t>
      </w:r>
      <w:r w:rsidRPr="00071811">
        <w:rPr>
          <w:rFonts w:ascii="Arial" w:hAnsi="Arial" w:cs="Arial"/>
          <w:color w:val="000000"/>
          <w:spacing w:val="6"/>
          <w:lang w:val="it"/>
        </w:rPr>
        <w:t>e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 xml:space="preserve"> enfatizzare il ruolo proattivo sia dell’organo di controllo sia del revisore legale che nella società, e per la società, svolgono funzioni di controllo e revisione legale, con il precipuo obiettivo di favorire l’emersione tempestiva delle condizioni di squilibrio patrimoniale, economico-finanziario della società</w:t>
      </w:r>
      <w:r w:rsidRPr="00071811">
        <w:rPr>
          <w:rFonts w:ascii="Arial" w:hAnsi="Arial" w:cs="Arial"/>
          <w:color w:val="000000"/>
          <w:spacing w:val="6"/>
          <w:lang w:val="it"/>
        </w:rPr>
        <w:t>”</w:t>
      </w:r>
      <w:r w:rsidR="00A32F29" w:rsidRPr="00071811">
        <w:rPr>
          <w:rFonts w:ascii="Arial" w:hAnsi="Arial" w:cs="Arial"/>
          <w:color w:val="000000"/>
          <w:spacing w:val="6"/>
          <w:lang w:val="it"/>
        </w:rPr>
        <w:t>.</w:t>
      </w:r>
    </w:p>
    <w:p w14:paraId="49CD7FC2" w14:textId="77777777" w:rsidR="00071811" w:rsidRPr="00071811" w:rsidRDefault="00071811" w:rsidP="000718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6"/>
          <w:lang w:val="it"/>
        </w:rPr>
      </w:pPr>
    </w:p>
    <w:p w14:paraId="7EB28C50" w14:textId="7E4824A5" w:rsidR="003907A0" w:rsidRPr="00071811" w:rsidRDefault="00B62562" w:rsidP="00071811">
      <w:pPr>
        <w:autoSpaceDE w:val="0"/>
        <w:autoSpaceDN w:val="0"/>
        <w:adjustRightInd w:val="0"/>
        <w:jc w:val="both"/>
        <w:rPr>
          <w:rFonts w:ascii="Arial" w:eastAsia="MS Mincho" w:hAnsi="Arial" w:cs="Arial"/>
        </w:rPr>
      </w:pPr>
      <w:r w:rsidRPr="00071811">
        <w:rPr>
          <w:rFonts w:ascii="Arial" w:hAnsi="Arial" w:cs="Arial"/>
          <w:color w:val="000000"/>
          <w:lang w:val="it"/>
        </w:rPr>
        <w:t>“</w:t>
      </w:r>
      <w:r w:rsidR="006E0267" w:rsidRPr="00071811">
        <w:rPr>
          <w:rFonts w:ascii="Arial" w:hAnsi="Arial" w:cs="Arial"/>
          <w:color w:val="000000"/>
          <w:lang w:val="it"/>
        </w:rPr>
        <w:t>N</w:t>
      </w:r>
      <w:r w:rsidR="00A32F29" w:rsidRPr="00071811">
        <w:rPr>
          <w:rFonts w:ascii="Arial" w:hAnsi="Arial" w:cs="Arial"/>
          <w:color w:val="000000"/>
          <w:spacing w:val="7"/>
          <w:lang w:val="it"/>
        </w:rPr>
        <w:t>ella maggior</w:t>
      </w:r>
      <w:r w:rsidRPr="00071811">
        <w:rPr>
          <w:rFonts w:ascii="Arial" w:hAnsi="Arial" w:cs="Arial"/>
          <w:color w:val="000000"/>
          <w:spacing w:val="7"/>
          <w:lang w:val="it"/>
        </w:rPr>
        <w:t xml:space="preserve"> </w:t>
      </w:r>
      <w:r w:rsidR="00A32F29" w:rsidRPr="00071811">
        <w:rPr>
          <w:rFonts w:ascii="Arial" w:hAnsi="Arial" w:cs="Arial"/>
          <w:color w:val="000000"/>
          <w:spacing w:val="7"/>
          <w:lang w:val="it"/>
        </w:rPr>
        <w:t xml:space="preserve">parte delle nostre società di capitali, in cui l’organo di controllo non è altresì incaricato della revisione legale, l’ordinamento non affida a quest’ultimo </w:t>
      </w:r>
      <w:r w:rsidR="00A32F29" w:rsidRPr="00071811">
        <w:rPr>
          <w:rFonts w:ascii="Arial" w:eastAsia="Calibri" w:hAnsi="Arial" w:cs="Arial"/>
        </w:rPr>
        <w:t>accertamenti di natura contabile, demandati, invece, esclusivamente al soggetto incaricato della revisione legale</w:t>
      </w:r>
      <w:r w:rsidR="00A32F29" w:rsidRPr="00071811">
        <w:rPr>
          <w:rFonts w:ascii="Arial" w:eastAsia="MS Mincho" w:hAnsi="Arial" w:cs="Arial"/>
        </w:rPr>
        <w:t>.</w:t>
      </w:r>
      <w:r w:rsidR="00486669">
        <w:rPr>
          <w:rFonts w:ascii="Arial" w:eastAsia="MS Mincho" w:hAnsi="Arial" w:cs="Arial"/>
        </w:rPr>
        <w:t xml:space="preserve"> </w:t>
      </w:r>
      <w:r w:rsidR="00071811">
        <w:rPr>
          <w:rFonts w:ascii="Arial" w:eastAsia="MS Mincho" w:hAnsi="Arial" w:cs="Arial"/>
        </w:rPr>
        <w:t xml:space="preserve">È </w:t>
      </w:r>
      <w:r w:rsidR="00A32F29" w:rsidRPr="00071811">
        <w:rPr>
          <w:rFonts w:ascii="Arial" w:eastAsia="MS Mincho" w:hAnsi="Arial" w:cs="Arial"/>
        </w:rPr>
        <w:t>nostro timore</w:t>
      </w:r>
      <w:r w:rsidRPr="00071811">
        <w:rPr>
          <w:rFonts w:ascii="Arial" w:eastAsia="MS Mincho" w:hAnsi="Arial" w:cs="Arial"/>
        </w:rPr>
        <w:t xml:space="preserve"> – spiega de Nuccio </w:t>
      </w:r>
      <w:r w:rsidR="00071811">
        <w:rPr>
          <w:rFonts w:ascii="Arial" w:eastAsia="MS Mincho" w:hAnsi="Arial" w:cs="Arial"/>
        </w:rPr>
        <w:t>–</w:t>
      </w:r>
      <w:r w:rsidRPr="00071811">
        <w:rPr>
          <w:rFonts w:ascii="Arial" w:eastAsia="MS Mincho" w:hAnsi="Arial" w:cs="Arial"/>
        </w:rPr>
        <w:t xml:space="preserve"> </w:t>
      </w:r>
      <w:r w:rsidR="00A32F29" w:rsidRPr="00071811">
        <w:rPr>
          <w:rFonts w:ascii="Arial" w:eastAsia="MS Mincho" w:hAnsi="Arial" w:cs="Arial"/>
        </w:rPr>
        <w:t xml:space="preserve">che </w:t>
      </w:r>
      <w:r w:rsidR="00A32F29" w:rsidRPr="00071811">
        <w:rPr>
          <w:rFonts w:ascii="Arial" w:hAnsi="Arial" w:cs="Arial"/>
          <w:color w:val="000000"/>
          <w:lang w:val="it"/>
        </w:rPr>
        <w:t>il disallineamento fra ruoli e doveri imposti all’incaricato della revisione legale e all’organo di controllo della società, al cospetto di una crisi, possa provocare inefficienze nella tempestiva emersione, problemi di coordinamento e asimmetrie informative, eventuali disfunzioni anche nella corretta individuazione - e delimitazione</w:t>
      </w:r>
      <w:r w:rsidR="00071811">
        <w:rPr>
          <w:rFonts w:ascii="Arial" w:hAnsi="Arial" w:cs="Arial"/>
          <w:color w:val="000000"/>
          <w:lang w:val="it"/>
        </w:rPr>
        <w:t xml:space="preserve"> -</w:t>
      </w:r>
      <w:r w:rsidR="00A32F29" w:rsidRPr="00071811">
        <w:rPr>
          <w:rFonts w:ascii="Arial" w:hAnsi="Arial" w:cs="Arial"/>
          <w:color w:val="000000"/>
          <w:lang w:val="it"/>
        </w:rPr>
        <w:t xml:space="preserve"> dei rispettivi ambiti di attività in eventuali giudizi di responsabilità</w:t>
      </w:r>
      <w:r w:rsidR="00BB41B0" w:rsidRPr="00071811">
        <w:rPr>
          <w:rFonts w:ascii="Arial" w:hAnsi="Arial" w:cs="Arial"/>
          <w:color w:val="000000"/>
          <w:lang w:val="it"/>
        </w:rPr>
        <w:t>”</w:t>
      </w:r>
      <w:r w:rsidR="006E0267" w:rsidRPr="00071811">
        <w:rPr>
          <w:rFonts w:ascii="Arial" w:hAnsi="Arial" w:cs="Arial"/>
          <w:color w:val="000000"/>
          <w:lang w:val="it"/>
        </w:rPr>
        <w:t>.</w:t>
      </w:r>
    </w:p>
    <w:p w14:paraId="43ACFA3E" w14:textId="77777777" w:rsidR="00071811" w:rsidRPr="00071811" w:rsidRDefault="00071811" w:rsidP="000718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"/>
        </w:rPr>
      </w:pPr>
    </w:p>
    <w:p w14:paraId="34F18640" w14:textId="55065B3B" w:rsidR="00A32F29" w:rsidRPr="00071811" w:rsidRDefault="00BB41B0" w:rsidP="000718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"/>
        </w:rPr>
      </w:pPr>
      <w:r w:rsidRPr="00071811">
        <w:rPr>
          <w:rFonts w:ascii="Arial" w:hAnsi="Arial" w:cs="Arial"/>
          <w:color w:val="000000"/>
          <w:lang w:val="it"/>
        </w:rPr>
        <w:t>“N</w:t>
      </w:r>
      <w:r w:rsidR="00A32F29" w:rsidRPr="00071811">
        <w:rPr>
          <w:rFonts w:ascii="Arial" w:hAnsi="Arial" w:cs="Arial"/>
          <w:color w:val="000000"/>
          <w:lang w:val="it"/>
        </w:rPr>
        <w:t>elle s.r.l.</w:t>
      </w:r>
      <w:r w:rsidR="006E0267" w:rsidRPr="00071811">
        <w:rPr>
          <w:rFonts w:ascii="Arial" w:hAnsi="Arial" w:cs="Arial"/>
          <w:color w:val="000000"/>
          <w:lang w:val="it"/>
        </w:rPr>
        <w:t xml:space="preserve"> </w:t>
      </w:r>
      <w:r w:rsidR="003907A0" w:rsidRPr="00071811">
        <w:rPr>
          <w:rFonts w:ascii="Arial" w:hAnsi="Arial" w:cs="Arial"/>
          <w:color w:val="000000"/>
          <w:lang w:val="it"/>
        </w:rPr>
        <w:t xml:space="preserve">che </w:t>
      </w:r>
      <w:r w:rsidR="00B62562" w:rsidRPr="00071811">
        <w:rPr>
          <w:rFonts w:ascii="Arial" w:hAnsi="Arial" w:cs="Arial"/>
          <w:color w:val="000000"/>
          <w:lang w:val="it"/>
        </w:rPr>
        <w:t>abbiano nominato unicamente un</w:t>
      </w:r>
      <w:r w:rsidR="00A32F29" w:rsidRPr="00071811">
        <w:rPr>
          <w:rFonts w:ascii="Arial" w:hAnsi="Arial" w:cs="Arial"/>
          <w:color w:val="000000"/>
          <w:lang w:val="it"/>
        </w:rPr>
        <w:t xml:space="preserve"> revisore e non </w:t>
      </w:r>
      <w:r w:rsidR="00B62562" w:rsidRPr="00071811">
        <w:rPr>
          <w:rFonts w:ascii="Arial" w:hAnsi="Arial" w:cs="Arial"/>
          <w:color w:val="000000"/>
          <w:lang w:val="it"/>
        </w:rPr>
        <w:t xml:space="preserve">anche un </w:t>
      </w:r>
      <w:r w:rsidR="00A32F29" w:rsidRPr="00071811">
        <w:rPr>
          <w:rFonts w:ascii="Arial" w:hAnsi="Arial" w:cs="Arial"/>
          <w:color w:val="000000"/>
          <w:lang w:val="it"/>
        </w:rPr>
        <w:t>organo di controllo</w:t>
      </w:r>
      <w:r w:rsidRPr="00071811">
        <w:rPr>
          <w:rFonts w:ascii="Arial" w:hAnsi="Arial" w:cs="Arial"/>
          <w:color w:val="000000"/>
          <w:lang w:val="it"/>
        </w:rPr>
        <w:t xml:space="preserve"> </w:t>
      </w:r>
      <w:r w:rsidR="00071811">
        <w:rPr>
          <w:rFonts w:ascii="Arial" w:hAnsi="Arial" w:cs="Arial"/>
          <w:color w:val="000000"/>
          <w:lang w:val="it"/>
        </w:rPr>
        <w:t>–</w:t>
      </w:r>
      <w:r w:rsidR="003907A0" w:rsidRPr="00071811">
        <w:rPr>
          <w:rFonts w:ascii="Arial" w:hAnsi="Arial" w:cs="Arial"/>
          <w:color w:val="000000"/>
          <w:lang w:val="it"/>
        </w:rPr>
        <w:t xml:space="preserve"> segnala de Nuccio </w:t>
      </w:r>
      <w:r w:rsidR="00071811">
        <w:rPr>
          <w:rFonts w:ascii="Arial" w:hAnsi="Arial" w:cs="Arial"/>
          <w:color w:val="000000"/>
          <w:lang w:val="it"/>
        </w:rPr>
        <w:t>–</w:t>
      </w:r>
      <w:r w:rsidR="003907A0" w:rsidRPr="00071811">
        <w:rPr>
          <w:rFonts w:ascii="Arial" w:hAnsi="Arial" w:cs="Arial"/>
          <w:color w:val="000000"/>
          <w:lang w:val="it"/>
        </w:rPr>
        <w:t xml:space="preserve"> </w:t>
      </w:r>
      <w:r w:rsidR="006E0267" w:rsidRPr="00071811">
        <w:rPr>
          <w:rFonts w:ascii="Arial" w:hAnsi="Arial" w:cs="Arial"/>
          <w:color w:val="000000"/>
          <w:lang w:val="it"/>
        </w:rPr>
        <w:t xml:space="preserve">si arriva </w:t>
      </w:r>
      <w:r w:rsidR="003907A0" w:rsidRPr="00071811">
        <w:rPr>
          <w:rFonts w:ascii="Arial" w:hAnsi="Arial" w:cs="Arial"/>
          <w:color w:val="000000"/>
          <w:lang w:val="it"/>
        </w:rPr>
        <w:t xml:space="preserve">alla paradossale quanto pericolosa situazione nella quale per un verso </w:t>
      </w:r>
      <w:r w:rsidR="00B62562" w:rsidRPr="00071811">
        <w:rPr>
          <w:rFonts w:ascii="Arial" w:hAnsi="Arial" w:cs="Arial"/>
          <w:color w:val="000000"/>
          <w:lang w:val="it"/>
        </w:rPr>
        <w:t xml:space="preserve">il sistema di “segnalazione interna” </w:t>
      </w:r>
      <w:r w:rsidR="003907A0" w:rsidRPr="00071811">
        <w:rPr>
          <w:rFonts w:ascii="Arial" w:hAnsi="Arial" w:cs="Arial"/>
          <w:color w:val="000000"/>
          <w:lang w:val="it"/>
        </w:rPr>
        <w:t>viene pregiudicato</w:t>
      </w:r>
      <w:r w:rsidR="00A32F29" w:rsidRPr="00071811">
        <w:rPr>
          <w:rFonts w:ascii="Arial" w:hAnsi="Arial" w:cs="Arial"/>
          <w:color w:val="000000"/>
          <w:lang w:val="it"/>
        </w:rPr>
        <w:t xml:space="preserve"> dall’assenza di un soggetto segnalante presso l’organo di amministrazione e, per altro verso, </w:t>
      </w:r>
      <w:r w:rsidR="003907A0" w:rsidRPr="00071811">
        <w:rPr>
          <w:rFonts w:ascii="Arial" w:hAnsi="Arial" w:cs="Arial"/>
          <w:color w:val="000000"/>
          <w:lang w:val="it"/>
        </w:rPr>
        <w:t xml:space="preserve">viene </w:t>
      </w:r>
      <w:r w:rsidR="00A32F29" w:rsidRPr="00071811">
        <w:rPr>
          <w:rFonts w:ascii="Arial" w:hAnsi="Arial" w:cs="Arial"/>
          <w:color w:val="000000"/>
          <w:lang w:val="it"/>
        </w:rPr>
        <w:t xml:space="preserve">fortemente compromesso anche il sistema di “segnalazioni esterne”, con evidente pregiudizio degli interessi </w:t>
      </w:r>
      <w:r w:rsidR="00071811">
        <w:rPr>
          <w:rFonts w:ascii="Arial" w:hAnsi="Arial" w:cs="Arial"/>
          <w:color w:val="000000"/>
          <w:lang w:val="it"/>
        </w:rPr>
        <w:t>-</w:t>
      </w:r>
      <w:r w:rsidR="00A32F29" w:rsidRPr="00071811">
        <w:rPr>
          <w:rFonts w:ascii="Arial" w:hAnsi="Arial" w:cs="Arial"/>
          <w:color w:val="000000"/>
          <w:lang w:val="it"/>
        </w:rPr>
        <w:t xml:space="preserve"> di soci, creditori e terzi </w:t>
      </w:r>
      <w:r w:rsidR="00071811">
        <w:rPr>
          <w:rFonts w:ascii="Arial" w:hAnsi="Arial" w:cs="Arial"/>
          <w:color w:val="000000"/>
          <w:lang w:val="it"/>
        </w:rPr>
        <w:t>-</w:t>
      </w:r>
      <w:r w:rsidR="00A32F29" w:rsidRPr="00071811">
        <w:rPr>
          <w:rFonts w:ascii="Arial" w:hAnsi="Arial" w:cs="Arial"/>
          <w:color w:val="000000"/>
          <w:lang w:val="it"/>
        </w:rPr>
        <w:t xml:space="preserve"> che lo stesso art. 25-octies del Codice della crisi intende tutelare</w:t>
      </w:r>
      <w:r w:rsidRPr="00071811">
        <w:rPr>
          <w:rFonts w:ascii="Arial" w:hAnsi="Arial" w:cs="Arial"/>
          <w:color w:val="000000"/>
          <w:lang w:val="it"/>
        </w:rPr>
        <w:t>”</w:t>
      </w:r>
      <w:r w:rsidR="00A32F29" w:rsidRPr="00071811">
        <w:rPr>
          <w:rFonts w:ascii="Arial" w:hAnsi="Arial" w:cs="Arial"/>
          <w:color w:val="000000"/>
          <w:lang w:val="it"/>
        </w:rPr>
        <w:t>.</w:t>
      </w:r>
    </w:p>
    <w:sectPr w:rsidR="00A32F29" w:rsidRPr="0007181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DE3B" w14:textId="77777777" w:rsidR="00BB7FC8" w:rsidRDefault="00BB7FC8" w:rsidP="0078332C">
      <w:r>
        <w:separator/>
      </w:r>
    </w:p>
  </w:endnote>
  <w:endnote w:type="continuationSeparator" w:id="0">
    <w:p w14:paraId="5269487A" w14:textId="77777777" w:rsidR="00BB7FC8" w:rsidRDefault="00BB7FC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E318" w14:textId="77777777" w:rsidR="00BB7FC8" w:rsidRDefault="00BB7FC8" w:rsidP="0078332C">
      <w:r>
        <w:separator/>
      </w:r>
    </w:p>
  </w:footnote>
  <w:footnote w:type="continuationSeparator" w:id="0">
    <w:p w14:paraId="0D4DAAB0" w14:textId="77777777" w:rsidR="00BB7FC8" w:rsidRDefault="00BB7FC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1811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07A0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6669"/>
    <w:rsid w:val="004875FA"/>
    <w:rsid w:val="00493DC9"/>
    <w:rsid w:val="00496213"/>
    <w:rsid w:val="004964DA"/>
    <w:rsid w:val="004A44B8"/>
    <w:rsid w:val="004A6888"/>
    <w:rsid w:val="004B2695"/>
    <w:rsid w:val="004C6565"/>
    <w:rsid w:val="004E435B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B5D"/>
    <w:rsid w:val="006A0D3B"/>
    <w:rsid w:val="006A4451"/>
    <w:rsid w:val="006C3945"/>
    <w:rsid w:val="006C6818"/>
    <w:rsid w:val="006C7063"/>
    <w:rsid w:val="006E0267"/>
    <w:rsid w:val="006E43CD"/>
    <w:rsid w:val="006F4DC7"/>
    <w:rsid w:val="00717DC7"/>
    <w:rsid w:val="00726188"/>
    <w:rsid w:val="007262E1"/>
    <w:rsid w:val="00736E95"/>
    <w:rsid w:val="007413CC"/>
    <w:rsid w:val="007415B1"/>
    <w:rsid w:val="00741678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B7FC8"/>
    <w:rsid w:val="00BC5E35"/>
    <w:rsid w:val="00BD0164"/>
    <w:rsid w:val="00BD0510"/>
    <w:rsid w:val="00BD2206"/>
    <w:rsid w:val="00BD6259"/>
    <w:rsid w:val="00BF096F"/>
    <w:rsid w:val="00BF37E8"/>
    <w:rsid w:val="00BF3A80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476CC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2022-09-30T09:57:00Z</cp:lastPrinted>
  <dcterms:created xsi:type="dcterms:W3CDTF">2022-09-30T10:18:00Z</dcterms:created>
  <dcterms:modified xsi:type="dcterms:W3CDTF">2022-09-30T11:08:00Z</dcterms:modified>
</cp:coreProperties>
</file>