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F3CD3" w14:textId="77777777" w:rsidR="0029157E" w:rsidRPr="00970425" w:rsidRDefault="0029157E" w:rsidP="00625A75">
      <w:pPr>
        <w:jc w:val="both"/>
        <w:rPr>
          <w:rFonts w:ascii="Arial" w:eastAsia="Times New Roman" w:hAnsi="Arial" w:cs="Arial"/>
          <w:b/>
          <w:bCs/>
          <w:sz w:val="24"/>
          <w:szCs w:val="24"/>
        </w:rPr>
      </w:pPr>
    </w:p>
    <w:p w14:paraId="4AB07F76" w14:textId="71CCC717" w:rsidR="00625A75" w:rsidRPr="005767F1" w:rsidRDefault="00625A75" w:rsidP="00625A75">
      <w:pPr>
        <w:jc w:val="center"/>
        <w:rPr>
          <w:rFonts w:ascii="Arial" w:hAnsi="Arial" w:cs="Arial"/>
          <w:b/>
          <w:bCs/>
          <w:color w:val="000000"/>
          <w:sz w:val="24"/>
          <w:szCs w:val="24"/>
          <w:u w:val="single"/>
        </w:rPr>
      </w:pPr>
      <w:r w:rsidRPr="005767F1">
        <w:rPr>
          <w:rFonts w:ascii="Arial" w:hAnsi="Arial" w:cs="Arial"/>
          <w:b/>
          <w:bCs/>
          <w:color w:val="000000"/>
          <w:sz w:val="24"/>
          <w:szCs w:val="24"/>
          <w:u w:val="single"/>
        </w:rPr>
        <w:t>COMUNICATO STAMPA</w:t>
      </w:r>
    </w:p>
    <w:p w14:paraId="57FEA3EE" w14:textId="77777777" w:rsidR="00625A75" w:rsidRDefault="00625A75" w:rsidP="00625A75">
      <w:pPr>
        <w:jc w:val="center"/>
        <w:rPr>
          <w:color w:val="000000"/>
        </w:rPr>
      </w:pPr>
    </w:p>
    <w:p w14:paraId="70169DFE" w14:textId="656C5E6A" w:rsidR="00625A75" w:rsidRDefault="00625A75" w:rsidP="00625A75">
      <w:pPr>
        <w:jc w:val="center"/>
        <w:rPr>
          <w:rFonts w:ascii="Arial" w:hAnsi="Arial" w:cs="Arial"/>
          <w:b/>
          <w:bCs/>
          <w:color w:val="000000"/>
          <w:sz w:val="24"/>
          <w:szCs w:val="24"/>
        </w:rPr>
      </w:pPr>
      <w:r>
        <w:rPr>
          <w:rFonts w:ascii="Arial" w:hAnsi="Arial" w:cs="Arial"/>
          <w:b/>
          <w:bCs/>
          <w:color w:val="000000"/>
          <w:sz w:val="24"/>
          <w:szCs w:val="24"/>
        </w:rPr>
        <w:t>COMMERCIALISTI, NEL 2022 IN GRAVE DIFFICOLTA’ 371.500 IMPRESE NON FALLIBILI</w:t>
      </w:r>
    </w:p>
    <w:p w14:paraId="096EEBF1" w14:textId="77777777" w:rsidR="00625A75" w:rsidRDefault="00625A75" w:rsidP="00625A75">
      <w:pPr>
        <w:jc w:val="center"/>
        <w:rPr>
          <w:color w:val="000000"/>
        </w:rPr>
      </w:pPr>
    </w:p>
    <w:p w14:paraId="2EB80818" w14:textId="5B9BEBC2" w:rsidR="00625A75" w:rsidRDefault="00625A75" w:rsidP="00625A75">
      <w:pPr>
        <w:jc w:val="center"/>
        <w:rPr>
          <w:rFonts w:ascii="Arial" w:hAnsi="Arial" w:cs="Arial"/>
          <w:b/>
          <w:bCs/>
          <w:color w:val="000000"/>
          <w:sz w:val="24"/>
          <w:szCs w:val="24"/>
        </w:rPr>
      </w:pPr>
      <w:r>
        <w:rPr>
          <w:rFonts w:ascii="Arial" w:hAnsi="Arial" w:cs="Arial"/>
          <w:b/>
          <w:bCs/>
          <w:color w:val="000000"/>
          <w:sz w:val="24"/>
          <w:szCs w:val="24"/>
        </w:rPr>
        <w:t xml:space="preserve">Stima della Fondazione nazionale dei commercialisti sulla base di un sondaggio tra gli iscritti alla categoria. Nel 2021 effetto “bolla” creato dalle misure agevolative del Governo, ma nel 2022 per il 29,3% di questa tipologia di impresa è altamente probabile un aumento del rischio di solvibilità. </w:t>
      </w:r>
      <w:r>
        <w:rPr>
          <w:rFonts w:ascii="Arial" w:hAnsi="Arial" w:cs="Arial"/>
          <w:b/>
          <w:bCs/>
          <w:color w:val="000000"/>
          <w:sz w:val="24"/>
          <w:szCs w:val="24"/>
          <w:shd w:val="clear" w:color="auto" w:fill="FFFFFF"/>
        </w:rPr>
        <w:t>445 mila i dipendenti interessati. </w:t>
      </w:r>
      <w:r>
        <w:rPr>
          <w:rFonts w:ascii="Arial" w:hAnsi="Arial" w:cs="Arial"/>
          <w:b/>
          <w:bCs/>
          <w:color w:val="000000"/>
          <w:sz w:val="24"/>
          <w:szCs w:val="24"/>
        </w:rPr>
        <w:t xml:space="preserve">Ancora troppo contenuto l’accesso agli istituti di composizione della crisi e agli aiuti antiracket e antiusura. I professionisti: “Promuoverne la conoscenza </w:t>
      </w:r>
      <w:r>
        <w:rPr>
          <w:rFonts w:ascii="Arial" w:hAnsi="Arial" w:cs="Arial"/>
          <w:b/>
          <w:bCs/>
          <w:color w:val="000000"/>
          <w:sz w:val="24"/>
          <w:szCs w:val="24"/>
          <w:shd w:val="clear" w:color="auto" w:fill="FFFFFF"/>
        </w:rPr>
        <w:t>per sbarrare la strada alla criminalità organizzata e risolvere la crisi di cittadini, piccole aziende e professionisti</w:t>
      </w:r>
      <w:r>
        <w:rPr>
          <w:rFonts w:ascii="Arial" w:hAnsi="Arial" w:cs="Arial"/>
          <w:b/>
          <w:bCs/>
          <w:color w:val="000000"/>
          <w:sz w:val="24"/>
          <w:szCs w:val="24"/>
        </w:rPr>
        <w:t xml:space="preserve">” </w:t>
      </w:r>
    </w:p>
    <w:p w14:paraId="07B0495F" w14:textId="77777777" w:rsidR="00625A75" w:rsidRPr="00625A75" w:rsidRDefault="00625A75" w:rsidP="00625A75">
      <w:pPr>
        <w:jc w:val="center"/>
        <w:rPr>
          <w:rFonts w:ascii="Arial" w:hAnsi="Arial" w:cs="Arial"/>
          <w:color w:val="000000"/>
        </w:rPr>
      </w:pPr>
    </w:p>
    <w:p w14:paraId="651B4D12" w14:textId="7F5107E5" w:rsidR="00625A75" w:rsidRPr="00625A75" w:rsidRDefault="00625A75" w:rsidP="00625A75">
      <w:pPr>
        <w:jc w:val="both"/>
        <w:rPr>
          <w:rFonts w:ascii="Arial" w:hAnsi="Arial" w:cs="Arial"/>
          <w:color w:val="000000"/>
        </w:rPr>
      </w:pPr>
      <w:r w:rsidRPr="00625A75">
        <w:rPr>
          <w:rFonts w:ascii="Arial" w:hAnsi="Arial" w:cs="Arial"/>
          <w:i/>
          <w:iCs/>
          <w:color w:val="000000"/>
        </w:rPr>
        <w:t xml:space="preserve">Roma, 30 giugno 2021 - </w:t>
      </w:r>
      <w:r w:rsidRPr="00625A75">
        <w:rPr>
          <w:rFonts w:ascii="Arial" w:hAnsi="Arial" w:cs="Arial"/>
          <w:color w:val="000000"/>
        </w:rPr>
        <w:t xml:space="preserve">Circa </w:t>
      </w:r>
      <w:r w:rsidRPr="00625A75">
        <w:rPr>
          <w:rFonts w:ascii="Arial" w:hAnsi="Arial" w:cs="Arial"/>
          <w:b/>
          <w:bCs/>
          <w:color w:val="000000"/>
        </w:rPr>
        <w:t>371.500 imprese non fallibili</w:t>
      </w:r>
      <w:r w:rsidRPr="00625A75">
        <w:rPr>
          <w:rFonts w:ascii="Arial" w:hAnsi="Arial" w:cs="Arial"/>
          <w:color w:val="000000"/>
        </w:rPr>
        <w:t xml:space="preserve">, pari al </w:t>
      </w:r>
      <w:r w:rsidRPr="00625A75">
        <w:rPr>
          <w:rFonts w:ascii="Arial" w:hAnsi="Arial" w:cs="Arial"/>
          <w:b/>
          <w:bCs/>
          <w:color w:val="000000"/>
        </w:rPr>
        <w:t>29,3% del totale</w:t>
      </w:r>
      <w:r w:rsidRPr="00625A75">
        <w:rPr>
          <w:rFonts w:ascii="Arial" w:hAnsi="Arial" w:cs="Arial"/>
          <w:color w:val="000000"/>
        </w:rPr>
        <w:t xml:space="preserve"> di questa tipologia di imprese, potrebbero trovarsi in grave difficoltà economica </w:t>
      </w:r>
      <w:r w:rsidRPr="00625A75">
        <w:rPr>
          <w:rFonts w:ascii="Arial" w:hAnsi="Arial" w:cs="Arial"/>
          <w:b/>
          <w:bCs/>
          <w:color w:val="000000"/>
        </w:rPr>
        <w:t>nel corso del 2022</w:t>
      </w:r>
      <w:r w:rsidRPr="00625A75">
        <w:rPr>
          <w:rFonts w:ascii="Arial" w:hAnsi="Arial" w:cs="Arial"/>
          <w:color w:val="000000"/>
        </w:rPr>
        <w:t xml:space="preserve">. Si tratta di piccole imprese che danno però lavoro a oltre </w:t>
      </w:r>
      <w:r w:rsidRPr="00625A75">
        <w:rPr>
          <w:rFonts w:ascii="Arial" w:hAnsi="Arial" w:cs="Arial"/>
          <w:b/>
          <w:bCs/>
          <w:color w:val="000000"/>
        </w:rPr>
        <w:t>445 mila dipendenti</w:t>
      </w:r>
      <w:r w:rsidRPr="00625A75">
        <w:rPr>
          <w:rFonts w:ascii="Arial" w:hAnsi="Arial" w:cs="Arial"/>
          <w:color w:val="000000"/>
        </w:rPr>
        <w:t xml:space="preserve">. </w:t>
      </w:r>
      <w:r w:rsidRPr="00625A75">
        <w:rPr>
          <w:rFonts w:ascii="Arial" w:hAnsi="Arial" w:cs="Arial"/>
          <w:color w:val="000000"/>
        </w:rPr>
        <w:t xml:space="preserve">È </w:t>
      </w:r>
      <w:r w:rsidRPr="00625A75">
        <w:rPr>
          <w:rFonts w:ascii="Arial" w:hAnsi="Arial" w:cs="Arial"/>
          <w:color w:val="000000"/>
        </w:rPr>
        <w:t xml:space="preserve">la stima effettuata dalla </w:t>
      </w:r>
      <w:r w:rsidRPr="00625A75">
        <w:rPr>
          <w:rFonts w:ascii="Arial" w:hAnsi="Arial" w:cs="Arial"/>
          <w:b/>
          <w:bCs/>
          <w:color w:val="000000"/>
        </w:rPr>
        <w:t>Fondazione nazionale dei commercialisti</w:t>
      </w:r>
      <w:r w:rsidRPr="00625A75">
        <w:rPr>
          <w:rFonts w:ascii="Arial" w:hAnsi="Arial" w:cs="Arial"/>
          <w:color w:val="000000"/>
        </w:rPr>
        <w:t xml:space="preserve"> sulla base di un sondaggio realizzato su un campione significativo di iscritti alla categoria professionale, finalizzato a valutare l’impatto della </w:t>
      </w:r>
      <w:r w:rsidRPr="00625A75">
        <w:rPr>
          <w:rFonts w:ascii="Arial" w:hAnsi="Arial" w:cs="Arial"/>
          <w:b/>
          <w:bCs/>
          <w:color w:val="000000"/>
        </w:rPr>
        <w:t>crisi pandemica</w:t>
      </w:r>
      <w:r w:rsidRPr="00625A75">
        <w:rPr>
          <w:rFonts w:ascii="Arial" w:hAnsi="Arial" w:cs="Arial"/>
          <w:color w:val="000000"/>
        </w:rPr>
        <w:t xml:space="preserve"> su questa realtà. I commercialisti stimano anche che i </w:t>
      </w:r>
      <w:r w:rsidRPr="00625A75">
        <w:rPr>
          <w:rFonts w:ascii="Arial" w:hAnsi="Arial" w:cs="Arial"/>
          <w:b/>
          <w:bCs/>
          <w:color w:val="000000"/>
        </w:rPr>
        <w:t>soggetti non fallibili in attività</w:t>
      </w:r>
      <w:r w:rsidRPr="00625A75">
        <w:rPr>
          <w:rFonts w:ascii="Arial" w:hAnsi="Arial" w:cs="Arial"/>
          <w:color w:val="000000"/>
        </w:rPr>
        <w:t xml:space="preserve">, con esclusione dei professionisti e degli enti non commerciali, siano circa </w:t>
      </w:r>
      <w:r w:rsidRPr="00625A75">
        <w:rPr>
          <w:rFonts w:ascii="Arial" w:hAnsi="Arial" w:cs="Arial"/>
          <w:b/>
          <w:bCs/>
          <w:color w:val="000000"/>
        </w:rPr>
        <w:t xml:space="preserve">1,27 milioni </w:t>
      </w:r>
      <w:r w:rsidRPr="00625A75">
        <w:rPr>
          <w:rFonts w:ascii="Arial" w:hAnsi="Arial" w:cs="Arial"/>
          <w:color w:val="000000"/>
        </w:rPr>
        <w:t>a cui fanno riferimento</w:t>
      </w:r>
      <w:r w:rsidRPr="00625A75">
        <w:rPr>
          <w:rFonts w:ascii="Arial" w:hAnsi="Arial" w:cs="Arial"/>
          <w:b/>
          <w:bCs/>
          <w:color w:val="000000"/>
        </w:rPr>
        <w:t xml:space="preserve"> oltre 1,5 milioni di addetti</w:t>
      </w:r>
      <w:r w:rsidRPr="00625A75">
        <w:rPr>
          <w:rFonts w:ascii="Arial" w:hAnsi="Arial" w:cs="Arial"/>
          <w:color w:val="000000"/>
        </w:rPr>
        <w:t>.</w:t>
      </w:r>
    </w:p>
    <w:p w14:paraId="62A8E6CF" w14:textId="77777777" w:rsidR="00625A75" w:rsidRPr="00625A75" w:rsidRDefault="00625A75" w:rsidP="00625A75">
      <w:pPr>
        <w:jc w:val="both"/>
        <w:rPr>
          <w:rFonts w:ascii="Arial" w:hAnsi="Arial" w:cs="Arial"/>
          <w:color w:val="000000"/>
        </w:rPr>
      </w:pPr>
    </w:p>
    <w:p w14:paraId="636888E6" w14:textId="39E3D18A" w:rsidR="00625A75" w:rsidRPr="00625A75" w:rsidRDefault="00625A75" w:rsidP="00625A75">
      <w:pPr>
        <w:jc w:val="both"/>
        <w:rPr>
          <w:rFonts w:ascii="Arial" w:hAnsi="Arial" w:cs="Arial"/>
          <w:color w:val="000000"/>
        </w:rPr>
      </w:pPr>
      <w:r w:rsidRPr="00625A75">
        <w:rPr>
          <w:rFonts w:ascii="Arial" w:hAnsi="Arial" w:cs="Arial"/>
          <w:color w:val="000000"/>
        </w:rPr>
        <w:t>Dal sondaggio emerge l’importanza dell’</w:t>
      </w:r>
      <w:r w:rsidRPr="00625A75">
        <w:rPr>
          <w:rFonts w:ascii="Arial" w:hAnsi="Arial" w:cs="Arial"/>
          <w:b/>
          <w:bCs/>
          <w:color w:val="000000"/>
        </w:rPr>
        <w:t xml:space="preserve">effetto “bolla” </w:t>
      </w:r>
      <w:r w:rsidRPr="00625A75">
        <w:rPr>
          <w:rFonts w:ascii="Arial" w:hAnsi="Arial" w:cs="Arial"/>
          <w:color w:val="000000"/>
        </w:rPr>
        <w:t xml:space="preserve">generato su queste realtà imprenditoriali dalle </w:t>
      </w:r>
      <w:r w:rsidRPr="00625A75">
        <w:rPr>
          <w:rFonts w:ascii="Arial" w:hAnsi="Arial" w:cs="Arial"/>
          <w:b/>
          <w:bCs/>
          <w:color w:val="000000"/>
        </w:rPr>
        <w:t>misure di sostegno pubblico</w:t>
      </w:r>
      <w:r w:rsidRPr="00625A75">
        <w:rPr>
          <w:rFonts w:ascii="Arial" w:hAnsi="Arial" w:cs="Arial"/>
          <w:color w:val="000000"/>
        </w:rPr>
        <w:t xml:space="preserve">: se da un lato non si è ancora registrata un’esplosione di insolvenze aziendali, dall’altro lato, considerata la temporaneità degli interventi medesimi, appare </w:t>
      </w:r>
      <w:r w:rsidRPr="00625A75">
        <w:rPr>
          <w:rFonts w:ascii="Arial" w:hAnsi="Arial" w:cs="Arial"/>
          <w:b/>
          <w:bCs/>
          <w:color w:val="000000"/>
        </w:rPr>
        <w:t>altamente probabile</w:t>
      </w:r>
      <w:r w:rsidRPr="00625A75">
        <w:rPr>
          <w:rFonts w:ascii="Arial" w:hAnsi="Arial" w:cs="Arial"/>
          <w:color w:val="000000"/>
        </w:rPr>
        <w:t xml:space="preserve"> che si concretizzi un aumento del </w:t>
      </w:r>
      <w:r w:rsidRPr="00625A75">
        <w:rPr>
          <w:rFonts w:ascii="Arial" w:hAnsi="Arial" w:cs="Arial"/>
          <w:b/>
          <w:bCs/>
          <w:color w:val="000000"/>
        </w:rPr>
        <w:t>rischio di solvibilità</w:t>
      </w:r>
      <w:r w:rsidRPr="00625A75">
        <w:rPr>
          <w:rFonts w:ascii="Arial" w:hAnsi="Arial" w:cs="Arial"/>
          <w:color w:val="000000"/>
        </w:rPr>
        <w:t xml:space="preserve"> legato alla progressiva riduzione dei sostegni economici. È accertato, infatti, che un elevato campione di imprese versava in situazioni di crisi già prima di essere travolta dall’ondata pandemica, il che rende ancor più verosimile </w:t>
      </w:r>
      <w:r w:rsidRPr="00625A75">
        <w:rPr>
          <w:rFonts w:ascii="Arial" w:hAnsi="Arial" w:cs="Arial"/>
          <w:b/>
          <w:bCs/>
          <w:color w:val="000000"/>
        </w:rPr>
        <w:t>ipotizzare un incremento delle insolvenze</w:t>
      </w:r>
      <w:r w:rsidRPr="00625A75">
        <w:rPr>
          <w:rFonts w:ascii="Arial" w:hAnsi="Arial" w:cs="Arial"/>
          <w:color w:val="000000"/>
        </w:rPr>
        <w:t xml:space="preserve"> una volta che le misure di sostegno – tramite le quali, realtà già deteriorate sono rimaste in vita – verranno allentate.</w:t>
      </w:r>
    </w:p>
    <w:p w14:paraId="73EA70D9" w14:textId="77777777" w:rsidR="00625A75" w:rsidRPr="00625A75" w:rsidRDefault="00625A75" w:rsidP="00625A75">
      <w:pPr>
        <w:jc w:val="both"/>
        <w:rPr>
          <w:rFonts w:ascii="Arial" w:hAnsi="Arial" w:cs="Arial"/>
          <w:color w:val="000000"/>
        </w:rPr>
      </w:pPr>
    </w:p>
    <w:p w14:paraId="3C58C5D5" w14:textId="77777777" w:rsidR="00625A75" w:rsidRPr="00625A75" w:rsidRDefault="00625A75" w:rsidP="00625A75">
      <w:pPr>
        <w:jc w:val="both"/>
        <w:rPr>
          <w:rFonts w:ascii="Arial" w:hAnsi="Arial" w:cs="Arial"/>
          <w:color w:val="000000"/>
        </w:rPr>
      </w:pPr>
      <w:r w:rsidRPr="00625A75">
        <w:rPr>
          <w:rFonts w:ascii="Arial" w:hAnsi="Arial" w:cs="Arial"/>
          <w:b/>
          <w:bCs/>
          <w:color w:val="000000"/>
        </w:rPr>
        <w:t>IL SONDAGGIO </w:t>
      </w:r>
    </w:p>
    <w:p w14:paraId="34AA53E5" w14:textId="24FCB12F" w:rsidR="00625A75" w:rsidRPr="00625A75" w:rsidRDefault="00625A75" w:rsidP="00625A75">
      <w:pPr>
        <w:jc w:val="both"/>
        <w:rPr>
          <w:rFonts w:ascii="Arial" w:hAnsi="Arial" w:cs="Arial"/>
          <w:bCs/>
          <w:color w:val="000000"/>
        </w:rPr>
      </w:pPr>
      <w:r w:rsidRPr="00625A75">
        <w:rPr>
          <w:rFonts w:ascii="Arial" w:hAnsi="Arial" w:cs="Arial"/>
          <w:bCs/>
          <w:color w:val="000000"/>
        </w:rPr>
        <w:t xml:space="preserve">Dalle risposte fornite dagli intervistati risulta come, a poco più di un anno dall’inizio della pandemia, solo </w:t>
      </w:r>
      <w:r w:rsidRPr="00625A75">
        <w:rPr>
          <w:rFonts w:ascii="Arial" w:hAnsi="Arial" w:cs="Arial"/>
          <w:b/>
          <w:bCs/>
          <w:color w:val="000000"/>
        </w:rPr>
        <w:t>poche imprese</w:t>
      </w:r>
      <w:r w:rsidRPr="00625A75">
        <w:rPr>
          <w:rFonts w:ascii="Arial" w:hAnsi="Arial" w:cs="Arial"/>
          <w:b/>
          <w:bCs/>
          <w:color w:val="000000"/>
          <w:shd w:val="clear" w:color="auto" w:fill="FFFFFF"/>
        </w:rPr>
        <w:t xml:space="preserve"> non fallibili</w:t>
      </w:r>
      <w:r w:rsidRPr="00625A75">
        <w:rPr>
          <w:rFonts w:ascii="Arial" w:hAnsi="Arial" w:cs="Arial"/>
          <w:bCs/>
          <w:color w:val="000000"/>
        </w:rPr>
        <w:t xml:space="preserve"> hanno </w:t>
      </w:r>
      <w:r w:rsidRPr="00625A75">
        <w:rPr>
          <w:rFonts w:ascii="Arial" w:hAnsi="Arial" w:cs="Arial"/>
          <w:b/>
          <w:bCs/>
          <w:color w:val="000000"/>
        </w:rPr>
        <w:t>cessato l’attività</w:t>
      </w:r>
      <w:r w:rsidRPr="00625A75">
        <w:rPr>
          <w:rFonts w:ascii="Arial" w:hAnsi="Arial" w:cs="Arial"/>
          <w:bCs/>
          <w:color w:val="000000"/>
        </w:rPr>
        <w:t xml:space="preserve"> e </w:t>
      </w:r>
      <w:r w:rsidRPr="00625A75">
        <w:rPr>
          <w:rFonts w:ascii="Arial" w:hAnsi="Arial" w:cs="Arial"/>
          <w:b/>
          <w:bCs/>
          <w:color w:val="000000"/>
        </w:rPr>
        <w:t>pochissime</w:t>
      </w:r>
      <w:r w:rsidRPr="00625A75">
        <w:rPr>
          <w:rFonts w:ascii="Arial" w:hAnsi="Arial" w:cs="Arial"/>
          <w:bCs/>
          <w:color w:val="000000"/>
        </w:rPr>
        <w:t xml:space="preserve"> hanno fatto ricorso a procedure di </w:t>
      </w:r>
      <w:r w:rsidRPr="00625A75">
        <w:rPr>
          <w:rFonts w:ascii="Arial" w:hAnsi="Arial" w:cs="Arial"/>
          <w:b/>
          <w:bCs/>
          <w:color w:val="000000"/>
        </w:rPr>
        <w:t>sovraindebitamento o a soluzioni stragiudiziali</w:t>
      </w:r>
      <w:r w:rsidRPr="00625A75">
        <w:rPr>
          <w:rFonts w:ascii="Arial" w:hAnsi="Arial" w:cs="Arial"/>
          <w:bCs/>
          <w:color w:val="000000"/>
        </w:rPr>
        <w:t xml:space="preserve">. Sono invece </w:t>
      </w:r>
      <w:r w:rsidRPr="00625A75">
        <w:rPr>
          <w:rFonts w:ascii="Arial" w:hAnsi="Arial" w:cs="Arial"/>
          <w:b/>
          <w:bCs/>
          <w:color w:val="000000"/>
        </w:rPr>
        <w:t>molte</w:t>
      </w:r>
      <w:r w:rsidRPr="00625A75">
        <w:rPr>
          <w:rFonts w:ascii="Arial" w:hAnsi="Arial" w:cs="Arial"/>
          <w:bCs/>
          <w:color w:val="000000"/>
        </w:rPr>
        <w:t xml:space="preserve"> le imprese che hanno rinegoziato il </w:t>
      </w:r>
      <w:r w:rsidRPr="00625A75">
        <w:rPr>
          <w:rFonts w:ascii="Arial" w:hAnsi="Arial" w:cs="Arial"/>
          <w:b/>
          <w:bCs/>
          <w:color w:val="000000"/>
        </w:rPr>
        <w:t>canone di locazione</w:t>
      </w:r>
      <w:r w:rsidRPr="00625A75">
        <w:rPr>
          <w:rFonts w:ascii="Arial" w:hAnsi="Arial" w:cs="Arial"/>
          <w:bCs/>
          <w:color w:val="000000"/>
        </w:rPr>
        <w:t xml:space="preserve"> dell’immobile commerciale o che hanno fatto ricorso ad </w:t>
      </w:r>
      <w:r w:rsidRPr="00625A75">
        <w:rPr>
          <w:rFonts w:ascii="Arial" w:hAnsi="Arial" w:cs="Arial"/>
          <w:b/>
          <w:bCs/>
          <w:color w:val="000000"/>
        </w:rPr>
        <w:t>ammortizzatori sociali</w:t>
      </w:r>
      <w:r w:rsidRPr="00625A75">
        <w:rPr>
          <w:rFonts w:ascii="Arial" w:hAnsi="Arial" w:cs="Arial"/>
          <w:bCs/>
          <w:color w:val="000000"/>
        </w:rPr>
        <w:t xml:space="preserve"> o che hanno subito un </w:t>
      </w:r>
      <w:r w:rsidRPr="00625A75">
        <w:rPr>
          <w:rFonts w:ascii="Arial" w:hAnsi="Arial" w:cs="Arial"/>
          <w:b/>
          <w:bCs/>
          <w:color w:val="000000"/>
        </w:rPr>
        <w:t>calo di fatturato significativo</w:t>
      </w:r>
      <w:r w:rsidRPr="00625A75">
        <w:rPr>
          <w:rFonts w:ascii="Arial" w:hAnsi="Arial" w:cs="Arial"/>
          <w:bCs/>
          <w:color w:val="000000"/>
        </w:rPr>
        <w:t xml:space="preserve"> ed anche quelle che hanno fatto ricorso a </w:t>
      </w:r>
      <w:r w:rsidRPr="00625A75">
        <w:rPr>
          <w:rFonts w:ascii="Arial" w:hAnsi="Arial" w:cs="Arial"/>
          <w:b/>
          <w:bCs/>
          <w:color w:val="000000"/>
        </w:rPr>
        <w:t>prestiti garantiti</w:t>
      </w:r>
      <w:r w:rsidRPr="00625A75">
        <w:rPr>
          <w:rFonts w:ascii="Arial" w:hAnsi="Arial" w:cs="Arial"/>
          <w:bCs/>
          <w:color w:val="000000"/>
        </w:rPr>
        <w:t>. Considerando gli intervistati che hanno dichiarato che l’</w:t>
      </w:r>
      <w:r w:rsidRPr="00625A75">
        <w:rPr>
          <w:rFonts w:ascii="Arial" w:hAnsi="Arial" w:cs="Arial"/>
          <w:b/>
          <w:bCs/>
          <w:color w:val="000000"/>
        </w:rPr>
        <w:t xml:space="preserve">impatto negativo della pandemia </w:t>
      </w:r>
      <w:r w:rsidRPr="00625A75">
        <w:rPr>
          <w:rFonts w:ascii="Arial" w:hAnsi="Arial" w:cs="Arial"/>
          <w:bCs/>
          <w:color w:val="000000"/>
        </w:rPr>
        <w:t xml:space="preserve">ha riguardato </w:t>
      </w:r>
      <w:r w:rsidRPr="00625A75">
        <w:rPr>
          <w:rFonts w:ascii="Arial" w:hAnsi="Arial" w:cs="Arial"/>
          <w:b/>
          <w:bCs/>
          <w:color w:val="000000"/>
        </w:rPr>
        <w:t>più del 25% delle loro imprese clienti</w:t>
      </w:r>
      <w:r w:rsidRPr="00625A75">
        <w:rPr>
          <w:rFonts w:ascii="Arial" w:hAnsi="Arial" w:cs="Arial"/>
          <w:bCs/>
          <w:color w:val="000000"/>
        </w:rPr>
        <w:t xml:space="preserve">, la percentuale più alta si registra per il </w:t>
      </w:r>
      <w:r w:rsidRPr="00625A75">
        <w:rPr>
          <w:rFonts w:ascii="Arial" w:hAnsi="Arial" w:cs="Arial"/>
          <w:b/>
          <w:bCs/>
          <w:color w:val="000000"/>
        </w:rPr>
        <w:t>calo di fatturato superiore al 30% nel 2020</w:t>
      </w:r>
      <w:r w:rsidRPr="00625A75">
        <w:rPr>
          <w:rFonts w:ascii="Arial" w:hAnsi="Arial" w:cs="Arial"/>
          <w:bCs/>
          <w:color w:val="000000"/>
        </w:rPr>
        <w:t xml:space="preserve">, seguita dal ricorso a </w:t>
      </w:r>
      <w:r w:rsidRPr="00625A75">
        <w:rPr>
          <w:rFonts w:ascii="Arial" w:hAnsi="Arial" w:cs="Arial"/>
          <w:b/>
          <w:bCs/>
          <w:color w:val="000000"/>
        </w:rPr>
        <w:t xml:space="preserve">prestiti garantiti dallo Stato </w:t>
      </w:r>
      <w:r w:rsidRPr="00625A75">
        <w:rPr>
          <w:rFonts w:ascii="Arial" w:hAnsi="Arial" w:cs="Arial"/>
          <w:bCs/>
          <w:color w:val="000000"/>
        </w:rPr>
        <w:t xml:space="preserve">e dal </w:t>
      </w:r>
      <w:r w:rsidRPr="00625A75">
        <w:rPr>
          <w:rFonts w:ascii="Arial" w:hAnsi="Arial" w:cs="Arial"/>
          <w:b/>
          <w:bCs/>
          <w:color w:val="000000"/>
        </w:rPr>
        <w:t>ricorso ad ammortizzatori sociali</w:t>
      </w:r>
      <w:r w:rsidRPr="00625A75">
        <w:rPr>
          <w:rFonts w:ascii="Arial" w:hAnsi="Arial" w:cs="Arial"/>
          <w:bCs/>
          <w:color w:val="000000"/>
        </w:rPr>
        <w:t xml:space="preserve">. In tutti e tre i casi le percentuali sono abbastanza vicine e si collocano </w:t>
      </w:r>
      <w:r w:rsidRPr="00625A75">
        <w:rPr>
          <w:rFonts w:ascii="Arial" w:hAnsi="Arial" w:cs="Arial"/>
          <w:b/>
          <w:bCs/>
          <w:color w:val="000000"/>
        </w:rPr>
        <w:t>poco al di sopra o poco al di sotto del 60%.</w:t>
      </w:r>
      <w:r w:rsidRPr="00625A75">
        <w:rPr>
          <w:rFonts w:ascii="Arial" w:hAnsi="Arial" w:cs="Arial"/>
          <w:bCs/>
          <w:color w:val="000000"/>
        </w:rPr>
        <w:t xml:space="preserve"> Più bassa, invece, la percentuale di chi ha ottenuto la rinegoziazione del canone di locazione.</w:t>
      </w:r>
    </w:p>
    <w:p w14:paraId="0D262195" w14:textId="77777777" w:rsidR="00625A75" w:rsidRPr="00625A75" w:rsidRDefault="00625A75" w:rsidP="00625A75">
      <w:pPr>
        <w:jc w:val="both"/>
        <w:rPr>
          <w:rFonts w:ascii="Arial" w:hAnsi="Arial" w:cs="Arial"/>
          <w:color w:val="000000"/>
        </w:rPr>
      </w:pPr>
    </w:p>
    <w:p w14:paraId="05615807" w14:textId="37E0CE4C" w:rsidR="00625A75" w:rsidRPr="00625A75" w:rsidRDefault="00625A75" w:rsidP="00625A75">
      <w:pPr>
        <w:jc w:val="both"/>
        <w:rPr>
          <w:rFonts w:ascii="Arial" w:hAnsi="Arial" w:cs="Arial"/>
          <w:bCs/>
          <w:color w:val="000000"/>
        </w:rPr>
      </w:pPr>
      <w:r w:rsidRPr="00625A75">
        <w:rPr>
          <w:rFonts w:ascii="Arial" w:hAnsi="Arial" w:cs="Arial"/>
          <w:bCs/>
          <w:color w:val="000000"/>
        </w:rPr>
        <w:t xml:space="preserve">In particolare, i Commercialisti del campione per i quali il 25% e più delle loro imprese clienti ha subito una perdita di fatturato superiore al 30% nel 2020 sono il </w:t>
      </w:r>
      <w:r w:rsidRPr="00625A75">
        <w:rPr>
          <w:rFonts w:ascii="Arial" w:hAnsi="Arial" w:cs="Arial"/>
          <w:b/>
          <w:bCs/>
          <w:color w:val="000000"/>
        </w:rPr>
        <w:t>61,7%.</w:t>
      </w:r>
      <w:r w:rsidRPr="00625A75">
        <w:rPr>
          <w:rFonts w:ascii="Arial" w:hAnsi="Arial" w:cs="Arial"/>
          <w:bCs/>
          <w:color w:val="000000"/>
        </w:rPr>
        <w:t xml:space="preserve"> Per il </w:t>
      </w:r>
      <w:r w:rsidRPr="00625A75">
        <w:rPr>
          <w:rFonts w:ascii="Arial" w:hAnsi="Arial" w:cs="Arial"/>
          <w:b/>
          <w:bCs/>
          <w:color w:val="000000"/>
        </w:rPr>
        <w:t>46,8%,</w:t>
      </w:r>
      <w:r w:rsidRPr="00625A75">
        <w:rPr>
          <w:rFonts w:ascii="Arial" w:hAnsi="Arial" w:cs="Arial"/>
          <w:bCs/>
          <w:color w:val="000000"/>
        </w:rPr>
        <w:t xml:space="preserve"> invece, più di un’impresa su quattro versa in uno stato di </w:t>
      </w:r>
      <w:r w:rsidRPr="00625A75">
        <w:rPr>
          <w:rFonts w:ascii="Arial" w:hAnsi="Arial" w:cs="Arial"/>
          <w:b/>
          <w:bCs/>
          <w:color w:val="000000"/>
        </w:rPr>
        <w:t>grave difficoltà economica</w:t>
      </w:r>
      <w:r w:rsidRPr="00625A75">
        <w:rPr>
          <w:rFonts w:ascii="Arial" w:hAnsi="Arial" w:cs="Arial"/>
          <w:bCs/>
          <w:color w:val="000000"/>
        </w:rPr>
        <w:t xml:space="preserve">, mentre per il </w:t>
      </w:r>
      <w:r w:rsidRPr="00625A75">
        <w:rPr>
          <w:rFonts w:ascii="Arial" w:hAnsi="Arial" w:cs="Arial"/>
          <w:b/>
          <w:bCs/>
          <w:color w:val="000000"/>
        </w:rPr>
        <w:t>46,6%</w:t>
      </w:r>
      <w:r w:rsidRPr="00625A75">
        <w:rPr>
          <w:rFonts w:ascii="Arial" w:hAnsi="Arial" w:cs="Arial"/>
          <w:bCs/>
          <w:color w:val="000000"/>
        </w:rPr>
        <w:t xml:space="preserve">, più di </w:t>
      </w:r>
      <w:r w:rsidRPr="00625A75">
        <w:rPr>
          <w:rFonts w:ascii="Arial" w:hAnsi="Arial" w:cs="Arial"/>
          <w:bCs/>
          <w:color w:val="000000"/>
        </w:rPr>
        <w:lastRenderedPageBreak/>
        <w:t xml:space="preserve">un’impresa su quattro tra quelle loro clienti </w:t>
      </w:r>
      <w:r w:rsidRPr="00625A75">
        <w:rPr>
          <w:rFonts w:ascii="Arial" w:hAnsi="Arial" w:cs="Arial"/>
          <w:b/>
          <w:bCs/>
          <w:color w:val="000000"/>
        </w:rPr>
        <w:t>nel 2022 si troverà ancora in uno stato di grave difficoltà economica</w:t>
      </w:r>
      <w:r w:rsidRPr="00625A75">
        <w:rPr>
          <w:rFonts w:ascii="Arial" w:hAnsi="Arial" w:cs="Arial"/>
          <w:bCs/>
          <w:color w:val="000000"/>
        </w:rPr>
        <w:t>.</w:t>
      </w:r>
    </w:p>
    <w:p w14:paraId="46570909" w14:textId="77777777" w:rsidR="00625A75" w:rsidRPr="00625A75" w:rsidRDefault="00625A75" w:rsidP="00625A75">
      <w:pPr>
        <w:jc w:val="both"/>
        <w:rPr>
          <w:rFonts w:ascii="Arial" w:hAnsi="Arial" w:cs="Arial"/>
          <w:color w:val="000000"/>
        </w:rPr>
      </w:pPr>
    </w:p>
    <w:p w14:paraId="027AC43C" w14:textId="09E5167A" w:rsidR="00625A75" w:rsidRPr="00625A75" w:rsidRDefault="00625A75" w:rsidP="00625A75">
      <w:pPr>
        <w:jc w:val="both"/>
        <w:rPr>
          <w:rFonts w:ascii="Arial" w:hAnsi="Arial" w:cs="Arial"/>
          <w:color w:val="000000"/>
        </w:rPr>
      </w:pPr>
      <w:r w:rsidRPr="00625A75">
        <w:rPr>
          <w:rFonts w:ascii="Arial" w:hAnsi="Arial" w:cs="Arial"/>
          <w:bCs/>
          <w:color w:val="000000"/>
        </w:rPr>
        <w:t xml:space="preserve">Il </w:t>
      </w:r>
      <w:r w:rsidRPr="00625A75">
        <w:rPr>
          <w:rFonts w:ascii="Arial" w:hAnsi="Arial" w:cs="Arial"/>
          <w:b/>
          <w:bCs/>
          <w:color w:val="000000"/>
        </w:rPr>
        <w:t>confronto territoriale</w:t>
      </w:r>
      <w:r w:rsidRPr="00625A75">
        <w:rPr>
          <w:rFonts w:ascii="Arial" w:hAnsi="Arial" w:cs="Arial"/>
          <w:bCs/>
          <w:color w:val="000000"/>
        </w:rPr>
        <w:t xml:space="preserve"> mostra differenze significative solo nel caso del </w:t>
      </w:r>
      <w:r w:rsidRPr="00625A75">
        <w:rPr>
          <w:rFonts w:ascii="Arial" w:hAnsi="Arial" w:cs="Arial"/>
          <w:b/>
          <w:bCs/>
          <w:color w:val="000000"/>
        </w:rPr>
        <w:t>calo di fatturato</w:t>
      </w:r>
      <w:r w:rsidRPr="00625A75">
        <w:rPr>
          <w:rFonts w:ascii="Arial" w:hAnsi="Arial" w:cs="Arial"/>
          <w:bCs/>
          <w:color w:val="000000"/>
        </w:rPr>
        <w:t xml:space="preserve">. Mentre, infatti, chi dichiara questo tipo di impatto per il 25% ed oltre delle imprese non fallibili loro clienti è pari al </w:t>
      </w:r>
      <w:r w:rsidRPr="00625A75">
        <w:rPr>
          <w:rFonts w:ascii="Arial" w:hAnsi="Arial" w:cs="Arial"/>
          <w:b/>
          <w:bCs/>
          <w:color w:val="000000"/>
        </w:rPr>
        <w:t>61,7%</w:t>
      </w:r>
      <w:r w:rsidRPr="00625A75">
        <w:rPr>
          <w:rFonts w:ascii="Arial" w:hAnsi="Arial" w:cs="Arial"/>
          <w:bCs/>
          <w:color w:val="000000"/>
        </w:rPr>
        <w:t xml:space="preserve">, lo stesso dato scende al </w:t>
      </w:r>
      <w:r w:rsidRPr="00625A75">
        <w:rPr>
          <w:rFonts w:ascii="Arial" w:hAnsi="Arial" w:cs="Arial"/>
          <w:b/>
          <w:bCs/>
          <w:color w:val="000000"/>
        </w:rPr>
        <w:t>57,2% al Centro-nord</w:t>
      </w:r>
      <w:r w:rsidRPr="00625A75">
        <w:rPr>
          <w:rFonts w:ascii="Arial" w:hAnsi="Arial" w:cs="Arial"/>
          <w:bCs/>
          <w:color w:val="000000"/>
        </w:rPr>
        <w:t xml:space="preserve"> e sale al </w:t>
      </w:r>
      <w:r w:rsidRPr="00625A75">
        <w:rPr>
          <w:rFonts w:ascii="Arial" w:hAnsi="Arial" w:cs="Arial"/>
          <w:b/>
          <w:bCs/>
          <w:color w:val="000000"/>
        </w:rPr>
        <w:t>70,5% al Sud</w:t>
      </w:r>
      <w:r w:rsidRPr="00625A75">
        <w:rPr>
          <w:rFonts w:ascii="Arial" w:hAnsi="Arial" w:cs="Arial"/>
          <w:bCs/>
          <w:color w:val="000000"/>
        </w:rPr>
        <w:t xml:space="preserve"> con un divario di 13,3 punti percentuali. Per il </w:t>
      </w:r>
      <w:r w:rsidRPr="00625A75">
        <w:rPr>
          <w:rFonts w:ascii="Arial" w:hAnsi="Arial" w:cs="Arial"/>
          <w:b/>
          <w:bCs/>
          <w:color w:val="000000"/>
        </w:rPr>
        <w:t>46,8% del campione</w:t>
      </w:r>
      <w:r w:rsidRPr="00625A75">
        <w:rPr>
          <w:rFonts w:ascii="Arial" w:hAnsi="Arial" w:cs="Arial"/>
          <w:bCs/>
          <w:color w:val="000000"/>
        </w:rPr>
        <w:t xml:space="preserve">, poi, la </w:t>
      </w:r>
      <w:r w:rsidRPr="00625A75">
        <w:rPr>
          <w:rFonts w:ascii="Arial" w:hAnsi="Arial" w:cs="Arial"/>
          <w:b/>
          <w:bCs/>
          <w:color w:val="000000"/>
        </w:rPr>
        <w:t xml:space="preserve">situazione patrimoniale, economico e finanziaria </w:t>
      </w:r>
      <w:r w:rsidRPr="00625A75">
        <w:rPr>
          <w:rFonts w:ascii="Arial" w:hAnsi="Arial" w:cs="Arial"/>
          <w:bCs/>
          <w:color w:val="000000"/>
        </w:rPr>
        <w:t>attuale delle imprese non fallibili è definita “</w:t>
      </w:r>
      <w:r w:rsidRPr="00625A75">
        <w:rPr>
          <w:rFonts w:ascii="Arial" w:hAnsi="Arial" w:cs="Arial"/>
          <w:b/>
          <w:bCs/>
          <w:color w:val="000000"/>
        </w:rPr>
        <w:t>grave” per il 25% e oltre</w:t>
      </w:r>
      <w:r w:rsidRPr="00625A75">
        <w:rPr>
          <w:rFonts w:ascii="Arial" w:hAnsi="Arial" w:cs="Arial"/>
          <w:bCs/>
          <w:color w:val="000000"/>
        </w:rPr>
        <w:t xml:space="preserve"> della clientela. La stessa percentuale, però, scende al </w:t>
      </w:r>
      <w:r w:rsidRPr="00625A75">
        <w:rPr>
          <w:rFonts w:ascii="Arial" w:hAnsi="Arial" w:cs="Arial"/>
          <w:b/>
          <w:bCs/>
          <w:color w:val="000000"/>
        </w:rPr>
        <w:t>39,5% nel Centro-nord e sale al 61,7% nel Sud</w:t>
      </w:r>
      <w:r w:rsidRPr="00625A75">
        <w:rPr>
          <w:rFonts w:ascii="Arial" w:hAnsi="Arial" w:cs="Arial"/>
          <w:bCs/>
          <w:color w:val="000000"/>
        </w:rPr>
        <w:t xml:space="preserve"> con una differenza di 22,2 punti percentuali. Interrogati, invece, sulla possibilità che le imprese non fallibili loro clienti debbano </w:t>
      </w:r>
      <w:r w:rsidRPr="00625A75">
        <w:rPr>
          <w:rFonts w:ascii="Arial" w:hAnsi="Arial" w:cs="Arial"/>
          <w:b/>
          <w:bCs/>
          <w:color w:val="000000"/>
        </w:rPr>
        <w:t>far ricorso al sovraindebitamento</w:t>
      </w:r>
      <w:r w:rsidRPr="00625A75">
        <w:rPr>
          <w:rFonts w:ascii="Arial" w:hAnsi="Arial" w:cs="Arial"/>
          <w:bCs/>
          <w:color w:val="000000"/>
        </w:rPr>
        <w:t xml:space="preserve"> e risultino, quindi, insolventi entro la fine dell’anno, </w:t>
      </w:r>
      <w:r w:rsidRPr="00625A75">
        <w:rPr>
          <w:rFonts w:ascii="Arial" w:hAnsi="Arial" w:cs="Arial"/>
          <w:b/>
          <w:bCs/>
          <w:color w:val="000000"/>
        </w:rPr>
        <w:t>l’8,8% dichiara il 25% e oltre</w:t>
      </w:r>
      <w:r w:rsidRPr="00625A75">
        <w:rPr>
          <w:rFonts w:ascii="Arial" w:hAnsi="Arial" w:cs="Arial"/>
          <w:bCs/>
          <w:color w:val="000000"/>
        </w:rPr>
        <w:t xml:space="preserve">. Percentuale, questa che sale al </w:t>
      </w:r>
      <w:r w:rsidRPr="00625A75">
        <w:rPr>
          <w:rFonts w:ascii="Arial" w:hAnsi="Arial" w:cs="Arial"/>
          <w:b/>
          <w:bCs/>
          <w:color w:val="000000"/>
        </w:rPr>
        <w:t>13,1% nel Sud</w:t>
      </w:r>
      <w:r w:rsidRPr="00625A75">
        <w:rPr>
          <w:rFonts w:ascii="Arial" w:hAnsi="Arial" w:cs="Arial"/>
          <w:bCs/>
          <w:color w:val="000000"/>
        </w:rPr>
        <w:t xml:space="preserve"> contro il </w:t>
      </w:r>
      <w:r w:rsidRPr="00625A75">
        <w:rPr>
          <w:rFonts w:ascii="Arial" w:hAnsi="Arial" w:cs="Arial"/>
          <w:b/>
          <w:bCs/>
          <w:color w:val="000000"/>
        </w:rPr>
        <w:t>6,5% nel Centro-nord</w:t>
      </w:r>
      <w:r w:rsidRPr="00625A75">
        <w:rPr>
          <w:rFonts w:ascii="Arial" w:hAnsi="Arial" w:cs="Arial"/>
          <w:bCs/>
          <w:color w:val="000000"/>
        </w:rPr>
        <w:t xml:space="preserve">. La stessa percentuale risulta pari al </w:t>
      </w:r>
      <w:r w:rsidRPr="00625A75">
        <w:rPr>
          <w:rFonts w:ascii="Arial" w:hAnsi="Arial" w:cs="Arial"/>
          <w:b/>
          <w:bCs/>
          <w:color w:val="000000"/>
        </w:rPr>
        <w:t>46,6% laddove il campione viene interrogato sullo stato di difficoltà economica atteso per il prossimo anno (42,2% nel Centro-nord e 56% nel Sud)</w:t>
      </w:r>
      <w:r w:rsidRPr="00625A75">
        <w:rPr>
          <w:rFonts w:ascii="Arial" w:hAnsi="Arial" w:cs="Arial"/>
          <w:color w:val="000000"/>
        </w:rPr>
        <w:t>.</w:t>
      </w:r>
    </w:p>
    <w:p w14:paraId="349C0915" w14:textId="77777777" w:rsidR="00625A75" w:rsidRPr="00625A75" w:rsidRDefault="00625A75" w:rsidP="00625A75">
      <w:pPr>
        <w:jc w:val="both"/>
        <w:rPr>
          <w:rFonts w:ascii="Arial" w:hAnsi="Arial" w:cs="Arial"/>
          <w:color w:val="000000"/>
        </w:rPr>
      </w:pPr>
    </w:p>
    <w:p w14:paraId="3AC6F469" w14:textId="77777777" w:rsidR="00625A75" w:rsidRPr="00625A75" w:rsidRDefault="00625A75" w:rsidP="00625A75">
      <w:pPr>
        <w:jc w:val="both"/>
        <w:rPr>
          <w:rFonts w:ascii="Arial" w:hAnsi="Arial" w:cs="Arial"/>
          <w:color w:val="000000"/>
        </w:rPr>
      </w:pPr>
      <w:r w:rsidRPr="00625A75">
        <w:rPr>
          <w:rFonts w:ascii="Arial" w:hAnsi="Arial" w:cs="Arial"/>
          <w:bCs/>
          <w:i/>
          <w:iCs/>
          <w:color w:val="000000"/>
        </w:rPr>
        <w:t>Commercialisti del campione per i quali il 25% e più delle loro imprese clienti ha subito l’impatto negativo della pandemia </w:t>
      </w:r>
    </w:p>
    <w:tbl>
      <w:tblPr>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A0" w:firstRow="1" w:lastRow="0" w:firstColumn="1" w:lastColumn="0" w:noHBand="0" w:noVBand="1"/>
      </w:tblPr>
      <w:tblGrid>
        <w:gridCol w:w="6586"/>
        <w:gridCol w:w="1292"/>
        <w:gridCol w:w="976"/>
        <w:gridCol w:w="774"/>
      </w:tblGrid>
      <w:tr w:rsidR="00625A75" w:rsidRPr="00625A75" w14:paraId="65336BF0" w14:textId="77777777" w:rsidTr="00625A75">
        <w:trPr>
          <w:trHeight w:val="646"/>
        </w:trPr>
        <w:tc>
          <w:tcPr>
            <w:tcW w:w="0" w:type="auto"/>
            <w:tcBorders>
              <w:top w:val="single" w:sz="4" w:space="0" w:color="4472C4" w:themeColor="accent1"/>
              <w:left w:val="single" w:sz="4" w:space="0" w:color="4472C4" w:themeColor="accent1"/>
              <w:bottom w:val="single" w:sz="12" w:space="0" w:color="FFFFFF" w:themeColor="background1"/>
              <w:right w:val="nil"/>
            </w:tcBorders>
            <w:shd w:val="clear" w:color="auto" w:fill="000099"/>
            <w:vAlign w:val="center"/>
            <w:hideMark/>
          </w:tcPr>
          <w:p w14:paraId="7D9B25FA" w14:textId="77777777" w:rsidR="00625A75" w:rsidRPr="00625A75" w:rsidRDefault="00625A75" w:rsidP="00625A75">
            <w:pPr>
              <w:jc w:val="both"/>
              <w:rPr>
                <w:rFonts w:ascii="Arial" w:hAnsi="Arial" w:cs="Arial"/>
              </w:rPr>
            </w:pPr>
            <w:r w:rsidRPr="00625A75">
              <w:rPr>
                <w:rFonts w:ascii="Arial" w:hAnsi="Arial" w:cs="Arial"/>
                <w:b/>
                <w:bCs/>
                <w:smallCaps/>
              </w:rPr>
              <w:t>Modalità di risposta </w:t>
            </w:r>
          </w:p>
        </w:tc>
        <w:tc>
          <w:tcPr>
            <w:tcW w:w="1292" w:type="dxa"/>
            <w:tcBorders>
              <w:top w:val="single" w:sz="4" w:space="0" w:color="4472C4" w:themeColor="accent1"/>
              <w:left w:val="nil"/>
              <w:bottom w:val="single" w:sz="12" w:space="0" w:color="FFFFFF" w:themeColor="background1"/>
              <w:right w:val="nil"/>
            </w:tcBorders>
            <w:shd w:val="clear" w:color="auto" w:fill="000099"/>
            <w:tcMar>
              <w:top w:w="0" w:type="dxa"/>
              <w:left w:w="28" w:type="dxa"/>
              <w:bottom w:w="0" w:type="dxa"/>
              <w:right w:w="28" w:type="dxa"/>
            </w:tcMar>
            <w:vAlign w:val="center"/>
            <w:hideMark/>
          </w:tcPr>
          <w:p w14:paraId="440CE3C0" w14:textId="77777777" w:rsidR="00625A75" w:rsidRPr="00625A75" w:rsidRDefault="00625A75" w:rsidP="00625A75">
            <w:pPr>
              <w:jc w:val="center"/>
              <w:rPr>
                <w:rFonts w:ascii="Arial" w:hAnsi="Arial" w:cs="Arial"/>
              </w:rPr>
            </w:pPr>
            <w:r w:rsidRPr="00625A75">
              <w:rPr>
                <w:rFonts w:ascii="Arial" w:hAnsi="Arial" w:cs="Arial"/>
                <w:b/>
                <w:bCs/>
                <w:smallCaps/>
              </w:rPr>
              <w:t>Italia </w:t>
            </w:r>
          </w:p>
        </w:tc>
        <w:tc>
          <w:tcPr>
            <w:tcW w:w="976" w:type="dxa"/>
            <w:tcBorders>
              <w:top w:val="single" w:sz="4" w:space="0" w:color="4472C4" w:themeColor="accent1"/>
              <w:left w:val="nil"/>
              <w:bottom w:val="single" w:sz="12" w:space="0" w:color="FFFFFF" w:themeColor="background1"/>
              <w:right w:val="nil"/>
            </w:tcBorders>
            <w:shd w:val="clear" w:color="auto" w:fill="000099"/>
            <w:tcMar>
              <w:top w:w="0" w:type="dxa"/>
              <w:left w:w="28" w:type="dxa"/>
              <w:bottom w:w="0" w:type="dxa"/>
              <w:right w:w="28" w:type="dxa"/>
            </w:tcMar>
            <w:vAlign w:val="center"/>
            <w:hideMark/>
          </w:tcPr>
          <w:p w14:paraId="3D8A2760" w14:textId="77777777" w:rsidR="00625A75" w:rsidRPr="00625A75" w:rsidRDefault="00625A75" w:rsidP="00625A75">
            <w:pPr>
              <w:jc w:val="center"/>
              <w:rPr>
                <w:rFonts w:ascii="Arial" w:hAnsi="Arial" w:cs="Arial"/>
              </w:rPr>
            </w:pPr>
            <w:r w:rsidRPr="00625A75">
              <w:rPr>
                <w:rFonts w:ascii="Arial" w:hAnsi="Arial" w:cs="Arial"/>
                <w:b/>
                <w:bCs/>
                <w:smallCaps/>
              </w:rPr>
              <w:t>Centro-Nord </w:t>
            </w:r>
          </w:p>
        </w:tc>
        <w:tc>
          <w:tcPr>
            <w:tcW w:w="774" w:type="dxa"/>
            <w:tcBorders>
              <w:top w:val="single" w:sz="4" w:space="0" w:color="4472C4" w:themeColor="accent1"/>
              <w:left w:val="nil"/>
              <w:bottom w:val="single" w:sz="12" w:space="0" w:color="FFFFFF" w:themeColor="background1"/>
              <w:right w:val="single" w:sz="4" w:space="0" w:color="4472C4" w:themeColor="accent1"/>
            </w:tcBorders>
            <w:shd w:val="clear" w:color="auto" w:fill="000099"/>
            <w:tcMar>
              <w:top w:w="0" w:type="dxa"/>
              <w:left w:w="28" w:type="dxa"/>
              <w:bottom w:w="0" w:type="dxa"/>
              <w:right w:w="28" w:type="dxa"/>
            </w:tcMar>
            <w:vAlign w:val="center"/>
            <w:hideMark/>
          </w:tcPr>
          <w:p w14:paraId="7815538E" w14:textId="77777777" w:rsidR="00625A75" w:rsidRPr="00625A75" w:rsidRDefault="00625A75" w:rsidP="00625A75">
            <w:pPr>
              <w:jc w:val="center"/>
              <w:rPr>
                <w:rFonts w:ascii="Arial" w:hAnsi="Arial" w:cs="Arial"/>
              </w:rPr>
            </w:pPr>
            <w:r w:rsidRPr="00625A75">
              <w:rPr>
                <w:rFonts w:ascii="Arial" w:hAnsi="Arial" w:cs="Arial"/>
                <w:b/>
                <w:bCs/>
                <w:smallCaps/>
              </w:rPr>
              <w:t>Sud </w:t>
            </w:r>
          </w:p>
        </w:tc>
      </w:tr>
      <w:tr w:rsidR="00625A75" w:rsidRPr="00625A75" w14:paraId="33CDEEF8" w14:textId="77777777" w:rsidTr="00625A75">
        <w:trPr>
          <w:trHeight w:hRule="exact" w:val="340"/>
        </w:trPr>
        <w:tc>
          <w:tcPr>
            <w:tcW w:w="0" w:type="auto"/>
            <w:tcBorders>
              <w:top w:val="single" w:sz="12" w:space="0" w:color="FFFFFF" w:themeColor="background1"/>
              <w:left w:val="single" w:sz="12" w:space="0" w:color="FFFFFF" w:themeColor="background1"/>
              <w:bottom w:val="single" w:sz="6" w:space="0" w:color="FFFFFF" w:themeColor="background1"/>
              <w:right w:val="single" w:sz="12" w:space="0" w:color="FFFFFF" w:themeColor="background1"/>
            </w:tcBorders>
            <w:vAlign w:val="center"/>
            <w:hideMark/>
          </w:tcPr>
          <w:p w14:paraId="00C0D20C" w14:textId="77777777" w:rsidR="00625A75" w:rsidRPr="00625A75" w:rsidRDefault="00625A75" w:rsidP="00625A75">
            <w:pPr>
              <w:rPr>
                <w:rFonts w:ascii="Arial" w:hAnsi="Arial" w:cs="Arial"/>
              </w:rPr>
            </w:pPr>
            <w:r w:rsidRPr="00625A75">
              <w:rPr>
                <w:rFonts w:ascii="Arial" w:eastAsia="Times New Roman" w:hAnsi="Arial" w:cs="Arial"/>
                <w:b/>
                <w:bCs/>
              </w:rPr>
              <w:t>Ricorso a sovraindebitamento </w:t>
            </w:r>
          </w:p>
        </w:tc>
        <w:tc>
          <w:tcPr>
            <w:tcW w:w="1292" w:type="dxa"/>
            <w:tcBorders>
              <w:top w:val="single" w:sz="12" w:space="0" w:color="FFFFFF" w:themeColor="background1"/>
              <w:left w:val="single" w:sz="12" w:space="0" w:color="FFFFFF" w:themeColor="background1"/>
              <w:bottom w:val="single" w:sz="6" w:space="0" w:color="FFFFFF" w:themeColor="background1"/>
              <w:right w:val="single" w:sz="12" w:space="0" w:color="FFFFFF" w:themeColor="background1"/>
            </w:tcBorders>
            <w:tcMar>
              <w:top w:w="0" w:type="dxa"/>
              <w:left w:w="28" w:type="dxa"/>
              <w:bottom w:w="0" w:type="dxa"/>
              <w:right w:w="28" w:type="dxa"/>
            </w:tcMar>
            <w:vAlign w:val="center"/>
            <w:hideMark/>
          </w:tcPr>
          <w:p w14:paraId="0046D381" w14:textId="77777777" w:rsidR="00625A75" w:rsidRPr="00625A75" w:rsidRDefault="00625A75" w:rsidP="00625A75">
            <w:pPr>
              <w:jc w:val="center"/>
              <w:rPr>
                <w:rFonts w:ascii="Arial" w:hAnsi="Arial" w:cs="Arial"/>
              </w:rPr>
            </w:pPr>
            <w:r w:rsidRPr="00625A75">
              <w:rPr>
                <w:rFonts w:ascii="Arial" w:eastAsia="Times New Roman" w:hAnsi="Arial" w:cs="Arial"/>
              </w:rPr>
              <w:t>2,4% </w:t>
            </w:r>
          </w:p>
        </w:tc>
        <w:tc>
          <w:tcPr>
            <w:tcW w:w="976" w:type="dxa"/>
            <w:tcBorders>
              <w:top w:val="single" w:sz="12" w:space="0" w:color="FFFFFF" w:themeColor="background1"/>
              <w:left w:val="single" w:sz="12" w:space="0" w:color="FFFFFF" w:themeColor="background1"/>
              <w:bottom w:val="single" w:sz="6" w:space="0" w:color="FFFFFF" w:themeColor="background1"/>
              <w:right w:val="single" w:sz="12" w:space="0" w:color="FFFFFF" w:themeColor="background1"/>
            </w:tcBorders>
            <w:tcMar>
              <w:top w:w="0" w:type="dxa"/>
              <w:left w:w="28" w:type="dxa"/>
              <w:bottom w:w="0" w:type="dxa"/>
              <w:right w:w="28" w:type="dxa"/>
            </w:tcMar>
            <w:vAlign w:val="center"/>
            <w:hideMark/>
          </w:tcPr>
          <w:p w14:paraId="382CB7BC" w14:textId="77777777" w:rsidR="00625A75" w:rsidRPr="00625A75" w:rsidRDefault="00625A75" w:rsidP="00625A75">
            <w:pPr>
              <w:jc w:val="center"/>
              <w:rPr>
                <w:rFonts w:ascii="Arial" w:hAnsi="Arial" w:cs="Arial"/>
              </w:rPr>
            </w:pPr>
            <w:r w:rsidRPr="00625A75">
              <w:rPr>
                <w:rFonts w:ascii="Arial" w:eastAsia="Times New Roman" w:hAnsi="Arial" w:cs="Arial"/>
              </w:rPr>
              <w:t>1,4% </w:t>
            </w:r>
          </w:p>
        </w:tc>
        <w:tc>
          <w:tcPr>
            <w:tcW w:w="774" w:type="dxa"/>
            <w:tcBorders>
              <w:top w:val="single" w:sz="12" w:space="0" w:color="FFFFFF" w:themeColor="background1"/>
              <w:left w:val="single" w:sz="12" w:space="0" w:color="FFFFFF" w:themeColor="background1"/>
              <w:bottom w:val="single" w:sz="6" w:space="0" w:color="FFFFFF" w:themeColor="background1"/>
              <w:right w:val="single" w:sz="12" w:space="0" w:color="FFFFFF" w:themeColor="background1"/>
            </w:tcBorders>
            <w:tcMar>
              <w:top w:w="0" w:type="dxa"/>
              <w:left w:w="28" w:type="dxa"/>
              <w:bottom w:w="0" w:type="dxa"/>
              <w:right w:w="28" w:type="dxa"/>
            </w:tcMar>
            <w:vAlign w:val="center"/>
            <w:hideMark/>
          </w:tcPr>
          <w:p w14:paraId="26916B4B" w14:textId="77777777" w:rsidR="00625A75" w:rsidRPr="00625A75" w:rsidRDefault="00625A75" w:rsidP="00625A75">
            <w:pPr>
              <w:jc w:val="center"/>
              <w:rPr>
                <w:rFonts w:ascii="Arial" w:hAnsi="Arial" w:cs="Arial"/>
              </w:rPr>
            </w:pPr>
            <w:r w:rsidRPr="00625A75">
              <w:rPr>
                <w:rFonts w:ascii="Arial" w:eastAsia="Times New Roman" w:hAnsi="Arial" w:cs="Arial"/>
              </w:rPr>
              <w:t>4,1% </w:t>
            </w:r>
          </w:p>
        </w:tc>
      </w:tr>
      <w:tr w:rsidR="00625A75" w:rsidRPr="00625A75" w14:paraId="6B4EEF0A" w14:textId="77777777" w:rsidTr="00625A75">
        <w:trPr>
          <w:trHeight w:hRule="exact" w:val="340"/>
        </w:trPr>
        <w:tc>
          <w:tcPr>
            <w:tcW w:w="0" w:type="auto"/>
            <w:tcBorders>
              <w:top w:val="single" w:sz="6" w:space="0" w:color="000099"/>
              <w:left w:val="single" w:sz="12" w:space="0" w:color="FFFFFF" w:themeColor="background1"/>
              <w:bottom w:val="single" w:sz="6" w:space="0" w:color="000099"/>
              <w:right w:val="single" w:sz="12" w:space="0" w:color="FFFFFF" w:themeColor="background1"/>
            </w:tcBorders>
            <w:shd w:val="clear" w:color="auto" w:fill="F2F2F2" w:themeFill="background1" w:themeFillShade="F2"/>
            <w:vAlign w:val="center"/>
            <w:hideMark/>
          </w:tcPr>
          <w:p w14:paraId="7E5567F2" w14:textId="77777777" w:rsidR="00625A75" w:rsidRPr="00625A75" w:rsidRDefault="00625A75" w:rsidP="00625A75">
            <w:pPr>
              <w:rPr>
                <w:rFonts w:ascii="Arial" w:hAnsi="Arial" w:cs="Arial"/>
              </w:rPr>
            </w:pPr>
            <w:r w:rsidRPr="00625A75">
              <w:rPr>
                <w:rFonts w:ascii="Arial" w:eastAsia="Times New Roman" w:hAnsi="Arial" w:cs="Arial"/>
                <w:b/>
                <w:bCs/>
              </w:rPr>
              <w:t>Ricorso a soluzioni stragiudiziali </w:t>
            </w:r>
          </w:p>
        </w:tc>
        <w:tc>
          <w:tcPr>
            <w:tcW w:w="1292" w:type="dxa"/>
            <w:tcBorders>
              <w:top w:val="single" w:sz="6" w:space="0" w:color="000099"/>
              <w:left w:val="single" w:sz="12" w:space="0" w:color="FFFFFF" w:themeColor="background1"/>
              <w:bottom w:val="single" w:sz="6" w:space="0" w:color="000099"/>
              <w:right w:val="single" w:sz="12" w:space="0" w:color="FFFFFF" w:themeColor="background1"/>
            </w:tcBorders>
            <w:shd w:val="clear" w:color="auto" w:fill="F2F2F2" w:themeFill="background1" w:themeFillShade="F2"/>
            <w:tcMar>
              <w:top w:w="0" w:type="dxa"/>
              <w:left w:w="28" w:type="dxa"/>
              <w:bottom w:w="0" w:type="dxa"/>
              <w:right w:w="28" w:type="dxa"/>
            </w:tcMar>
            <w:vAlign w:val="center"/>
            <w:hideMark/>
          </w:tcPr>
          <w:p w14:paraId="2D81B689" w14:textId="77777777" w:rsidR="00625A75" w:rsidRPr="00625A75" w:rsidRDefault="00625A75" w:rsidP="00625A75">
            <w:pPr>
              <w:jc w:val="center"/>
              <w:rPr>
                <w:rFonts w:ascii="Arial" w:hAnsi="Arial" w:cs="Arial"/>
              </w:rPr>
            </w:pPr>
            <w:r w:rsidRPr="00625A75">
              <w:rPr>
                <w:rFonts w:ascii="Arial" w:eastAsia="Times New Roman" w:hAnsi="Arial" w:cs="Arial"/>
              </w:rPr>
              <w:t>2,8% </w:t>
            </w:r>
          </w:p>
        </w:tc>
        <w:tc>
          <w:tcPr>
            <w:tcW w:w="976" w:type="dxa"/>
            <w:tcBorders>
              <w:top w:val="single" w:sz="6" w:space="0" w:color="000099"/>
              <w:left w:val="single" w:sz="12" w:space="0" w:color="FFFFFF" w:themeColor="background1"/>
              <w:bottom w:val="single" w:sz="6" w:space="0" w:color="000099"/>
              <w:right w:val="single" w:sz="12" w:space="0" w:color="FFFFFF" w:themeColor="background1"/>
            </w:tcBorders>
            <w:shd w:val="clear" w:color="auto" w:fill="F2F2F2" w:themeFill="background1" w:themeFillShade="F2"/>
            <w:tcMar>
              <w:top w:w="0" w:type="dxa"/>
              <w:left w:w="28" w:type="dxa"/>
              <w:bottom w:w="0" w:type="dxa"/>
              <w:right w:w="28" w:type="dxa"/>
            </w:tcMar>
            <w:vAlign w:val="center"/>
            <w:hideMark/>
          </w:tcPr>
          <w:p w14:paraId="644476EA" w14:textId="77777777" w:rsidR="00625A75" w:rsidRPr="00625A75" w:rsidRDefault="00625A75" w:rsidP="00625A75">
            <w:pPr>
              <w:jc w:val="center"/>
              <w:rPr>
                <w:rFonts w:ascii="Arial" w:hAnsi="Arial" w:cs="Arial"/>
              </w:rPr>
            </w:pPr>
            <w:r w:rsidRPr="00625A75">
              <w:rPr>
                <w:rFonts w:ascii="Arial" w:eastAsia="Times New Roman" w:hAnsi="Arial" w:cs="Arial"/>
              </w:rPr>
              <w:t>2,5% </w:t>
            </w:r>
          </w:p>
        </w:tc>
        <w:tc>
          <w:tcPr>
            <w:tcW w:w="774" w:type="dxa"/>
            <w:tcBorders>
              <w:top w:val="single" w:sz="6" w:space="0" w:color="000099"/>
              <w:left w:val="single" w:sz="12" w:space="0" w:color="FFFFFF" w:themeColor="background1"/>
              <w:bottom w:val="single" w:sz="6" w:space="0" w:color="000099"/>
              <w:right w:val="single" w:sz="12" w:space="0" w:color="FFFFFF" w:themeColor="background1"/>
            </w:tcBorders>
            <w:shd w:val="clear" w:color="auto" w:fill="F2F2F2" w:themeFill="background1" w:themeFillShade="F2"/>
            <w:tcMar>
              <w:top w:w="0" w:type="dxa"/>
              <w:left w:w="28" w:type="dxa"/>
              <w:bottom w:w="0" w:type="dxa"/>
              <w:right w:w="28" w:type="dxa"/>
            </w:tcMar>
            <w:vAlign w:val="center"/>
            <w:hideMark/>
          </w:tcPr>
          <w:p w14:paraId="3192E459" w14:textId="77777777" w:rsidR="00625A75" w:rsidRPr="00625A75" w:rsidRDefault="00625A75" w:rsidP="00625A75">
            <w:pPr>
              <w:jc w:val="center"/>
              <w:rPr>
                <w:rFonts w:ascii="Arial" w:hAnsi="Arial" w:cs="Arial"/>
              </w:rPr>
            </w:pPr>
            <w:r w:rsidRPr="00625A75">
              <w:rPr>
                <w:rFonts w:ascii="Arial" w:eastAsia="Times New Roman" w:hAnsi="Arial" w:cs="Arial"/>
              </w:rPr>
              <w:t>3,4% </w:t>
            </w:r>
          </w:p>
        </w:tc>
      </w:tr>
      <w:tr w:rsidR="00625A75" w:rsidRPr="00625A75" w14:paraId="7DDB2DDC" w14:textId="77777777" w:rsidTr="00625A75">
        <w:trPr>
          <w:trHeight w:hRule="exact" w:val="340"/>
        </w:trPr>
        <w:tc>
          <w:tcPr>
            <w:tcW w:w="0" w:type="auto"/>
            <w:tcBorders>
              <w:top w:val="single" w:sz="6" w:space="0" w:color="000099"/>
              <w:left w:val="single" w:sz="12" w:space="0" w:color="FFFFFF" w:themeColor="background1"/>
              <w:bottom w:val="single" w:sz="6" w:space="0" w:color="000099"/>
              <w:right w:val="single" w:sz="12" w:space="0" w:color="FFFFFF" w:themeColor="background1"/>
            </w:tcBorders>
            <w:vAlign w:val="center"/>
            <w:hideMark/>
          </w:tcPr>
          <w:p w14:paraId="4E354220" w14:textId="77777777" w:rsidR="00625A75" w:rsidRPr="00625A75" w:rsidRDefault="00625A75" w:rsidP="00625A75">
            <w:pPr>
              <w:rPr>
                <w:rFonts w:ascii="Arial" w:hAnsi="Arial" w:cs="Arial"/>
              </w:rPr>
            </w:pPr>
            <w:r w:rsidRPr="00625A75">
              <w:rPr>
                <w:rFonts w:ascii="Arial" w:eastAsia="Times New Roman" w:hAnsi="Arial" w:cs="Arial"/>
                <w:b/>
                <w:bCs/>
              </w:rPr>
              <w:t>Rinegoziazione canone di locazione </w:t>
            </w:r>
          </w:p>
        </w:tc>
        <w:tc>
          <w:tcPr>
            <w:tcW w:w="1292" w:type="dxa"/>
            <w:tcBorders>
              <w:top w:val="single" w:sz="6" w:space="0" w:color="000099"/>
              <w:left w:val="single" w:sz="12" w:space="0" w:color="FFFFFF" w:themeColor="background1"/>
              <w:bottom w:val="single" w:sz="6" w:space="0" w:color="000099"/>
              <w:right w:val="single" w:sz="12" w:space="0" w:color="FFFFFF" w:themeColor="background1"/>
            </w:tcBorders>
            <w:tcMar>
              <w:top w:w="0" w:type="dxa"/>
              <w:left w:w="28" w:type="dxa"/>
              <w:bottom w:w="0" w:type="dxa"/>
              <w:right w:w="28" w:type="dxa"/>
            </w:tcMar>
            <w:vAlign w:val="center"/>
            <w:hideMark/>
          </w:tcPr>
          <w:p w14:paraId="6C36AA40" w14:textId="77777777" w:rsidR="00625A75" w:rsidRPr="00625A75" w:rsidRDefault="00625A75" w:rsidP="00625A75">
            <w:pPr>
              <w:jc w:val="center"/>
              <w:rPr>
                <w:rFonts w:ascii="Arial" w:hAnsi="Arial" w:cs="Arial"/>
              </w:rPr>
            </w:pPr>
            <w:r w:rsidRPr="00625A75">
              <w:rPr>
                <w:rFonts w:ascii="Arial" w:eastAsia="Times New Roman" w:hAnsi="Arial" w:cs="Arial"/>
              </w:rPr>
              <w:t>26,7% </w:t>
            </w:r>
          </w:p>
        </w:tc>
        <w:tc>
          <w:tcPr>
            <w:tcW w:w="976" w:type="dxa"/>
            <w:tcBorders>
              <w:top w:val="single" w:sz="6" w:space="0" w:color="000099"/>
              <w:left w:val="single" w:sz="12" w:space="0" w:color="FFFFFF" w:themeColor="background1"/>
              <w:bottom w:val="single" w:sz="6" w:space="0" w:color="000099"/>
              <w:right w:val="single" w:sz="12" w:space="0" w:color="FFFFFF" w:themeColor="background1"/>
            </w:tcBorders>
            <w:tcMar>
              <w:top w:w="0" w:type="dxa"/>
              <w:left w:w="28" w:type="dxa"/>
              <w:bottom w:w="0" w:type="dxa"/>
              <w:right w:w="28" w:type="dxa"/>
            </w:tcMar>
            <w:vAlign w:val="center"/>
            <w:hideMark/>
          </w:tcPr>
          <w:p w14:paraId="082E5748" w14:textId="77777777" w:rsidR="00625A75" w:rsidRPr="00625A75" w:rsidRDefault="00625A75" w:rsidP="00625A75">
            <w:pPr>
              <w:jc w:val="center"/>
              <w:rPr>
                <w:rFonts w:ascii="Arial" w:hAnsi="Arial" w:cs="Arial"/>
              </w:rPr>
            </w:pPr>
            <w:r w:rsidRPr="00625A75">
              <w:rPr>
                <w:rFonts w:ascii="Arial" w:eastAsia="Times New Roman" w:hAnsi="Arial" w:cs="Arial"/>
              </w:rPr>
              <w:t>28,9% </w:t>
            </w:r>
          </w:p>
        </w:tc>
        <w:tc>
          <w:tcPr>
            <w:tcW w:w="774" w:type="dxa"/>
            <w:tcBorders>
              <w:top w:val="single" w:sz="6" w:space="0" w:color="000099"/>
              <w:left w:val="single" w:sz="12" w:space="0" w:color="FFFFFF" w:themeColor="background1"/>
              <w:bottom w:val="single" w:sz="6" w:space="0" w:color="000099"/>
              <w:right w:val="single" w:sz="12" w:space="0" w:color="FFFFFF" w:themeColor="background1"/>
            </w:tcBorders>
            <w:tcMar>
              <w:top w:w="0" w:type="dxa"/>
              <w:left w:w="28" w:type="dxa"/>
              <w:bottom w:w="0" w:type="dxa"/>
              <w:right w:w="28" w:type="dxa"/>
            </w:tcMar>
            <w:vAlign w:val="center"/>
            <w:hideMark/>
          </w:tcPr>
          <w:p w14:paraId="74D72CB6" w14:textId="77777777" w:rsidR="00625A75" w:rsidRPr="00625A75" w:rsidRDefault="00625A75" w:rsidP="00625A75">
            <w:pPr>
              <w:jc w:val="center"/>
              <w:rPr>
                <w:rFonts w:ascii="Arial" w:hAnsi="Arial" w:cs="Arial"/>
              </w:rPr>
            </w:pPr>
            <w:r w:rsidRPr="00625A75">
              <w:rPr>
                <w:rFonts w:ascii="Arial" w:eastAsia="Times New Roman" w:hAnsi="Arial" w:cs="Arial"/>
              </w:rPr>
              <w:t>22,8% </w:t>
            </w:r>
          </w:p>
        </w:tc>
      </w:tr>
      <w:tr w:rsidR="00625A75" w:rsidRPr="00625A75" w14:paraId="27494F68" w14:textId="77777777" w:rsidTr="00625A75">
        <w:trPr>
          <w:trHeight w:hRule="exact" w:val="340"/>
        </w:trPr>
        <w:tc>
          <w:tcPr>
            <w:tcW w:w="0" w:type="auto"/>
            <w:tcBorders>
              <w:top w:val="single" w:sz="6" w:space="0" w:color="000099"/>
              <w:left w:val="single" w:sz="12" w:space="0" w:color="FFFFFF" w:themeColor="background1"/>
              <w:bottom w:val="single" w:sz="6" w:space="0" w:color="000099"/>
              <w:right w:val="single" w:sz="12" w:space="0" w:color="FFFFFF" w:themeColor="background1"/>
            </w:tcBorders>
            <w:shd w:val="clear" w:color="auto" w:fill="F2F2F2" w:themeFill="background1" w:themeFillShade="F2"/>
            <w:vAlign w:val="center"/>
            <w:hideMark/>
          </w:tcPr>
          <w:p w14:paraId="5C7B58EA" w14:textId="77777777" w:rsidR="00625A75" w:rsidRPr="00625A75" w:rsidRDefault="00625A75" w:rsidP="00625A75">
            <w:pPr>
              <w:rPr>
                <w:rFonts w:ascii="Arial" w:hAnsi="Arial" w:cs="Arial"/>
              </w:rPr>
            </w:pPr>
            <w:r w:rsidRPr="00625A75">
              <w:rPr>
                <w:rFonts w:ascii="Arial" w:eastAsia="Times New Roman" w:hAnsi="Arial" w:cs="Arial"/>
                <w:b/>
                <w:bCs/>
              </w:rPr>
              <w:t>Calo di fatturato 2020 &gt; 30% </w:t>
            </w:r>
          </w:p>
        </w:tc>
        <w:tc>
          <w:tcPr>
            <w:tcW w:w="1292" w:type="dxa"/>
            <w:tcBorders>
              <w:top w:val="single" w:sz="6" w:space="0" w:color="000099"/>
              <w:left w:val="single" w:sz="12" w:space="0" w:color="FFFFFF" w:themeColor="background1"/>
              <w:bottom w:val="single" w:sz="6" w:space="0" w:color="000099"/>
              <w:right w:val="single" w:sz="12" w:space="0" w:color="FFFFFF" w:themeColor="background1"/>
            </w:tcBorders>
            <w:shd w:val="clear" w:color="auto" w:fill="F2F2F2" w:themeFill="background1" w:themeFillShade="F2"/>
            <w:tcMar>
              <w:top w:w="0" w:type="dxa"/>
              <w:left w:w="28" w:type="dxa"/>
              <w:bottom w:w="0" w:type="dxa"/>
              <w:right w:w="28" w:type="dxa"/>
            </w:tcMar>
            <w:vAlign w:val="center"/>
            <w:hideMark/>
          </w:tcPr>
          <w:p w14:paraId="030EFCED" w14:textId="77777777" w:rsidR="00625A75" w:rsidRPr="00625A75" w:rsidRDefault="00625A75" w:rsidP="00625A75">
            <w:pPr>
              <w:jc w:val="center"/>
              <w:rPr>
                <w:rFonts w:ascii="Arial" w:hAnsi="Arial" w:cs="Arial"/>
              </w:rPr>
            </w:pPr>
            <w:r w:rsidRPr="00625A75">
              <w:rPr>
                <w:rFonts w:ascii="Arial" w:eastAsia="Times New Roman" w:hAnsi="Arial" w:cs="Arial"/>
              </w:rPr>
              <w:t>61,7% </w:t>
            </w:r>
          </w:p>
        </w:tc>
        <w:tc>
          <w:tcPr>
            <w:tcW w:w="976" w:type="dxa"/>
            <w:tcBorders>
              <w:top w:val="single" w:sz="6" w:space="0" w:color="000099"/>
              <w:left w:val="single" w:sz="12" w:space="0" w:color="FFFFFF" w:themeColor="background1"/>
              <w:bottom w:val="single" w:sz="6" w:space="0" w:color="000099"/>
              <w:right w:val="single" w:sz="12" w:space="0" w:color="FFFFFF" w:themeColor="background1"/>
            </w:tcBorders>
            <w:shd w:val="clear" w:color="auto" w:fill="F2F2F2" w:themeFill="background1" w:themeFillShade="F2"/>
            <w:tcMar>
              <w:top w:w="0" w:type="dxa"/>
              <w:left w:w="28" w:type="dxa"/>
              <w:bottom w:w="0" w:type="dxa"/>
              <w:right w:w="28" w:type="dxa"/>
            </w:tcMar>
            <w:vAlign w:val="center"/>
            <w:hideMark/>
          </w:tcPr>
          <w:p w14:paraId="7109C37F" w14:textId="77777777" w:rsidR="00625A75" w:rsidRPr="00625A75" w:rsidRDefault="00625A75" w:rsidP="00625A75">
            <w:pPr>
              <w:jc w:val="center"/>
              <w:rPr>
                <w:rFonts w:ascii="Arial" w:hAnsi="Arial" w:cs="Arial"/>
              </w:rPr>
            </w:pPr>
            <w:r w:rsidRPr="00625A75">
              <w:rPr>
                <w:rFonts w:ascii="Arial" w:eastAsia="Times New Roman" w:hAnsi="Arial" w:cs="Arial"/>
              </w:rPr>
              <w:t>57,2% </w:t>
            </w:r>
          </w:p>
        </w:tc>
        <w:tc>
          <w:tcPr>
            <w:tcW w:w="774" w:type="dxa"/>
            <w:tcBorders>
              <w:top w:val="single" w:sz="6" w:space="0" w:color="000099"/>
              <w:left w:val="single" w:sz="12" w:space="0" w:color="FFFFFF" w:themeColor="background1"/>
              <w:bottom w:val="single" w:sz="6" w:space="0" w:color="000099"/>
              <w:right w:val="single" w:sz="12" w:space="0" w:color="FFFFFF" w:themeColor="background1"/>
            </w:tcBorders>
            <w:shd w:val="clear" w:color="auto" w:fill="F2F2F2" w:themeFill="background1" w:themeFillShade="F2"/>
            <w:tcMar>
              <w:top w:w="0" w:type="dxa"/>
              <w:left w:w="28" w:type="dxa"/>
              <w:bottom w:w="0" w:type="dxa"/>
              <w:right w:w="28" w:type="dxa"/>
            </w:tcMar>
            <w:vAlign w:val="center"/>
            <w:hideMark/>
          </w:tcPr>
          <w:p w14:paraId="1E9DD035" w14:textId="77777777" w:rsidR="00625A75" w:rsidRPr="00625A75" w:rsidRDefault="00625A75" w:rsidP="00625A75">
            <w:pPr>
              <w:jc w:val="center"/>
              <w:rPr>
                <w:rFonts w:ascii="Arial" w:hAnsi="Arial" w:cs="Arial"/>
              </w:rPr>
            </w:pPr>
            <w:r w:rsidRPr="00625A75">
              <w:rPr>
                <w:rFonts w:ascii="Arial" w:eastAsia="Times New Roman" w:hAnsi="Arial" w:cs="Arial"/>
              </w:rPr>
              <w:t>70,5% </w:t>
            </w:r>
          </w:p>
        </w:tc>
      </w:tr>
      <w:tr w:rsidR="00625A75" w:rsidRPr="00625A75" w14:paraId="7F2A24D1" w14:textId="77777777" w:rsidTr="00625A75">
        <w:trPr>
          <w:trHeight w:hRule="exact" w:val="340"/>
        </w:trPr>
        <w:tc>
          <w:tcPr>
            <w:tcW w:w="0" w:type="auto"/>
            <w:tcBorders>
              <w:top w:val="single" w:sz="6" w:space="0" w:color="000099"/>
              <w:left w:val="single" w:sz="12" w:space="0" w:color="FFFFFF" w:themeColor="background1"/>
              <w:bottom w:val="single" w:sz="6" w:space="0" w:color="000099"/>
              <w:right w:val="single" w:sz="12" w:space="0" w:color="FFFFFF" w:themeColor="background1"/>
            </w:tcBorders>
            <w:vAlign w:val="center"/>
            <w:hideMark/>
          </w:tcPr>
          <w:p w14:paraId="42780D91" w14:textId="77777777" w:rsidR="00625A75" w:rsidRPr="00625A75" w:rsidRDefault="00625A75" w:rsidP="00625A75">
            <w:pPr>
              <w:rPr>
                <w:rFonts w:ascii="Arial" w:hAnsi="Arial" w:cs="Arial"/>
              </w:rPr>
            </w:pPr>
            <w:r w:rsidRPr="00625A75">
              <w:rPr>
                <w:rFonts w:ascii="Arial" w:eastAsia="Times New Roman" w:hAnsi="Arial" w:cs="Arial"/>
                <w:b/>
                <w:bCs/>
              </w:rPr>
              <w:t>Ricorso a prestiti garantiti </w:t>
            </w:r>
          </w:p>
        </w:tc>
        <w:tc>
          <w:tcPr>
            <w:tcW w:w="1292" w:type="dxa"/>
            <w:tcBorders>
              <w:top w:val="single" w:sz="6" w:space="0" w:color="000099"/>
              <w:left w:val="single" w:sz="12" w:space="0" w:color="FFFFFF" w:themeColor="background1"/>
              <w:bottom w:val="single" w:sz="6" w:space="0" w:color="000099"/>
              <w:right w:val="single" w:sz="12" w:space="0" w:color="FFFFFF" w:themeColor="background1"/>
            </w:tcBorders>
            <w:tcMar>
              <w:top w:w="0" w:type="dxa"/>
              <w:left w:w="28" w:type="dxa"/>
              <w:bottom w:w="0" w:type="dxa"/>
              <w:right w:w="28" w:type="dxa"/>
            </w:tcMar>
            <w:vAlign w:val="center"/>
            <w:hideMark/>
          </w:tcPr>
          <w:p w14:paraId="12AD43C7" w14:textId="77777777" w:rsidR="00625A75" w:rsidRPr="00625A75" w:rsidRDefault="00625A75" w:rsidP="00625A75">
            <w:pPr>
              <w:jc w:val="center"/>
              <w:rPr>
                <w:rFonts w:ascii="Arial" w:hAnsi="Arial" w:cs="Arial"/>
              </w:rPr>
            </w:pPr>
            <w:r w:rsidRPr="00625A75">
              <w:rPr>
                <w:rFonts w:ascii="Arial" w:eastAsia="Times New Roman" w:hAnsi="Arial" w:cs="Arial"/>
              </w:rPr>
              <w:t>59,7% </w:t>
            </w:r>
          </w:p>
        </w:tc>
        <w:tc>
          <w:tcPr>
            <w:tcW w:w="976" w:type="dxa"/>
            <w:tcBorders>
              <w:top w:val="single" w:sz="6" w:space="0" w:color="000099"/>
              <w:left w:val="single" w:sz="12" w:space="0" w:color="FFFFFF" w:themeColor="background1"/>
              <w:bottom w:val="single" w:sz="6" w:space="0" w:color="000099"/>
              <w:right w:val="single" w:sz="12" w:space="0" w:color="FFFFFF" w:themeColor="background1"/>
            </w:tcBorders>
            <w:tcMar>
              <w:top w:w="0" w:type="dxa"/>
              <w:left w:w="28" w:type="dxa"/>
              <w:bottom w:w="0" w:type="dxa"/>
              <w:right w:w="28" w:type="dxa"/>
            </w:tcMar>
            <w:vAlign w:val="center"/>
            <w:hideMark/>
          </w:tcPr>
          <w:p w14:paraId="1C0DE371" w14:textId="77777777" w:rsidR="00625A75" w:rsidRPr="00625A75" w:rsidRDefault="00625A75" w:rsidP="00625A75">
            <w:pPr>
              <w:jc w:val="center"/>
              <w:rPr>
                <w:rFonts w:ascii="Arial" w:hAnsi="Arial" w:cs="Arial"/>
              </w:rPr>
            </w:pPr>
            <w:r w:rsidRPr="00625A75">
              <w:rPr>
                <w:rFonts w:ascii="Arial" w:eastAsia="Times New Roman" w:hAnsi="Arial" w:cs="Arial"/>
              </w:rPr>
              <w:t>60,5% </w:t>
            </w:r>
          </w:p>
        </w:tc>
        <w:tc>
          <w:tcPr>
            <w:tcW w:w="774" w:type="dxa"/>
            <w:tcBorders>
              <w:top w:val="single" w:sz="6" w:space="0" w:color="000099"/>
              <w:left w:val="single" w:sz="12" w:space="0" w:color="FFFFFF" w:themeColor="background1"/>
              <w:bottom w:val="single" w:sz="6" w:space="0" w:color="000099"/>
              <w:right w:val="single" w:sz="12" w:space="0" w:color="FFFFFF" w:themeColor="background1"/>
            </w:tcBorders>
            <w:tcMar>
              <w:top w:w="0" w:type="dxa"/>
              <w:left w:w="28" w:type="dxa"/>
              <w:bottom w:w="0" w:type="dxa"/>
              <w:right w:w="28" w:type="dxa"/>
            </w:tcMar>
            <w:vAlign w:val="center"/>
            <w:hideMark/>
          </w:tcPr>
          <w:p w14:paraId="5BDB17BA" w14:textId="77777777" w:rsidR="00625A75" w:rsidRPr="00625A75" w:rsidRDefault="00625A75" w:rsidP="00625A75">
            <w:pPr>
              <w:jc w:val="center"/>
              <w:rPr>
                <w:rFonts w:ascii="Arial" w:hAnsi="Arial" w:cs="Arial"/>
              </w:rPr>
            </w:pPr>
            <w:r w:rsidRPr="00625A75">
              <w:rPr>
                <w:rFonts w:ascii="Arial" w:eastAsia="Times New Roman" w:hAnsi="Arial" w:cs="Arial"/>
              </w:rPr>
              <w:t>57,4% </w:t>
            </w:r>
          </w:p>
        </w:tc>
      </w:tr>
      <w:tr w:rsidR="00625A75" w:rsidRPr="00625A75" w14:paraId="797382EC" w14:textId="77777777" w:rsidTr="00625A75">
        <w:trPr>
          <w:trHeight w:hRule="exact" w:val="340"/>
        </w:trPr>
        <w:tc>
          <w:tcPr>
            <w:tcW w:w="0" w:type="auto"/>
            <w:tcBorders>
              <w:top w:val="single" w:sz="6" w:space="0" w:color="000099"/>
              <w:left w:val="single" w:sz="12" w:space="0" w:color="FFFFFF" w:themeColor="background1"/>
              <w:bottom w:val="single" w:sz="6" w:space="0" w:color="000099"/>
              <w:right w:val="single" w:sz="12" w:space="0" w:color="FFFFFF" w:themeColor="background1"/>
            </w:tcBorders>
            <w:shd w:val="clear" w:color="auto" w:fill="F2F2F2" w:themeFill="background1" w:themeFillShade="F2"/>
            <w:vAlign w:val="center"/>
            <w:hideMark/>
          </w:tcPr>
          <w:p w14:paraId="0ED3557F" w14:textId="77777777" w:rsidR="00625A75" w:rsidRPr="00625A75" w:rsidRDefault="00625A75" w:rsidP="00625A75">
            <w:pPr>
              <w:rPr>
                <w:rFonts w:ascii="Arial" w:hAnsi="Arial" w:cs="Arial"/>
              </w:rPr>
            </w:pPr>
            <w:r w:rsidRPr="00625A75">
              <w:rPr>
                <w:rFonts w:ascii="Arial" w:eastAsia="Times New Roman" w:hAnsi="Arial" w:cs="Arial"/>
                <w:b/>
                <w:bCs/>
              </w:rPr>
              <w:t>Ricorso ad ammortizzatori sociali </w:t>
            </w:r>
          </w:p>
        </w:tc>
        <w:tc>
          <w:tcPr>
            <w:tcW w:w="1292" w:type="dxa"/>
            <w:tcBorders>
              <w:top w:val="single" w:sz="6" w:space="0" w:color="000099"/>
              <w:left w:val="single" w:sz="12" w:space="0" w:color="FFFFFF" w:themeColor="background1"/>
              <w:bottom w:val="single" w:sz="6" w:space="0" w:color="000099"/>
              <w:right w:val="single" w:sz="12" w:space="0" w:color="FFFFFF" w:themeColor="background1"/>
            </w:tcBorders>
            <w:shd w:val="clear" w:color="auto" w:fill="F2F2F2" w:themeFill="background1" w:themeFillShade="F2"/>
            <w:tcMar>
              <w:top w:w="0" w:type="dxa"/>
              <w:left w:w="28" w:type="dxa"/>
              <w:bottom w:w="0" w:type="dxa"/>
              <w:right w:w="28" w:type="dxa"/>
            </w:tcMar>
            <w:vAlign w:val="center"/>
            <w:hideMark/>
          </w:tcPr>
          <w:p w14:paraId="5C83AE72" w14:textId="77777777" w:rsidR="00625A75" w:rsidRPr="00625A75" w:rsidRDefault="00625A75" w:rsidP="00625A75">
            <w:pPr>
              <w:jc w:val="center"/>
              <w:rPr>
                <w:rFonts w:ascii="Arial" w:hAnsi="Arial" w:cs="Arial"/>
              </w:rPr>
            </w:pPr>
            <w:r w:rsidRPr="00625A75">
              <w:rPr>
                <w:rFonts w:ascii="Arial" w:eastAsia="Times New Roman" w:hAnsi="Arial" w:cs="Arial"/>
              </w:rPr>
              <w:t>57,5% </w:t>
            </w:r>
          </w:p>
        </w:tc>
        <w:tc>
          <w:tcPr>
            <w:tcW w:w="976" w:type="dxa"/>
            <w:tcBorders>
              <w:top w:val="single" w:sz="6" w:space="0" w:color="000099"/>
              <w:left w:val="single" w:sz="12" w:space="0" w:color="FFFFFF" w:themeColor="background1"/>
              <w:bottom w:val="single" w:sz="6" w:space="0" w:color="000099"/>
              <w:right w:val="single" w:sz="12" w:space="0" w:color="FFFFFF" w:themeColor="background1"/>
            </w:tcBorders>
            <w:shd w:val="clear" w:color="auto" w:fill="F2F2F2" w:themeFill="background1" w:themeFillShade="F2"/>
            <w:tcMar>
              <w:top w:w="0" w:type="dxa"/>
              <w:left w:w="28" w:type="dxa"/>
              <w:bottom w:w="0" w:type="dxa"/>
              <w:right w:w="28" w:type="dxa"/>
            </w:tcMar>
            <w:vAlign w:val="center"/>
            <w:hideMark/>
          </w:tcPr>
          <w:p w14:paraId="42C825ED" w14:textId="77777777" w:rsidR="00625A75" w:rsidRPr="00625A75" w:rsidRDefault="00625A75" w:rsidP="00625A75">
            <w:pPr>
              <w:jc w:val="center"/>
              <w:rPr>
                <w:rFonts w:ascii="Arial" w:hAnsi="Arial" w:cs="Arial"/>
              </w:rPr>
            </w:pPr>
            <w:r w:rsidRPr="00625A75">
              <w:rPr>
                <w:rFonts w:ascii="Arial" w:eastAsia="Times New Roman" w:hAnsi="Arial" w:cs="Arial"/>
              </w:rPr>
              <w:t>58,3% </w:t>
            </w:r>
          </w:p>
        </w:tc>
        <w:tc>
          <w:tcPr>
            <w:tcW w:w="774" w:type="dxa"/>
            <w:tcBorders>
              <w:top w:val="single" w:sz="6" w:space="0" w:color="000099"/>
              <w:left w:val="single" w:sz="12" w:space="0" w:color="FFFFFF" w:themeColor="background1"/>
              <w:bottom w:val="single" w:sz="6" w:space="0" w:color="000099"/>
              <w:right w:val="single" w:sz="12" w:space="0" w:color="FFFFFF" w:themeColor="background1"/>
            </w:tcBorders>
            <w:shd w:val="clear" w:color="auto" w:fill="F2F2F2" w:themeFill="background1" w:themeFillShade="F2"/>
            <w:tcMar>
              <w:top w:w="0" w:type="dxa"/>
              <w:left w:w="28" w:type="dxa"/>
              <w:bottom w:w="0" w:type="dxa"/>
              <w:right w:w="28" w:type="dxa"/>
            </w:tcMar>
            <w:vAlign w:val="center"/>
            <w:hideMark/>
          </w:tcPr>
          <w:p w14:paraId="1363DF20" w14:textId="77777777" w:rsidR="00625A75" w:rsidRPr="00625A75" w:rsidRDefault="00625A75" w:rsidP="00625A75">
            <w:pPr>
              <w:jc w:val="center"/>
              <w:rPr>
                <w:rFonts w:ascii="Arial" w:hAnsi="Arial" w:cs="Arial"/>
              </w:rPr>
            </w:pPr>
            <w:r w:rsidRPr="00625A75">
              <w:rPr>
                <w:rFonts w:ascii="Arial" w:eastAsia="Times New Roman" w:hAnsi="Arial" w:cs="Arial"/>
              </w:rPr>
              <w:t>55,6% </w:t>
            </w:r>
          </w:p>
        </w:tc>
      </w:tr>
      <w:tr w:rsidR="00625A75" w:rsidRPr="00625A75" w14:paraId="4833AF40" w14:textId="77777777" w:rsidTr="00625A75">
        <w:trPr>
          <w:trHeight w:hRule="exact" w:val="340"/>
        </w:trPr>
        <w:tc>
          <w:tcPr>
            <w:tcW w:w="0" w:type="auto"/>
            <w:tcBorders>
              <w:top w:val="single" w:sz="6" w:space="0" w:color="000099"/>
              <w:left w:val="single" w:sz="12" w:space="0" w:color="FFFFFF" w:themeColor="background1"/>
              <w:bottom w:val="single" w:sz="6" w:space="0" w:color="000099"/>
              <w:right w:val="single" w:sz="12" w:space="0" w:color="FFFFFF" w:themeColor="background1"/>
            </w:tcBorders>
            <w:vAlign w:val="center"/>
            <w:hideMark/>
          </w:tcPr>
          <w:p w14:paraId="5F728FB1" w14:textId="77777777" w:rsidR="00625A75" w:rsidRPr="00625A75" w:rsidRDefault="00625A75" w:rsidP="00625A75">
            <w:pPr>
              <w:rPr>
                <w:rFonts w:ascii="Arial" w:hAnsi="Arial" w:cs="Arial"/>
              </w:rPr>
            </w:pPr>
            <w:r w:rsidRPr="00625A75">
              <w:rPr>
                <w:rFonts w:ascii="Arial" w:eastAsia="Times New Roman" w:hAnsi="Arial" w:cs="Arial"/>
                <w:b/>
                <w:bCs/>
              </w:rPr>
              <w:t>Imprese attualmente in stato di grave difficoltà economica </w:t>
            </w:r>
          </w:p>
        </w:tc>
        <w:tc>
          <w:tcPr>
            <w:tcW w:w="1292" w:type="dxa"/>
            <w:tcBorders>
              <w:top w:val="single" w:sz="6" w:space="0" w:color="000099"/>
              <w:left w:val="single" w:sz="12" w:space="0" w:color="FFFFFF" w:themeColor="background1"/>
              <w:bottom w:val="single" w:sz="6" w:space="0" w:color="000099"/>
              <w:right w:val="single" w:sz="12" w:space="0" w:color="FFFFFF" w:themeColor="background1"/>
            </w:tcBorders>
            <w:tcMar>
              <w:top w:w="0" w:type="dxa"/>
              <w:left w:w="28" w:type="dxa"/>
              <w:bottom w:w="0" w:type="dxa"/>
              <w:right w:w="28" w:type="dxa"/>
            </w:tcMar>
            <w:vAlign w:val="center"/>
            <w:hideMark/>
          </w:tcPr>
          <w:p w14:paraId="48FF7229" w14:textId="77777777" w:rsidR="00625A75" w:rsidRPr="00625A75" w:rsidRDefault="00625A75" w:rsidP="00625A75">
            <w:pPr>
              <w:jc w:val="center"/>
              <w:rPr>
                <w:rFonts w:ascii="Arial" w:hAnsi="Arial" w:cs="Arial"/>
              </w:rPr>
            </w:pPr>
            <w:r w:rsidRPr="00625A75">
              <w:rPr>
                <w:rFonts w:ascii="Arial" w:eastAsia="Times New Roman" w:hAnsi="Arial" w:cs="Arial"/>
              </w:rPr>
              <w:t>46,8% </w:t>
            </w:r>
          </w:p>
        </w:tc>
        <w:tc>
          <w:tcPr>
            <w:tcW w:w="976" w:type="dxa"/>
            <w:tcBorders>
              <w:top w:val="single" w:sz="6" w:space="0" w:color="000099"/>
              <w:left w:val="single" w:sz="12" w:space="0" w:color="FFFFFF" w:themeColor="background1"/>
              <w:bottom w:val="single" w:sz="6" w:space="0" w:color="000099"/>
              <w:right w:val="single" w:sz="12" w:space="0" w:color="FFFFFF" w:themeColor="background1"/>
            </w:tcBorders>
            <w:tcMar>
              <w:top w:w="0" w:type="dxa"/>
              <w:left w:w="28" w:type="dxa"/>
              <w:bottom w:w="0" w:type="dxa"/>
              <w:right w:w="28" w:type="dxa"/>
            </w:tcMar>
            <w:vAlign w:val="center"/>
            <w:hideMark/>
          </w:tcPr>
          <w:p w14:paraId="0ACB6836" w14:textId="77777777" w:rsidR="00625A75" w:rsidRPr="00625A75" w:rsidRDefault="00625A75" w:rsidP="00625A75">
            <w:pPr>
              <w:jc w:val="center"/>
              <w:rPr>
                <w:rFonts w:ascii="Arial" w:hAnsi="Arial" w:cs="Arial"/>
              </w:rPr>
            </w:pPr>
            <w:r w:rsidRPr="00625A75">
              <w:rPr>
                <w:rFonts w:ascii="Arial" w:eastAsia="Times New Roman" w:hAnsi="Arial" w:cs="Arial"/>
              </w:rPr>
              <w:t>39,5% </w:t>
            </w:r>
          </w:p>
        </w:tc>
        <w:tc>
          <w:tcPr>
            <w:tcW w:w="774" w:type="dxa"/>
            <w:tcBorders>
              <w:top w:val="single" w:sz="6" w:space="0" w:color="000099"/>
              <w:left w:val="single" w:sz="12" w:space="0" w:color="FFFFFF" w:themeColor="background1"/>
              <w:bottom w:val="single" w:sz="6" w:space="0" w:color="000099"/>
              <w:right w:val="single" w:sz="12" w:space="0" w:color="FFFFFF" w:themeColor="background1"/>
            </w:tcBorders>
            <w:tcMar>
              <w:top w:w="0" w:type="dxa"/>
              <w:left w:w="28" w:type="dxa"/>
              <w:bottom w:w="0" w:type="dxa"/>
              <w:right w:w="28" w:type="dxa"/>
            </w:tcMar>
            <w:vAlign w:val="center"/>
            <w:hideMark/>
          </w:tcPr>
          <w:p w14:paraId="3869A6E0" w14:textId="77777777" w:rsidR="00625A75" w:rsidRPr="00625A75" w:rsidRDefault="00625A75" w:rsidP="00625A75">
            <w:pPr>
              <w:jc w:val="center"/>
              <w:rPr>
                <w:rFonts w:ascii="Arial" w:hAnsi="Arial" w:cs="Arial"/>
              </w:rPr>
            </w:pPr>
            <w:r w:rsidRPr="00625A75">
              <w:rPr>
                <w:rFonts w:ascii="Arial" w:eastAsia="Times New Roman" w:hAnsi="Arial" w:cs="Arial"/>
              </w:rPr>
              <w:t>61,7% </w:t>
            </w:r>
          </w:p>
        </w:tc>
      </w:tr>
      <w:tr w:rsidR="00625A75" w:rsidRPr="00625A75" w14:paraId="71F686A9" w14:textId="77777777" w:rsidTr="00625A75">
        <w:trPr>
          <w:trHeight w:hRule="exact" w:val="340"/>
        </w:trPr>
        <w:tc>
          <w:tcPr>
            <w:tcW w:w="0" w:type="auto"/>
            <w:tcBorders>
              <w:top w:val="single" w:sz="6" w:space="0" w:color="000099"/>
              <w:left w:val="single" w:sz="12" w:space="0" w:color="FFFFFF" w:themeColor="background1"/>
              <w:bottom w:val="single" w:sz="6" w:space="0" w:color="000099"/>
              <w:right w:val="single" w:sz="12" w:space="0" w:color="FFFFFF" w:themeColor="background1"/>
            </w:tcBorders>
            <w:shd w:val="clear" w:color="auto" w:fill="F2F2F2" w:themeFill="background1" w:themeFillShade="F2"/>
            <w:vAlign w:val="center"/>
            <w:hideMark/>
          </w:tcPr>
          <w:p w14:paraId="01D6F5DB" w14:textId="77777777" w:rsidR="00625A75" w:rsidRPr="00625A75" w:rsidRDefault="00625A75" w:rsidP="00625A75">
            <w:pPr>
              <w:rPr>
                <w:rFonts w:ascii="Arial" w:hAnsi="Arial" w:cs="Arial"/>
              </w:rPr>
            </w:pPr>
            <w:r w:rsidRPr="00625A75">
              <w:rPr>
                <w:rFonts w:ascii="Arial" w:eastAsia="Times New Roman" w:hAnsi="Arial" w:cs="Arial"/>
                <w:b/>
                <w:bCs/>
              </w:rPr>
              <w:t>Stima imprese in sovraindebitamento entro il 2021 </w:t>
            </w:r>
          </w:p>
        </w:tc>
        <w:tc>
          <w:tcPr>
            <w:tcW w:w="1292" w:type="dxa"/>
            <w:tcBorders>
              <w:top w:val="single" w:sz="6" w:space="0" w:color="000099"/>
              <w:left w:val="single" w:sz="12" w:space="0" w:color="FFFFFF" w:themeColor="background1"/>
              <w:bottom w:val="single" w:sz="6" w:space="0" w:color="000099"/>
              <w:right w:val="single" w:sz="12" w:space="0" w:color="FFFFFF" w:themeColor="background1"/>
            </w:tcBorders>
            <w:shd w:val="clear" w:color="auto" w:fill="F2F2F2" w:themeFill="background1" w:themeFillShade="F2"/>
            <w:tcMar>
              <w:top w:w="0" w:type="dxa"/>
              <w:left w:w="28" w:type="dxa"/>
              <w:bottom w:w="0" w:type="dxa"/>
              <w:right w:w="28" w:type="dxa"/>
            </w:tcMar>
            <w:vAlign w:val="center"/>
            <w:hideMark/>
          </w:tcPr>
          <w:p w14:paraId="2EA2909A" w14:textId="77777777" w:rsidR="00625A75" w:rsidRPr="00625A75" w:rsidRDefault="00625A75" w:rsidP="00625A75">
            <w:pPr>
              <w:jc w:val="center"/>
              <w:rPr>
                <w:rFonts w:ascii="Arial" w:hAnsi="Arial" w:cs="Arial"/>
              </w:rPr>
            </w:pPr>
            <w:r w:rsidRPr="00625A75">
              <w:rPr>
                <w:rFonts w:ascii="Arial" w:eastAsia="Times New Roman" w:hAnsi="Arial" w:cs="Arial"/>
              </w:rPr>
              <w:t>8,8% </w:t>
            </w:r>
          </w:p>
        </w:tc>
        <w:tc>
          <w:tcPr>
            <w:tcW w:w="976" w:type="dxa"/>
            <w:tcBorders>
              <w:top w:val="single" w:sz="6" w:space="0" w:color="000099"/>
              <w:left w:val="single" w:sz="12" w:space="0" w:color="FFFFFF" w:themeColor="background1"/>
              <w:bottom w:val="single" w:sz="6" w:space="0" w:color="000099"/>
              <w:right w:val="single" w:sz="12" w:space="0" w:color="FFFFFF" w:themeColor="background1"/>
            </w:tcBorders>
            <w:shd w:val="clear" w:color="auto" w:fill="F2F2F2" w:themeFill="background1" w:themeFillShade="F2"/>
            <w:tcMar>
              <w:top w:w="0" w:type="dxa"/>
              <w:left w:w="28" w:type="dxa"/>
              <w:bottom w:w="0" w:type="dxa"/>
              <w:right w:w="28" w:type="dxa"/>
            </w:tcMar>
            <w:vAlign w:val="center"/>
            <w:hideMark/>
          </w:tcPr>
          <w:p w14:paraId="2D9226B6" w14:textId="77777777" w:rsidR="00625A75" w:rsidRPr="00625A75" w:rsidRDefault="00625A75" w:rsidP="00625A75">
            <w:pPr>
              <w:jc w:val="center"/>
              <w:rPr>
                <w:rFonts w:ascii="Arial" w:hAnsi="Arial" w:cs="Arial"/>
              </w:rPr>
            </w:pPr>
            <w:r w:rsidRPr="00625A75">
              <w:rPr>
                <w:rFonts w:ascii="Arial" w:eastAsia="Times New Roman" w:hAnsi="Arial" w:cs="Arial"/>
              </w:rPr>
              <w:t>6,5% </w:t>
            </w:r>
          </w:p>
        </w:tc>
        <w:tc>
          <w:tcPr>
            <w:tcW w:w="774" w:type="dxa"/>
            <w:tcBorders>
              <w:top w:val="single" w:sz="6" w:space="0" w:color="000099"/>
              <w:left w:val="single" w:sz="12" w:space="0" w:color="FFFFFF" w:themeColor="background1"/>
              <w:bottom w:val="single" w:sz="6" w:space="0" w:color="000099"/>
              <w:right w:val="single" w:sz="12" w:space="0" w:color="FFFFFF" w:themeColor="background1"/>
            </w:tcBorders>
            <w:shd w:val="clear" w:color="auto" w:fill="F2F2F2" w:themeFill="background1" w:themeFillShade="F2"/>
            <w:tcMar>
              <w:top w:w="0" w:type="dxa"/>
              <w:left w:w="28" w:type="dxa"/>
              <w:bottom w:w="0" w:type="dxa"/>
              <w:right w:w="28" w:type="dxa"/>
            </w:tcMar>
            <w:vAlign w:val="center"/>
            <w:hideMark/>
          </w:tcPr>
          <w:p w14:paraId="5AE3D887" w14:textId="77777777" w:rsidR="00625A75" w:rsidRPr="00625A75" w:rsidRDefault="00625A75" w:rsidP="00625A75">
            <w:pPr>
              <w:jc w:val="center"/>
              <w:rPr>
                <w:rFonts w:ascii="Arial" w:hAnsi="Arial" w:cs="Arial"/>
              </w:rPr>
            </w:pPr>
            <w:r w:rsidRPr="00625A75">
              <w:rPr>
                <w:rFonts w:ascii="Arial" w:eastAsia="Times New Roman" w:hAnsi="Arial" w:cs="Arial"/>
              </w:rPr>
              <w:t>13,1% </w:t>
            </w:r>
          </w:p>
        </w:tc>
      </w:tr>
      <w:tr w:rsidR="00625A75" w:rsidRPr="00625A75" w14:paraId="1BD2F934" w14:textId="77777777" w:rsidTr="00625A75">
        <w:trPr>
          <w:trHeight w:hRule="exact" w:val="556"/>
        </w:trPr>
        <w:tc>
          <w:tcPr>
            <w:tcW w:w="0" w:type="auto"/>
            <w:tcBorders>
              <w:top w:val="single" w:sz="6" w:space="0" w:color="000099"/>
              <w:left w:val="single" w:sz="12" w:space="0" w:color="FFFFFF" w:themeColor="background1"/>
              <w:bottom w:val="single" w:sz="12" w:space="0" w:color="000099"/>
              <w:right w:val="single" w:sz="12" w:space="0" w:color="FFFFFF" w:themeColor="background1"/>
            </w:tcBorders>
            <w:vAlign w:val="center"/>
            <w:hideMark/>
          </w:tcPr>
          <w:p w14:paraId="1998F683" w14:textId="77777777" w:rsidR="00625A75" w:rsidRPr="00625A75" w:rsidRDefault="00625A75" w:rsidP="00625A75">
            <w:pPr>
              <w:rPr>
                <w:rFonts w:ascii="Arial" w:hAnsi="Arial" w:cs="Arial"/>
              </w:rPr>
            </w:pPr>
            <w:r w:rsidRPr="00625A75">
              <w:rPr>
                <w:rFonts w:ascii="Arial" w:eastAsia="Times New Roman" w:hAnsi="Arial" w:cs="Arial"/>
                <w:b/>
                <w:bCs/>
              </w:rPr>
              <w:t>Stima imprese in stato di grave difficoltà economica nel 2022 </w:t>
            </w:r>
          </w:p>
        </w:tc>
        <w:tc>
          <w:tcPr>
            <w:tcW w:w="1292" w:type="dxa"/>
            <w:tcBorders>
              <w:top w:val="single" w:sz="6" w:space="0" w:color="000099"/>
              <w:left w:val="single" w:sz="12" w:space="0" w:color="FFFFFF" w:themeColor="background1"/>
              <w:bottom w:val="single" w:sz="12" w:space="0" w:color="000099"/>
              <w:right w:val="single" w:sz="12" w:space="0" w:color="FFFFFF" w:themeColor="background1"/>
            </w:tcBorders>
            <w:tcMar>
              <w:top w:w="0" w:type="dxa"/>
              <w:left w:w="28" w:type="dxa"/>
              <w:bottom w:w="0" w:type="dxa"/>
              <w:right w:w="28" w:type="dxa"/>
            </w:tcMar>
            <w:vAlign w:val="center"/>
            <w:hideMark/>
          </w:tcPr>
          <w:p w14:paraId="1C35AF79" w14:textId="77777777" w:rsidR="00625A75" w:rsidRPr="00625A75" w:rsidRDefault="00625A75" w:rsidP="00625A75">
            <w:pPr>
              <w:jc w:val="center"/>
              <w:rPr>
                <w:rFonts w:ascii="Arial" w:hAnsi="Arial" w:cs="Arial"/>
              </w:rPr>
            </w:pPr>
            <w:r w:rsidRPr="00625A75">
              <w:rPr>
                <w:rFonts w:ascii="Arial" w:eastAsia="Times New Roman" w:hAnsi="Arial" w:cs="Arial"/>
              </w:rPr>
              <w:t>46,6% </w:t>
            </w:r>
          </w:p>
        </w:tc>
        <w:tc>
          <w:tcPr>
            <w:tcW w:w="976" w:type="dxa"/>
            <w:tcBorders>
              <w:top w:val="single" w:sz="6" w:space="0" w:color="000099"/>
              <w:left w:val="single" w:sz="12" w:space="0" w:color="FFFFFF" w:themeColor="background1"/>
              <w:bottom w:val="single" w:sz="12" w:space="0" w:color="000099"/>
              <w:right w:val="single" w:sz="12" w:space="0" w:color="FFFFFF" w:themeColor="background1"/>
            </w:tcBorders>
            <w:tcMar>
              <w:top w:w="0" w:type="dxa"/>
              <w:left w:w="28" w:type="dxa"/>
              <w:bottom w:w="0" w:type="dxa"/>
              <w:right w:w="28" w:type="dxa"/>
            </w:tcMar>
            <w:vAlign w:val="center"/>
            <w:hideMark/>
          </w:tcPr>
          <w:p w14:paraId="52996B0E" w14:textId="77777777" w:rsidR="00625A75" w:rsidRPr="00625A75" w:rsidRDefault="00625A75" w:rsidP="00625A75">
            <w:pPr>
              <w:jc w:val="center"/>
              <w:rPr>
                <w:rFonts w:ascii="Arial" w:hAnsi="Arial" w:cs="Arial"/>
              </w:rPr>
            </w:pPr>
            <w:r w:rsidRPr="00625A75">
              <w:rPr>
                <w:rFonts w:ascii="Arial" w:eastAsia="Times New Roman" w:hAnsi="Arial" w:cs="Arial"/>
              </w:rPr>
              <w:t>42,2% </w:t>
            </w:r>
          </w:p>
        </w:tc>
        <w:tc>
          <w:tcPr>
            <w:tcW w:w="774" w:type="dxa"/>
            <w:tcBorders>
              <w:top w:val="single" w:sz="6" w:space="0" w:color="000099"/>
              <w:left w:val="single" w:sz="12" w:space="0" w:color="FFFFFF" w:themeColor="background1"/>
              <w:bottom w:val="single" w:sz="12" w:space="0" w:color="000099"/>
              <w:right w:val="single" w:sz="12" w:space="0" w:color="FFFFFF" w:themeColor="background1"/>
            </w:tcBorders>
            <w:tcMar>
              <w:top w:w="0" w:type="dxa"/>
              <w:left w:w="28" w:type="dxa"/>
              <w:bottom w:w="0" w:type="dxa"/>
              <w:right w:w="28" w:type="dxa"/>
            </w:tcMar>
            <w:vAlign w:val="center"/>
            <w:hideMark/>
          </w:tcPr>
          <w:p w14:paraId="62ACD778" w14:textId="77777777" w:rsidR="00625A75" w:rsidRPr="00625A75" w:rsidRDefault="00625A75" w:rsidP="00625A75">
            <w:pPr>
              <w:jc w:val="center"/>
              <w:rPr>
                <w:rFonts w:ascii="Arial" w:hAnsi="Arial" w:cs="Arial"/>
              </w:rPr>
            </w:pPr>
            <w:r w:rsidRPr="00625A75">
              <w:rPr>
                <w:rFonts w:ascii="Arial" w:eastAsia="Times New Roman" w:hAnsi="Arial" w:cs="Arial"/>
              </w:rPr>
              <w:t>56,0% </w:t>
            </w:r>
          </w:p>
        </w:tc>
      </w:tr>
    </w:tbl>
    <w:p w14:paraId="07AEF4DE" w14:textId="77777777" w:rsidR="00625A75" w:rsidRPr="00625A75" w:rsidRDefault="00625A75" w:rsidP="00625A75">
      <w:pPr>
        <w:jc w:val="both"/>
        <w:rPr>
          <w:rFonts w:ascii="Arial" w:hAnsi="Arial" w:cs="Arial"/>
          <w:color w:val="000000"/>
        </w:rPr>
      </w:pPr>
      <w:r w:rsidRPr="00625A75">
        <w:rPr>
          <w:rFonts w:ascii="Arial" w:hAnsi="Arial" w:cs="Arial"/>
          <w:color w:val="000000"/>
        </w:rPr>
        <w:t> </w:t>
      </w:r>
    </w:p>
    <w:p w14:paraId="5DF4AC3B" w14:textId="7FC8ECA9" w:rsidR="00625A75" w:rsidRPr="00625A75" w:rsidRDefault="00625A75" w:rsidP="00625A75">
      <w:pPr>
        <w:jc w:val="both"/>
        <w:rPr>
          <w:rFonts w:ascii="Arial" w:hAnsi="Arial" w:cs="Arial"/>
          <w:color w:val="000000"/>
        </w:rPr>
      </w:pPr>
      <w:r w:rsidRPr="00625A75">
        <w:rPr>
          <w:rFonts w:ascii="Arial" w:hAnsi="Arial" w:cs="Arial"/>
          <w:b/>
          <w:bCs/>
          <w:color w:val="000000"/>
        </w:rPr>
        <w:t>PROMUOVERE LA CONOSCENZA DEGLI ISTITUTI DI COMPOSIZIONE DELLA CRISI </w:t>
      </w:r>
    </w:p>
    <w:p w14:paraId="0E804D7F" w14:textId="77777777" w:rsidR="00625A75" w:rsidRPr="00625A75" w:rsidRDefault="00625A75" w:rsidP="00625A75">
      <w:pPr>
        <w:jc w:val="both"/>
        <w:rPr>
          <w:rFonts w:ascii="Arial" w:hAnsi="Arial" w:cs="Arial"/>
          <w:color w:val="000000"/>
        </w:rPr>
      </w:pPr>
      <w:r w:rsidRPr="00625A75">
        <w:rPr>
          <w:rFonts w:ascii="Arial" w:hAnsi="Arial" w:cs="Arial"/>
          <w:color w:val="000000"/>
        </w:rPr>
        <w:t xml:space="preserve">“Il sondaggio - commenta </w:t>
      </w:r>
      <w:r w:rsidRPr="00625A75">
        <w:rPr>
          <w:rFonts w:ascii="Arial" w:hAnsi="Arial" w:cs="Arial"/>
          <w:b/>
          <w:bCs/>
          <w:color w:val="000000"/>
        </w:rPr>
        <w:t>Massimo Miani</w:t>
      </w:r>
      <w:r w:rsidRPr="00625A75">
        <w:rPr>
          <w:rFonts w:ascii="Arial" w:hAnsi="Arial" w:cs="Arial"/>
          <w:color w:val="000000"/>
        </w:rPr>
        <w:t xml:space="preserve">, presidente del Consiglio nazionale dei commercialisti </w:t>
      </w:r>
      <w:r w:rsidRPr="00625A75">
        <w:rPr>
          <w:rFonts w:ascii="Arial" w:hAnsi="Arial" w:cs="Arial"/>
          <w:i/>
          <w:iCs/>
          <w:color w:val="000000"/>
        </w:rPr>
        <w:t xml:space="preserve">- </w:t>
      </w:r>
      <w:r w:rsidRPr="00625A75">
        <w:rPr>
          <w:rFonts w:ascii="Arial" w:hAnsi="Arial" w:cs="Arial"/>
          <w:color w:val="000000"/>
        </w:rPr>
        <w:t xml:space="preserve">mostra come, sebbene attualmente la situazione di difficoltà sia ancora </w:t>
      </w:r>
      <w:r w:rsidRPr="00625A75">
        <w:rPr>
          <w:rFonts w:ascii="Arial" w:hAnsi="Arial" w:cs="Arial"/>
          <w:b/>
          <w:bCs/>
          <w:color w:val="000000"/>
        </w:rPr>
        <w:t>sotto controllo</w:t>
      </w:r>
      <w:r w:rsidRPr="00625A75">
        <w:rPr>
          <w:rFonts w:ascii="Arial" w:hAnsi="Arial" w:cs="Arial"/>
          <w:color w:val="000000"/>
        </w:rPr>
        <w:t xml:space="preserve">, una </w:t>
      </w:r>
      <w:r w:rsidRPr="00625A75">
        <w:rPr>
          <w:rFonts w:ascii="Arial" w:hAnsi="Arial" w:cs="Arial"/>
          <w:bCs/>
          <w:color w:val="000000"/>
        </w:rPr>
        <w:t xml:space="preserve">prima, ancora abbastanza contenuta, ondata di insolvenze potrebbe generarsi nella seconda metà del 2021, per poi </w:t>
      </w:r>
      <w:r w:rsidRPr="00625A75">
        <w:rPr>
          <w:rFonts w:ascii="Arial" w:hAnsi="Arial" w:cs="Arial"/>
          <w:b/>
          <w:bCs/>
          <w:color w:val="000000"/>
        </w:rPr>
        <w:t xml:space="preserve">dilagare nel corso del 2022 e negli anni seguenti. </w:t>
      </w:r>
      <w:r w:rsidRPr="00625A75">
        <w:rPr>
          <w:rFonts w:ascii="Arial" w:hAnsi="Arial" w:cs="Arial"/>
          <w:bCs/>
          <w:color w:val="000000"/>
        </w:rPr>
        <w:t xml:space="preserve">Quando la “bolla” degli aiuti governativi esploderà la situazione potrebbe degenerare con </w:t>
      </w:r>
      <w:r w:rsidRPr="00625A75">
        <w:rPr>
          <w:rFonts w:ascii="Arial" w:hAnsi="Arial" w:cs="Arial"/>
          <w:b/>
          <w:bCs/>
          <w:color w:val="000000"/>
        </w:rPr>
        <w:t>conseguenze economicamente disastrose”.</w:t>
      </w:r>
      <w:r w:rsidRPr="00625A75">
        <w:rPr>
          <w:rFonts w:ascii="Arial" w:hAnsi="Arial" w:cs="Arial"/>
          <w:bCs/>
          <w:color w:val="000000"/>
        </w:rPr>
        <w:t xml:space="preserve"> Miani</w:t>
      </w:r>
      <w:r w:rsidRPr="00625A75">
        <w:rPr>
          <w:rFonts w:ascii="Arial" w:hAnsi="Arial" w:cs="Arial"/>
          <w:color w:val="000000"/>
        </w:rPr>
        <w:t xml:space="preserve"> ricorda come nell’ultimo anno il Consiglio Nazionale dei Commercialisti abbia “profuso </w:t>
      </w:r>
      <w:r w:rsidRPr="00625A75">
        <w:rPr>
          <w:rFonts w:ascii="Arial" w:hAnsi="Arial" w:cs="Arial"/>
          <w:b/>
          <w:bCs/>
          <w:color w:val="000000"/>
        </w:rPr>
        <w:t>grande impegno</w:t>
      </w:r>
      <w:r w:rsidRPr="00625A75">
        <w:rPr>
          <w:rFonts w:ascii="Arial" w:hAnsi="Arial" w:cs="Arial"/>
          <w:color w:val="000000"/>
        </w:rPr>
        <w:t xml:space="preserve"> per instaurare una collaborazione sinergica con le </w:t>
      </w:r>
      <w:r w:rsidRPr="00625A75">
        <w:rPr>
          <w:rFonts w:ascii="Arial" w:hAnsi="Arial" w:cs="Arial"/>
          <w:b/>
          <w:bCs/>
          <w:color w:val="000000"/>
        </w:rPr>
        <w:t>istituzioni</w:t>
      </w:r>
      <w:r w:rsidRPr="00625A75">
        <w:rPr>
          <w:rFonts w:ascii="Arial" w:hAnsi="Arial" w:cs="Arial"/>
          <w:color w:val="000000"/>
        </w:rPr>
        <w:t xml:space="preserve"> volta a sostenere le difficoltà economiche e finanziarie anche dei piccoli imprenditori e a offrire loro soluzioni utili per affrontare la crisi prima che questa diventi </w:t>
      </w:r>
      <w:r w:rsidRPr="00625A75">
        <w:rPr>
          <w:rFonts w:ascii="Arial" w:hAnsi="Arial" w:cs="Arial"/>
          <w:b/>
          <w:bCs/>
          <w:color w:val="000000"/>
        </w:rPr>
        <w:t>irreversibile”.  </w:t>
      </w:r>
    </w:p>
    <w:p w14:paraId="6B29B07D" w14:textId="0707ABBF" w:rsidR="00625A75" w:rsidRPr="00625A75" w:rsidRDefault="00625A75" w:rsidP="00625A75">
      <w:pPr>
        <w:jc w:val="both"/>
        <w:rPr>
          <w:rFonts w:ascii="Arial" w:hAnsi="Arial" w:cs="Arial"/>
          <w:color w:val="000000"/>
        </w:rPr>
      </w:pPr>
      <w:r w:rsidRPr="00625A75">
        <w:rPr>
          <w:rFonts w:ascii="Arial" w:hAnsi="Arial" w:cs="Arial"/>
          <w:b/>
          <w:bCs/>
          <w:color w:val="000000"/>
        </w:rPr>
        <w:t xml:space="preserve">Valeria Giancola, </w:t>
      </w:r>
      <w:r w:rsidRPr="00625A75">
        <w:rPr>
          <w:rFonts w:ascii="Arial" w:hAnsi="Arial" w:cs="Arial"/>
          <w:color w:val="000000"/>
        </w:rPr>
        <w:t>consigliere nazionale della categoria delegata al sovraindebitamento,</w:t>
      </w:r>
      <w:r w:rsidRPr="00625A75">
        <w:rPr>
          <w:rFonts w:ascii="Arial" w:hAnsi="Arial" w:cs="Arial"/>
          <w:b/>
          <w:bCs/>
          <w:color w:val="000000"/>
        </w:rPr>
        <w:t xml:space="preserve"> </w:t>
      </w:r>
      <w:r w:rsidRPr="00625A75">
        <w:rPr>
          <w:rFonts w:ascii="Arial" w:hAnsi="Arial" w:cs="Arial"/>
          <w:color w:val="000000"/>
        </w:rPr>
        <w:t xml:space="preserve">sottolinea come dal sondaggio emerga anche “la necessità di insistere nell’attività di </w:t>
      </w:r>
      <w:r w:rsidRPr="00625A75">
        <w:rPr>
          <w:rFonts w:ascii="Arial" w:hAnsi="Arial" w:cs="Arial"/>
          <w:b/>
          <w:bCs/>
          <w:color w:val="000000"/>
        </w:rPr>
        <w:t xml:space="preserve">promozione, conoscenza e diffusione </w:t>
      </w:r>
      <w:r w:rsidRPr="00625A75">
        <w:rPr>
          <w:rFonts w:ascii="Arial" w:hAnsi="Arial" w:cs="Arial"/>
          <w:bCs/>
          <w:color w:val="000000"/>
        </w:rPr>
        <w:t xml:space="preserve">delle potenzialità, in termini di </w:t>
      </w:r>
      <w:r w:rsidRPr="00625A75">
        <w:rPr>
          <w:rFonts w:ascii="Arial" w:hAnsi="Arial" w:cs="Arial"/>
          <w:b/>
          <w:bCs/>
          <w:color w:val="000000"/>
        </w:rPr>
        <w:t>esdebitazione</w:t>
      </w:r>
      <w:r w:rsidRPr="00625A75">
        <w:rPr>
          <w:rFonts w:ascii="Arial" w:hAnsi="Arial" w:cs="Arial"/>
          <w:bCs/>
          <w:color w:val="000000"/>
        </w:rPr>
        <w:t xml:space="preserve">, che la </w:t>
      </w:r>
      <w:r w:rsidRPr="00625A75">
        <w:rPr>
          <w:rFonts w:ascii="Arial" w:hAnsi="Arial" w:cs="Arial"/>
          <w:b/>
          <w:bCs/>
          <w:color w:val="000000"/>
        </w:rPr>
        <w:t>legge n. 3/2012</w:t>
      </w:r>
      <w:r w:rsidRPr="00625A75">
        <w:rPr>
          <w:rFonts w:ascii="Arial" w:hAnsi="Arial" w:cs="Arial"/>
          <w:bCs/>
          <w:color w:val="000000"/>
        </w:rPr>
        <w:t xml:space="preserve"> può offrire ai soggetti in stato di </w:t>
      </w:r>
      <w:r w:rsidRPr="00625A75">
        <w:rPr>
          <w:rFonts w:ascii="Arial" w:hAnsi="Arial" w:cs="Arial"/>
          <w:b/>
          <w:bCs/>
          <w:color w:val="000000"/>
        </w:rPr>
        <w:t>sovraindebitamento</w:t>
      </w:r>
      <w:r w:rsidRPr="00625A75">
        <w:rPr>
          <w:rFonts w:ascii="Arial" w:hAnsi="Arial" w:cs="Arial"/>
          <w:bCs/>
          <w:color w:val="000000"/>
        </w:rPr>
        <w:t xml:space="preserve"> tramite l’ausilio degli </w:t>
      </w:r>
      <w:r w:rsidRPr="00625A75">
        <w:rPr>
          <w:rFonts w:ascii="Arial" w:hAnsi="Arial" w:cs="Arial"/>
          <w:b/>
          <w:bCs/>
          <w:color w:val="000000"/>
        </w:rPr>
        <w:t>Organismi di composizione della crisi</w:t>
      </w:r>
      <w:r w:rsidRPr="00625A75">
        <w:rPr>
          <w:rFonts w:ascii="Arial" w:hAnsi="Arial" w:cs="Arial"/>
          <w:bCs/>
          <w:color w:val="000000"/>
        </w:rPr>
        <w:t>. L</w:t>
      </w:r>
      <w:r w:rsidRPr="00625A75">
        <w:rPr>
          <w:rFonts w:ascii="Arial" w:hAnsi="Arial" w:cs="Arial"/>
          <w:color w:val="000000"/>
        </w:rPr>
        <w:t xml:space="preserve">’accesso agli istituti di composizione della crisi presso gli OCC costituiti negli Ordini locali dei commercialisti, dimostrano, infatti, un </w:t>
      </w:r>
      <w:r w:rsidRPr="00625A75">
        <w:rPr>
          <w:rFonts w:ascii="Arial" w:hAnsi="Arial" w:cs="Arial"/>
          <w:b/>
          <w:bCs/>
          <w:color w:val="000000"/>
        </w:rPr>
        <w:t>utilizzo</w:t>
      </w:r>
      <w:r w:rsidRPr="00625A75">
        <w:rPr>
          <w:rFonts w:ascii="Arial" w:hAnsi="Arial" w:cs="Arial"/>
          <w:color w:val="000000"/>
        </w:rPr>
        <w:t xml:space="preserve"> </w:t>
      </w:r>
      <w:r w:rsidRPr="00625A75">
        <w:rPr>
          <w:rFonts w:ascii="Arial" w:hAnsi="Arial" w:cs="Arial"/>
          <w:b/>
          <w:bCs/>
          <w:color w:val="000000"/>
        </w:rPr>
        <w:t>contenuto</w:t>
      </w:r>
      <w:r w:rsidRPr="00625A75">
        <w:rPr>
          <w:rFonts w:ascii="Arial" w:hAnsi="Arial" w:cs="Arial"/>
          <w:color w:val="000000"/>
        </w:rPr>
        <w:t xml:space="preserve"> di tali procedure durante la fase pandemica. B</w:t>
      </w:r>
      <w:r w:rsidRPr="00625A75">
        <w:rPr>
          <w:rFonts w:ascii="Arial" w:hAnsi="Arial" w:cs="Arial"/>
          <w:color w:val="000000"/>
          <w:shd w:val="clear" w:color="auto" w:fill="FFFFFF"/>
        </w:rPr>
        <w:t xml:space="preserve">isogna </w:t>
      </w:r>
      <w:r w:rsidRPr="00625A75">
        <w:rPr>
          <w:rFonts w:ascii="Arial" w:hAnsi="Arial" w:cs="Arial"/>
          <w:b/>
          <w:bCs/>
          <w:color w:val="000000"/>
          <w:shd w:val="clear" w:color="auto" w:fill="FFFFFF"/>
        </w:rPr>
        <w:t>promuovere la conoscenza</w:t>
      </w:r>
      <w:r w:rsidRPr="00625A75">
        <w:rPr>
          <w:rFonts w:ascii="Arial" w:hAnsi="Arial" w:cs="Arial"/>
          <w:color w:val="000000"/>
          <w:shd w:val="clear" w:color="auto" w:fill="FFFFFF"/>
        </w:rPr>
        <w:t xml:space="preserve"> di questi istituti e degli </w:t>
      </w:r>
      <w:r w:rsidRPr="00625A75">
        <w:rPr>
          <w:rFonts w:ascii="Arial" w:hAnsi="Arial" w:cs="Arial"/>
          <w:b/>
          <w:bCs/>
          <w:color w:val="000000"/>
          <w:shd w:val="clear" w:color="auto" w:fill="FFFFFF"/>
        </w:rPr>
        <w:t xml:space="preserve">aiuti antiracket e </w:t>
      </w:r>
      <w:r w:rsidRPr="00625A75">
        <w:rPr>
          <w:rFonts w:ascii="Arial" w:hAnsi="Arial" w:cs="Arial"/>
          <w:b/>
          <w:bCs/>
          <w:color w:val="000000"/>
          <w:shd w:val="clear" w:color="auto" w:fill="FFFFFF"/>
        </w:rPr>
        <w:lastRenderedPageBreak/>
        <w:t>antiusura</w:t>
      </w:r>
      <w:r w:rsidRPr="00625A75">
        <w:rPr>
          <w:rFonts w:ascii="Arial" w:hAnsi="Arial" w:cs="Arial"/>
          <w:color w:val="000000"/>
          <w:shd w:val="clear" w:color="auto" w:fill="FFFFFF"/>
        </w:rPr>
        <w:t xml:space="preserve"> per sbarrare la strada alla </w:t>
      </w:r>
      <w:r w:rsidRPr="00625A75">
        <w:rPr>
          <w:rFonts w:ascii="Arial" w:hAnsi="Arial" w:cs="Arial"/>
          <w:b/>
          <w:bCs/>
          <w:color w:val="000000"/>
          <w:shd w:val="clear" w:color="auto" w:fill="FFFFFF"/>
        </w:rPr>
        <w:t>criminalità organizzata</w:t>
      </w:r>
      <w:r w:rsidRPr="00625A75">
        <w:rPr>
          <w:rFonts w:ascii="Arial" w:hAnsi="Arial" w:cs="Arial"/>
          <w:color w:val="000000"/>
          <w:shd w:val="clear" w:color="auto" w:fill="FFFFFF"/>
        </w:rPr>
        <w:t xml:space="preserve"> e risolvere la crisi di cittadini, piccole aziende e professionisti</w:t>
      </w:r>
      <w:r w:rsidRPr="00625A75">
        <w:rPr>
          <w:rFonts w:ascii="Arial" w:hAnsi="Arial" w:cs="Arial"/>
          <w:color w:val="000000"/>
        </w:rPr>
        <w:t xml:space="preserve">”. “I procedimenti destinati a risolvere le crisi dei soggetti non fallibili devono essere considerati come un’importante risorsa per la </w:t>
      </w:r>
      <w:r w:rsidRPr="00625A75">
        <w:rPr>
          <w:rFonts w:ascii="Arial" w:hAnsi="Arial" w:cs="Arial"/>
          <w:b/>
          <w:bCs/>
          <w:color w:val="000000"/>
        </w:rPr>
        <w:t>ripartenza del Paese</w:t>
      </w:r>
      <w:r w:rsidRPr="00625A75">
        <w:rPr>
          <w:rFonts w:ascii="Arial" w:hAnsi="Arial" w:cs="Arial"/>
          <w:color w:val="000000"/>
        </w:rPr>
        <w:t xml:space="preserve"> ed è necessario lavorare affinché gli istituti previsti dalla normativa sul sovraindebitamento vengano </w:t>
      </w:r>
      <w:r w:rsidRPr="00625A75">
        <w:rPr>
          <w:rFonts w:ascii="Arial" w:hAnsi="Arial" w:cs="Arial"/>
          <w:b/>
          <w:bCs/>
          <w:color w:val="000000"/>
        </w:rPr>
        <w:t>fortemente semplificati</w:t>
      </w:r>
      <w:r w:rsidRPr="00625A75">
        <w:rPr>
          <w:rFonts w:ascii="Arial" w:hAnsi="Arial" w:cs="Arial"/>
          <w:color w:val="000000"/>
        </w:rPr>
        <w:t xml:space="preserve"> per favorirne il concreto utilizzo”, conclude Giancola.</w:t>
      </w:r>
    </w:p>
    <w:p w14:paraId="4C5465F3" w14:textId="77777777" w:rsidR="00625A75" w:rsidRPr="00625A75" w:rsidRDefault="00625A75" w:rsidP="00625A75">
      <w:pPr>
        <w:jc w:val="both"/>
        <w:rPr>
          <w:rFonts w:ascii="Arial" w:hAnsi="Arial" w:cs="Arial"/>
          <w:color w:val="000000"/>
        </w:rPr>
      </w:pPr>
    </w:p>
    <w:p w14:paraId="3964A3D2" w14:textId="77777777" w:rsidR="00625A75" w:rsidRPr="00625A75" w:rsidRDefault="00625A75" w:rsidP="00625A75">
      <w:pPr>
        <w:jc w:val="both"/>
        <w:rPr>
          <w:rFonts w:ascii="Arial" w:hAnsi="Arial" w:cs="Arial"/>
          <w:color w:val="000000"/>
        </w:rPr>
      </w:pPr>
      <w:r w:rsidRPr="00625A75">
        <w:rPr>
          <w:rFonts w:ascii="Arial" w:hAnsi="Arial" w:cs="Arial"/>
          <w:b/>
          <w:bCs/>
          <w:color w:val="000000"/>
        </w:rPr>
        <w:t>QUALI SONO LE IMPRESE NON FALLIBILI </w:t>
      </w:r>
    </w:p>
    <w:p w14:paraId="64ED853B" w14:textId="77777777" w:rsidR="00625A75" w:rsidRPr="00625A75" w:rsidRDefault="00625A75" w:rsidP="00625A75">
      <w:pPr>
        <w:pStyle w:val="Testonotaapidipagina"/>
        <w:jc w:val="both"/>
        <w:rPr>
          <w:rFonts w:ascii="Arial" w:hAnsi="Arial" w:cs="Arial"/>
          <w:color w:val="000000"/>
          <w:sz w:val="22"/>
          <w:szCs w:val="22"/>
        </w:rPr>
      </w:pPr>
      <w:r w:rsidRPr="00625A75">
        <w:rPr>
          <w:rFonts w:ascii="Arial" w:hAnsi="Arial" w:cs="Arial"/>
          <w:color w:val="000000"/>
          <w:sz w:val="22"/>
          <w:szCs w:val="22"/>
        </w:rPr>
        <w:t xml:space="preserve">Per imprese non fallibili si intendono le </w:t>
      </w:r>
      <w:r w:rsidRPr="00625A75">
        <w:rPr>
          <w:rFonts w:ascii="Arial" w:hAnsi="Arial" w:cs="Arial"/>
          <w:b/>
          <w:bCs/>
          <w:color w:val="000000"/>
          <w:sz w:val="22"/>
          <w:szCs w:val="22"/>
        </w:rPr>
        <w:t>imprese agricole e le imprese commerciali</w:t>
      </w:r>
      <w:r w:rsidRPr="00625A75">
        <w:rPr>
          <w:rFonts w:ascii="Arial" w:hAnsi="Arial" w:cs="Arial"/>
          <w:color w:val="000000"/>
          <w:sz w:val="22"/>
          <w:szCs w:val="22"/>
        </w:rPr>
        <w:t xml:space="preserve"> che non sono soggette alle disposizioni sul fallimento. Con riguardo a queste ultime non sono soggetti alle disposizioni del fallimento e del concordato preventivo gli imprenditori che esercitano un’attività commerciale, i quali dimostrino il possesso congiunto dei seguenti requisiti: </w:t>
      </w:r>
    </w:p>
    <w:p w14:paraId="071D0F64" w14:textId="77777777" w:rsidR="00625A75" w:rsidRPr="00625A75" w:rsidRDefault="00625A75" w:rsidP="00625A75">
      <w:pPr>
        <w:pStyle w:val="Testonotaapidipagina"/>
        <w:jc w:val="both"/>
        <w:rPr>
          <w:rFonts w:ascii="Arial" w:hAnsi="Arial" w:cs="Arial"/>
          <w:color w:val="000000"/>
          <w:sz w:val="22"/>
          <w:szCs w:val="22"/>
        </w:rPr>
      </w:pPr>
      <w:r w:rsidRPr="00625A75">
        <w:rPr>
          <w:rFonts w:ascii="Arial" w:hAnsi="Arial" w:cs="Arial"/>
          <w:color w:val="000000"/>
          <w:sz w:val="22"/>
          <w:szCs w:val="22"/>
        </w:rPr>
        <w:t xml:space="preserve">a) aver avuto, </w:t>
      </w:r>
      <w:r w:rsidRPr="00625A75">
        <w:rPr>
          <w:rFonts w:ascii="Arial" w:hAnsi="Arial" w:cs="Arial"/>
          <w:b/>
          <w:bCs/>
          <w:color w:val="000000"/>
          <w:sz w:val="22"/>
          <w:szCs w:val="22"/>
        </w:rPr>
        <w:t>nei tre esercizi antecedenti</w:t>
      </w:r>
      <w:r w:rsidRPr="00625A75">
        <w:rPr>
          <w:rFonts w:ascii="Arial" w:hAnsi="Arial" w:cs="Arial"/>
          <w:color w:val="000000"/>
          <w:sz w:val="22"/>
          <w:szCs w:val="22"/>
        </w:rPr>
        <w:t xml:space="preserve"> la data di deposito della istanza di fallimento o dall’inizio dell’attività se di durata inferiore, un </w:t>
      </w:r>
      <w:r w:rsidRPr="00625A75">
        <w:rPr>
          <w:rFonts w:ascii="Arial" w:hAnsi="Arial" w:cs="Arial"/>
          <w:b/>
          <w:bCs/>
          <w:color w:val="000000"/>
          <w:sz w:val="22"/>
          <w:szCs w:val="22"/>
        </w:rPr>
        <w:t>attivo patrimoniale</w:t>
      </w:r>
      <w:r w:rsidRPr="00625A75">
        <w:rPr>
          <w:rFonts w:ascii="Arial" w:hAnsi="Arial" w:cs="Arial"/>
          <w:color w:val="000000"/>
          <w:sz w:val="22"/>
          <w:szCs w:val="22"/>
        </w:rPr>
        <w:t xml:space="preserve"> di ammontare complessivo annuo </w:t>
      </w:r>
      <w:r w:rsidRPr="00625A75">
        <w:rPr>
          <w:rFonts w:ascii="Arial" w:hAnsi="Arial" w:cs="Arial"/>
          <w:b/>
          <w:bCs/>
          <w:color w:val="000000"/>
          <w:sz w:val="22"/>
          <w:szCs w:val="22"/>
        </w:rPr>
        <w:t>non superiore ad euro trecentomila</w:t>
      </w:r>
      <w:r w:rsidRPr="00625A75">
        <w:rPr>
          <w:rFonts w:ascii="Arial" w:hAnsi="Arial" w:cs="Arial"/>
          <w:color w:val="000000"/>
          <w:sz w:val="22"/>
          <w:szCs w:val="22"/>
        </w:rPr>
        <w:t>; </w:t>
      </w:r>
    </w:p>
    <w:p w14:paraId="00E41279" w14:textId="77777777" w:rsidR="00625A75" w:rsidRPr="00625A75" w:rsidRDefault="00625A75" w:rsidP="00625A75">
      <w:pPr>
        <w:pStyle w:val="Testonotaapidipagina"/>
        <w:jc w:val="both"/>
        <w:rPr>
          <w:rFonts w:ascii="Arial" w:hAnsi="Arial" w:cs="Arial"/>
          <w:color w:val="000000"/>
          <w:sz w:val="22"/>
          <w:szCs w:val="22"/>
        </w:rPr>
      </w:pPr>
      <w:r w:rsidRPr="00625A75">
        <w:rPr>
          <w:rFonts w:ascii="Arial" w:hAnsi="Arial" w:cs="Arial"/>
          <w:color w:val="000000"/>
          <w:sz w:val="22"/>
          <w:szCs w:val="22"/>
        </w:rPr>
        <w:t xml:space="preserve">b) aver realizzato, in qualunque modo risulti, </w:t>
      </w:r>
      <w:r w:rsidRPr="00625A75">
        <w:rPr>
          <w:rFonts w:ascii="Arial" w:hAnsi="Arial" w:cs="Arial"/>
          <w:b/>
          <w:bCs/>
          <w:color w:val="000000"/>
          <w:sz w:val="22"/>
          <w:szCs w:val="22"/>
        </w:rPr>
        <w:t>nei tre esercizi antecedenti</w:t>
      </w:r>
      <w:r w:rsidRPr="00625A75">
        <w:rPr>
          <w:rFonts w:ascii="Arial" w:hAnsi="Arial" w:cs="Arial"/>
          <w:color w:val="000000"/>
          <w:sz w:val="22"/>
          <w:szCs w:val="22"/>
        </w:rPr>
        <w:t xml:space="preserve"> la data di deposito dell’istanza di fallimento o dall’inizio dell’attività se di durata inferiore, </w:t>
      </w:r>
      <w:r w:rsidRPr="00625A75">
        <w:rPr>
          <w:rFonts w:ascii="Arial" w:hAnsi="Arial" w:cs="Arial"/>
          <w:b/>
          <w:bCs/>
          <w:color w:val="000000"/>
          <w:sz w:val="22"/>
          <w:szCs w:val="22"/>
        </w:rPr>
        <w:t>ricavi lordi</w:t>
      </w:r>
      <w:r w:rsidRPr="00625A75">
        <w:rPr>
          <w:rFonts w:ascii="Arial" w:hAnsi="Arial" w:cs="Arial"/>
          <w:color w:val="000000"/>
          <w:sz w:val="22"/>
          <w:szCs w:val="22"/>
        </w:rPr>
        <w:t xml:space="preserve"> per un ammontare complessivo annuo </w:t>
      </w:r>
      <w:r w:rsidRPr="00625A75">
        <w:rPr>
          <w:rFonts w:ascii="Arial" w:hAnsi="Arial" w:cs="Arial"/>
          <w:b/>
          <w:bCs/>
          <w:color w:val="000000"/>
          <w:sz w:val="22"/>
          <w:szCs w:val="22"/>
        </w:rPr>
        <w:t>non superiore ad euro duecentomila</w:t>
      </w:r>
      <w:r w:rsidRPr="00625A75">
        <w:rPr>
          <w:rFonts w:ascii="Arial" w:hAnsi="Arial" w:cs="Arial"/>
          <w:color w:val="000000"/>
          <w:sz w:val="22"/>
          <w:szCs w:val="22"/>
        </w:rPr>
        <w:t>. </w:t>
      </w:r>
    </w:p>
    <w:p w14:paraId="48A566B3" w14:textId="77777777" w:rsidR="00625A75" w:rsidRPr="00625A75" w:rsidRDefault="00625A75" w:rsidP="00625A75">
      <w:pPr>
        <w:rPr>
          <w:rFonts w:ascii="Arial" w:eastAsia="Times New Roman" w:hAnsi="Arial" w:cs="Arial"/>
          <w:color w:val="000000"/>
        </w:rPr>
      </w:pPr>
      <w:r w:rsidRPr="00625A75">
        <w:rPr>
          <w:rFonts w:ascii="Arial" w:hAnsi="Arial" w:cs="Arial"/>
          <w:color w:val="000000"/>
          <w:lang w:eastAsia="en-US"/>
        </w:rPr>
        <w:t xml:space="preserve">c) avere un </w:t>
      </w:r>
      <w:r w:rsidRPr="00625A75">
        <w:rPr>
          <w:rFonts w:ascii="Arial" w:hAnsi="Arial" w:cs="Arial"/>
          <w:b/>
          <w:bCs/>
          <w:color w:val="000000"/>
          <w:lang w:eastAsia="en-US"/>
        </w:rPr>
        <w:t>ammontare di debiti</w:t>
      </w:r>
      <w:r w:rsidRPr="00625A75">
        <w:rPr>
          <w:rFonts w:ascii="Arial" w:hAnsi="Arial" w:cs="Arial"/>
          <w:color w:val="000000"/>
          <w:lang w:eastAsia="en-US"/>
        </w:rPr>
        <w:t xml:space="preserve"> anche non scaduti non superiore ad euro </w:t>
      </w:r>
      <w:r w:rsidRPr="00625A75">
        <w:rPr>
          <w:rFonts w:ascii="Arial" w:hAnsi="Arial" w:cs="Arial"/>
          <w:b/>
          <w:bCs/>
          <w:color w:val="000000"/>
          <w:lang w:eastAsia="en-US"/>
        </w:rPr>
        <w:t>cinquecentomila.</w:t>
      </w:r>
    </w:p>
    <w:p w14:paraId="0195E16D" w14:textId="51371F16" w:rsidR="009258D3" w:rsidRPr="00970425" w:rsidRDefault="009258D3" w:rsidP="00625A75">
      <w:pPr>
        <w:jc w:val="center"/>
        <w:rPr>
          <w:rFonts w:ascii="Arial" w:hAnsi="Arial" w:cs="Arial"/>
          <w:color w:val="4472C4" w:themeColor="accent1"/>
          <w:sz w:val="24"/>
          <w:szCs w:val="24"/>
        </w:rPr>
      </w:pPr>
    </w:p>
    <w:sectPr w:rsidR="009258D3" w:rsidRPr="00970425">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3D641" w14:textId="77777777" w:rsidR="006F510E" w:rsidRDefault="006F510E" w:rsidP="00C244F9">
      <w:r>
        <w:separator/>
      </w:r>
    </w:p>
  </w:endnote>
  <w:endnote w:type="continuationSeparator" w:id="0">
    <w:p w14:paraId="61EA783F" w14:textId="77777777" w:rsidR="006F510E" w:rsidRDefault="006F510E" w:rsidP="00C24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9CC91" w14:textId="77777777" w:rsidR="006F510E" w:rsidRDefault="006F510E" w:rsidP="00C244F9">
      <w:r>
        <w:separator/>
      </w:r>
    </w:p>
  </w:footnote>
  <w:footnote w:type="continuationSeparator" w:id="0">
    <w:p w14:paraId="0ED258E4" w14:textId="77777777" w:rsidR="006F510E" w:rsidRDefault="006F510E" w:rsidP="00C244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27E8B" w14:textId="541D4363" w:rsidR="00C244F9" w:rsidRDefault="00C244F9" w:rsidP="00C244F9">
    <w:pPr>
      <w:pStyle w:val="Intestazione"/>
      <w:jc w:val="center"/>
    </w:pPr>
    <w:r>
      <w:rPr>
        <w:noProof/>
      </w:rPr>
      <w:drawing>
        <wp:inline distT="0" distB="0" distL="0" distR="0" wp14:anchorId="50839309" wp14:editId="265CBC06">
          <wp:extent cx="2878837" cy="977867"/>
          <wp:effectExtent l="0" t="0" r="0" b="0"/>
          <wp:docPr id="1"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DC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7815" cy="987710"/>
                  </a:xfrm>
                  <a:prstGeom prst="rect">
                    <a:avLst/>
                  </a:prstGeom>
                  <a:noFill/>
                  <a:ln>
                    <a:noFill/>
                  </a:ln>
                </pic:spPr>
              </pic:pic>
            </a:graphicData>
          </a:graphic>
        </wp:inline>
      </w:drawing>
    </w:r>
  </w:p>
  <w:p w14:paraId="01AF0B14" w14:textId="348486D0" w:rsidR="008C37D4" w:rsidRPr="002B78A5" w:rsidRDefault="008C37D4" w:rsidP="00C244F9">
    <w:pPr>
      <w:pStyle w:val="Intestazione"/>
      <w:jc w:val="center"/>
      <w:rPr>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4F9"/>
    <w:rsid w:val="00012B13"/>
    <w:rsid w:val="000B1BD1"/>
    <w:rsid w:val="000B235F"/>
    <w:rsid w:val="000D60C6"/>
    <w:rsid w:val="00137250"/>
    <w:rsid w:val="00144BD8"/>
    <w:rsid w:val="002134B6"/>
    <w:rsid w:val="0029157E"/>
    <w:rsid w:val="002B78A5"/>
    <w:rsid w:val="002C41B2"/>
    <w:rsid w:val="0031138F"/>
    <w:rsid w:val="00370316"/>
    <w:rsid w:val="003773A3"/>
    <w:rsid w:val="003935EA"/>
    <w:rsid w:val="003A38DF"/>
    <w:rsid w:val="003C2E00"/>
    <w:rsid w:val="003E3FF8"/>
    <w:rsid w:val="00410906"/>
    <w:rsid w:val="00502804"/>
    <w:rsid w:val="00542E37"/>
    <w:rsid w:val="005767F1"/>
    <w:rsid w:val="00587287"/>
    <w:rsid w:val="00605191"/>
    <w:rsid w:val="00625A75"/>
    <w:rsid w:val="00656D74"/>
    <w:rsid w:val="0066467C"/>
    <w:rsid w:val="006E1DC0"/>
    <w:rsid w:val="006F4EC2"/>
    <w:rsid w:val="006F510E"/>
    <w:rsid w:val="0081049B"/>
    <w:rsid w:val="00813B39"/>
    <w:rsid w:val="0084615F"/>
    <w:rsid w:val="008C37D4"/>
    <w:rsid w:val="009258D3"/>
    <w:rsid w:val="00970425"/>
    <w:rsid w:val="00975BF5"/>
    <w:rsid w:val="009C53C6"/>
    <w:rsid w:val="009F4D75"/>
    <w:rsid w:val="00A604B1"/>
    <w:rsid w:val="00A866E4"/>
    <w:rsid w:val="00AE2BCB"/>
    <w:rsid w:val="00B46E7F"/>
    <w:rsid w:val="00B73BD6"/>
    <w:rsid w:val="00B8662E"/>
    <w:rsid w:val="00BB3D1D"/>
    <w:rsid w:val="00C244F9"/>
    <w:rsid w:val="00C97567"/>
    <w:rsid w:val="00CA5E3D"/>
    <w:rsid w:val="00D06F3A"/>
    <w:rsid w:val="00D36B59"/>
    <w:rsid w:val="00D64987"/>
    <w:rsid w:val="00D85101"/>
    <w:rsid w:val="00DA5884"/>
    <w:rsid w:val="00DC5903"/>
    <w:rsid w:val="00DD1BB9"/>
    <w:rsid w:val="00DF6872"/>
    <w:rsid w:val="00E00966"/>
    <w:rsid w:val="00E3699E"/>
    <w:rsid w:val="00E47BE0"/>
    <w:rsid w:val="00E50272"/>
    <w:rsid w:val="00E507D0"/>
    <w:rsid w:val="00E7217A"/>
    <w:rsid w:val="00E975F4"/>
    <w:rsid w:val="00EC2930"/>
    <w:rsid w:val="00F04783"/>
    <w:rsid w:val="00F362C1"/>
    <w:rsid w:val="00F6642C"/>
    <w:rsid w:val="00FD48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9852A5"/>
  <w15:chartTrackingRefBased/>
  <w15:docId w15:val="{030504FF-E718-46CD-8B26-BAD598159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25A75"/>
    <w:pPr>
      <w:spacing w:after="0" w:line="240" w:lineRule="auto"/>
    </w:pPr>
    <w:rPr>
      <w:rFonts w:ascii="Calibri" w:hAnsi="Calibri" w:cs="Calibri"/>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244F9"/>
    <w:pPr>
      <w:tabs>
        <w:tab w:val="center" w:pos="4819"/>
        <w:tab w:val="right" w:pos="9638"/>
      </w:tabs>
    </w:pPr>
    <w:rPr>
      <w:rFonts w:asciiTheme="minorHAnsi" w:hAnsiTheme="minorHAnsi" w:cstheme="minorBidi"/>
      <w:lang w:eastAsia="en-US"/>
    </w:rPr>
  </w:style>
  <w:style w:type="character" w:customStyle="1" w:styleId="IntestazioneCarattere">
    <w:name w:val="Intestazione Carattere"/>
    <w:basedOn w:val="Carpredefinitoparagrafo"/>
    <w:link w:val="Intestazione"/>
    <w:uiPriority w:val="99"/>
    <w:rsid w:val="00C244F9"/>
  </w:style>
  <w:style w:type="paragraph" w:styleId="Pidipagina">
    <w:name w:val="footer"/>
    <w:basedOn w:val="Normale"/>
    <w:link w:val="PidipaginaCarattere"/>
    <w:uiPriority w:val="99"/>
    <w:unhideWhenUsed/>
    <w:rsid w:val="00C244F9"/>
    <w:pPr>
      <w:tabs>
        <w:tab w:val="center" w:pos="4819"/>
        <w:tab w:val="right" w:pos="9638"/>
      </w:tabs>
    </w:pPr>
  </w:style>
  <w:style w:type="character" w:customStyle="1" w:styleId="PidipaginaCarattere">
    <w:name w:val="Piè di pagina Carattere"/>
    <w:basedOn w:val="Carpredefinitoparagrafo"/>
    <w:link w:val="Pidipagina"/>
    <w:uiPriority w:val="99"/>
    <w:rsid w:val="00C244F9"/>
  </w:style>
  <w:style w:type="character" w:styleId="Collegamentoipertestuale">
    <w:name w:val="Hyperlink"/>
    <w:basedOn w:val="Carpredefinitoparagrafo"/>
    <w:uiPriority w:val="99"/>
    <w:unhideWhenUsed/>
    <w:rsid w:val="00A866E4"/>
    <w:rPr>
      <w:color w:val="0563C1" w:themeColor="hyperlink"/>
      <w:u w:val="single"/>
    </w:rPr>
  </w:style>
  <w:style w:type="character" w:styleId="Menzionenonrisolta">
    <w:name w:val="Unresolved Mention"/>
    <w:basedOn w:val="Carpredefinitoparagrafo"/>
    <w:uiPriority w:val="99"/>
    <w:semiHidden/>
    <w:unhideWhenUsed/>
    <w:rsid w:val="00A866E4"/>
    <w:rPr>
      <w:color w:val="605E5C"/>
      <w:shd w:val="clear" w:color="auto" w:fill="E1DFDD"/>
    </w:rPr>
  </w:style>
  <w:style w:type="table" w:styleId="Grigliatabella">
    <w:name w:val="Table Grid"/>
    <w:basedOn w:val="Tabellanormale"/>
    <w:uiPriority w:val="39"/>
    <w:rsid w:val="00F36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DD1BB9"/>
  </w:style>
  <w:style w:type="paragraph" w:customStyle="1" w:styleId="xmsonormal">
    <w:name w:val="x_msonormal"/>
    <w:basedOn w:val="Normale"/>
    <w:rsid w:val="0081049B"/>
    <w:pPr>
      <w:spacing w:before="100" w:beforeAutospacing="1" w:after="100" w:afterAutospacing="1"/>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D64987"/>
    <w:rPr>
      <w:b/>
      <w:bCs/>
    </w:rPr>
  </w:style>
  <w:style w:type="paragraph" w:customStyle="1" w:styleId="Default">
    <w:name w:val="Default"/>
    <w:rsid w:val="009258D3"/>
    <w:pPr>
      <w:autoSpaceDE w:val="0"/>
      <w:autoSpaceDN w:val="0"/>
      <w:adjustRightInd w:val="0"/>
      <w:spacing w:after="0" w:line="240" w:lineRule="auto"/>
    </w:pPr>
    <w:rPr>
      <w:rFonts w:ascii="Calibri" w:eastAsia="Times New Roman" w:hAnsi="Calibri" w:cs="Calibri"/>
      <w:color w:val="000000"/>
      <w:sz w:val="24"/>
      <w:szCs w:val="24"/>
    </w:rPr>
  </w:style>
  <w:style w:type="table" w:styleId="Tabellagriglia4-colore1">
    <w:name w:val="Grid Table 4 Accent 1"/>
    <w:basedOn w:val="Tabellanormale"/>
    <w:uiPriority w:val="49"/>
    <w:rsid w:val="00B8662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estonotaapidipagina">
    <w:name w:val="footnote text"/>
    <w:basedOn w:val="Normale"/>
    <w:link w:val="TestonotaapidipaginaCarattere"/>
    <w:uiPriority w:val="99"/>
    <w:semiHidden/>
    <w:unhideWhenUsed/>
    <w:rsid w:val="00FD4819"/>
    <w:rPr>
      <w:rFonts w:asciiTheme="minorHAnsi" w:hAnsiTheme="minorHAnsi" w:cstheme="minorBidi"/>
      <w:sz w:val="20"/>
      <w:szCs w:val="20"/>
      <w:lang w:eastAsia="en-US"/>
    </w:rPr>
  </w:style>
  <w:style w:type="character" w:customStyle="1" w:styleId="TestonotaapidipaginaCarattere">
    <w:name w:val="Testo nota a piè di pagina Carattere"/>
    <w:basedOn w:val="Carpredefinitoparagrafo"/>
    <w:link w:val="Testonotaapidipagina"/>
    <w:uiPriority w:val="99"/>
    <w:semiHidden/>
    <w:rsid w:val="00FD481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600669">
      <w:bodyDiv w:val="1"/>
      <w:marLeft w:val="0"/>
      <w:marRight w:val="0"/>
      <w:marTop w:val="0"/>
      <w:marBottom w:val="0"/>
      <w:divBdr>
        <w:top w:val="none" w:sz="0" w:space="0" w:color="auto"/>
        <w:left w:val="none" w:sz="0" w:space="0" w:color="auto"/>
        <w:bottom w:val="none" w:sz="0" w:space="0" w:color="auto"/>
        <w:right w:val="none" w:sz="0" w:space="0" w:color="auto"/>
      </w:divBdr>
    </w:div>
    <w:div w:id="294339053">
      <w:bodyDiv w:val="1"/>
      <w:marLeft w:val="0"/>
      <w:marRight w:val="0"/>
      <w:marTop w:val="0"/>
      <w:marBottom w:val="0"/>
      <w:divBdr>
        <w:top w:val="none" w:sz="0" w:space="0" w:color="auto"/>
        <w:left w:val="none" w:sz="0" w:space="0" w:color="auto"/>
        <w:bottom w:val="none" w:sz="0" w:space="0" w:color="auto"/>
        <w:right w:val="none" w:sz="0" w:space="0" w:color="auto"/>
      </w:divBdr>
    </w:div>
    <w:div w:id="932475719">
      <w:bodyDiv w:val="1"/>
      <w:marLeft w:val="0"/>
      <w:marRight w:val="0"/>
      <w:marTop w:val="0"/>
      <w:marBottom w:val="0"/>
      <w:divBdr>
        <w:top w:val="none" w:sz="0" w:space="0" w:color="auto"/>
        <w:left w:val="none" w:sz="0" w:space="0" w:color="auto"/>
        <w:bottom w:val="none" w:sz="0" w:space="0" w:color="auto"/>
        <w:right w:val="none" w:sz="0" w:space="0" w:color="auto"/>
      </w:divBdr>
    </w:div>
    <w:div w:id="1194461631">
      <w:bodyDiv w:val="1"/>
      <w:marLeft w:val="0"/>
      <w:marRight w:val="0"/>
      <w:marTop w:val="0"/>
      <w:marBottom w:val="0"/>
      <w:divBdr>
        <w:top w:val="none" w:sz="0" w:space="0" w:color="auto"/>
        <w:left w:val="none" w:sz="0" w:space="0" w:color="auto"/>
        <w:bottom w:val="none" w:sz="0" w:space="0" w:color="auto"/>
        <w:right w:val="none" w:sz="0" w:space="0" w:color="auto"/>
      </w:divBdr>
    </w:div>
    <w:div w:id="1303195899">
      <w:bodyDiv w:val="1"/>
      <w:marLeft w:val="0"/>
      <w:marRight w:val="0"/>
      <w:marTop w:val="0"/>
      <w:marBottom w:val="0"/>
      <w:divBdr>
        <w:top w:val="none" w:sz="0" w:space="0" w:color="auto"/>
        <w:left w:val="none" w:sz="0" w:space="0" w:color="auto"/>
        <w:bottom w:val="none" w:sz="0" w:space="0" w:color="auto"/>
        <w:right w:val="none" w:sz="0" w:space="0" w:color="auto"/>
      </w:divBdr>
    </w:div>
    <w:div w:id="1394768090">
      <w:bodyDiv w:val="1"/>
      <w:marLeft w:val="0"/>
      <w:marRight w:val="0"/>
      <w:marTop w:val="0"/>
      <w:marBottom w:val="0"/>
      <w:divBdr>
        <w:top w:val="none" w:sz="0" w:space="0" w:color="auto"/>
        <w:left w:val="none" w:sz="0" w:space="0" w:color="auto"/>
        <w:bottom w:val="none" w:sz="0" w:space="0" w:color="auto"/>
        <w:right w:val="none" w:sz="0" w:space="0" w:color="auto"/>
      </w:divBdr>
    </w:div>
    <w:div w:id="1659964088">
      <w:bodyDiv w:val="1"/>
      <w:marLeft w:val="0"/>
      <w:marRight w:val="0"/>
      <w:marTop w:val="0"/>
      <w:marBottom w:val="0"/>
      <w:divBdr>
        <w:top w:val="none" w:sz="0" w:space="0" w:color="auto"/>
        <w:left w:val="none" w:sz="0" w:space="0" w:color="auto"/>
        <w:bottom w:val="none" w:sz="0" w:space="0" w:color="auto"/>
        <w:right w:val="none" w:sz="0" w:space="0" w:color="auto"/>
      </w:divBdr>
    </w:div>
    <w:div w:id="1943418943">
      <w:bodyDiv w:val="1"/>
      <w:marLeft w:val="0"/>
      <w:marRight w:val="0"/>
      <w:marTop w:val="0"/>
      <w:marBottom w:val="0"/>
      <w:divBdr>
        <w:top w:val="none" w:sz="0" w:space="0" w:color="auto"/>
        <w:left w:val="none" w:sz="0" w:space="0" w:color="auto"/>
        <w:bottom w:val="none" w:sz="0" w:space="0" w:color="auto"/>
        <w:right w:val="none" w:sz="0" w:space="0" w:color="auto"/>
      </w:divBdr>
    </w:div>
    <w:div w:id="1995407152">
      <w:bodyDiv w:val="1"/>
      <w:marLeft w:val="0"/>
      <w:marRight w:val="0"/>
      <w:marTop w:val="0"/>
      <w:marBottom w:val="0"/>
      <w:divBdr>
        <w:top w:val="none" w:sz="0" w:space="0" w:color="auto"/>
        <w:left w:val="none" w:sz="0" w:space="0" w:color="auto"/>
        <w:bottom w:val="none" w:sz="0" w:space="0" w:color="auto"/>
        <w:right w:val="none" w:sz="0" w:space="0" w:color="auto"/>
      </w:divBdr>
    </w:div>
    <w:div w:id="211978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1288</Words>
  <Characters>7346</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7</cp:revision>
  <dcterms:created xsi:type="dcterms:W3CDTF">2021-06-30T07:44:00Z</dcterms:created>
  <dcterms:modified xsi:type="dcterms:W3CDTF">2021-06-30T09:27:00Z</dcterms:modified>
</cp:coreProperties>
</file>