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1AED" w14:textId="77777777" w:rsidR="005F6B93" w:rsidRPr="00102840" w:rsidRDefault="005F6B93">
      <w:pPr>
        <w:pBdr>
          <w:top w:val="nil"/>
          <w:left w:val="nil"/>
          <w:bottom w:val="nil"/>
          <w:right w:val="nil"/>
          <w:between w:val="nil"/>
        </w:pBdr>
        <w:shd w:val="clear" w:color="auto" w:fill="FFFFFF"/>
        <w:jc w:val="center"/>
        <w:rPr>
          <w:rFonts w:ascii="Arial" w:eastAsia="Arial" w:hAnsi="Arial" w:cs="Arial"/>
          <w:bCs/>
          <w:color w:val="000000"/>
          <w:sz w:val="24"/>
          <w:szCs w:val="24"/>
          <w:u w:val="single"/>
        </w:rPr>
      </w:pPr>
    </w:p>
    <w:p w14:paraId="712CDF25" w14:textId="77777777" w:rsidR="005F6B93" w:rsidRDefault="005F6B93">
      <w:pPr>
        <w:pBdr>
          <w:top w:val="nil"/>
          <w:left w:val="nil"/>
          <w:bottom w:val="nil"/>
          <w:right w:val="nil"/>
          <w:between w:val="nil"/>
        </w:pBdr>
        <w:shd w:val="clear" w:color="auto" w:fill="FFFFFF"/>
        <w:jc w:val="center"/>
        <w:rPr>
          <w:rFonts w:ascii="Arial" w:eastAsia="Arial" w:hAnsi="Arial" w:cs="Arial"/>
          <w:b/>
          <w:color w:val="000000"/>
          <w:sz w:val="24"/>
          <w:szCs w:val="24"/>
          <w:u w:val="single"/>
        </w:rPr>
      </w:pPr>
      <w:bookmarkStart w:id="0" w:name="_gjdgxs" w:colFirst="0" w:colLast="0"/>
      <w:bookmarkEnd w:id="0"/>
    </w:p>
    <w:p w14:paraId="4AFAEBA9" w14:textId="77777777" w:rsidR="00E85B78" w:rsidRDefault="00E85B78" w:rsidP="00E85B78">
      <w:pPr>
        <w:shd w:val="clear" w:color="auto" w:fill="FFFFFF"/>
        <w:jc w:val="center"/>
        <w:rPr>
          <w:color w:val="000000"/>
          <w:shd w:val="clear" w:color="auto" w:fill="FFFFFF"/>
        </w:rPr>
      </w:pPr>
      <w:r>
        <w:rPr>
          <w:rStyle w:val="contentpasted0"/>
          <w:rFonts w:ascii="Arial" w:hAnsi="Arial" w:cs="Arial"/>
          <w:b/>
          <w:bCs/>
          <w:color w:val="000000"/>
          <w:sz w:val="24"/>
          <w:szCs w:val="24"/>
          <w:u w:val="single"/>
          <w:shd w:val="clear" w:color="auto" w:fill="FFFFFF"/>
        </w:rPr>
        <w:t>Comunicato stampa</w:t>
      </w:r>
      <w:r>
        <w:rPr>
          <w:rStyle w:val="contentpasted0"/>
          <w:rFonts w:ascii="Arial" w:hAnsi="Arial" w:cs="Arial"/>
          <w:color w:val="000000"/>
          <w:sz w:val="24"/>
          <w:szCs w:val="24"/>
          <w:shd w:val="clear" w:color="auto" w:fill="FFFFFF"/>
        </w:rPr>
        <w:t>  </w:t>
      </w:r>
    </w:p>
    <w:p w14:paraId="172FA291" w14:textId="77777777" w:rsidR="00E85B78" w:rsidRDefault="00E85B78" w:rsidP="00E85B78">
      <w:pPr>
        <w:jc w:val="center"/>
        <w:rPr>
          <w:color w:val="000000"/>
          <w:shd w:val="clear" w:color="auto" w:fill="FFFFFF"/>
        </w:rPr>
      </w:pPr>
      <w:r>
        <w:rPr>
          <w:rFonts w:ascii="Arial" w:hAnsi="Arial" w:cs="Arial"/>
          <w:color w:val="000000"/>
          <w:sz w:val="24"/>
          <w:szCs w:val="24"/>
          <w:shd w:val="clear" w:color="auto" w:fill="FFFFFF"/>
        </w:rPr>
        <w:t> </w:t>
      </w:r>
    </w:p>
    <w:p w14:paraId="197C44EF" w14:textId="77777777" w:rsidR="00E85B78" w:rsidRDefault="00E85B78" w:rsidP="00E85B78">
      <w:pPr>
        <w:jc w:val="center"/>
        <w:rPr>
          <w:color w:val="000000"/>
          <w:shd w:val="clear" w:color="auto" w:fill="FFFFFF"/>
        </w:rPr>
      </w:pPr>
      <w:r>
        <w:rPr>
          <w:rStyle w:val="contentpasted0"/>
          <w:rFonts w:ascii="Arial" w:hAnsi="Arial" w:cs="Arial"/>
          <w:b/>
          <w:bCs/>
          <w:color w:val="000000"/>
          <w:sz w:val="24"/>
          <w:szCs w:val="24"/>
          <w:shd w:val="clear" w:color="auto" w:fill="FFFFFF"/>
        </w:rPr>
        <w:t>COMMERCIALISTI: BENE SENTENZA TAR LAZIO SU CONCILIAZIONE OPERATORI COMMERCIALI </w:t>
      </w:r>
    </w:p>
    <w:p w14:paraId="4F6D3766" w14:textId="77777777" w:rsidR="00E85B78" w:rsidRDefault="00E85B78" w:rsidP="00E85B78">
      <w:pPr>
        <w:jc w:val="both"/>
        <w:rPr>
          <w:color w:val="000000"/>
          <w:shd w:val="clear" w:color="auto" w:fill="FFFFFF"/>
        </w:rPr>
      </w:pPr>
      <w:r>
        <w:rPr>
          <w:rFonts w:ascii="Arial" w:hAnsi="Arial" w:cs="Arial"/>
          <w:b/>
          <w:bCs/>
          <w:color w:val="000000"/>
          <w:sz w:val="24"/>
          <w:szCs w:val="24"/>
          <w:shd w:val="clear" w:color="auto" w:fill="FFFFFF"/>
        </w:rPr>
        <w:t> </w:t>
      </w:r>
    </w:p>
    <w:p w14:paraId="2BF33533" w14:textId="77777777" w:rsidR="00E85B78" w:rsidRDefault="00E85B78" w:rsidP="00E85B78">
      <w:pPr>
        <w:jc w:val="center"/>
        <w:rPr>
          <w:color w:val="000000"/>
          <w:shd w:val="clear" w:color="auto" w:fill="FFFFFF"/>
        </w:rPr>
      </w:pPr>
      <w:r>
        <w:rPr>
          <w:rStyle w:val="contentpasted0"/>
          <w:rFonts w:ascii="Arial" w:hAnsi="Arial" w:cs="Arial"/>
          <w:b/>
          <w:bCs/>
          <w:color w:val="000000"/>
          <w:sz w:val="24"/>
          <w:szCs w:val="24"/>
          <w:shd w:val="clear" w:color="auto" w:fill="FFFFFF"/>
        </w:rPr>
        <w:t>De Nuccio: “Respinto il ricorso dei giovani avvocati e accolte le nostre ragioni. Professione pienamente legittimata anche in questo ambito” </w:t>
      </w:r>
    </w:p>
    <w:p w14:paraId="2C4CA3A5" w14:textId="77777777" w:rsidR="00E85B78" w:rsidRDefault="00E85B78" w:rsidP="00E85B78">
      <w:pPr>
        <w:jc w:val="both"/>
        <w:rPr>
          <w:color w:val="000000"/>
          <w:shd w:val="clear" w:color="auto" w:fill="FFFFFF"/>
        </w:rPr>
      </w:pPr>
      <w:r>
        <w:rPr>
          <w:rFonts w:ascii="Arial" w:hAnsi="Arial" w:cs="Arial"/>
          <w:b/>
          <w:bCs/>
          <w:color w:val="000000"/>
          <w:sz w:val="24"/>
          <w:szCs w:val="24"/>
          <w:shd w:val="clear" w:color="auto" w:fill="FFFFFF"/>
        </w:rPr>
        <w:t> </w:t>
      </w:r>
    </w:p>
    <w:p w14:paraId="132EBAAD" w14:textId="0F95C145" w:rsidR="00E85B78" w:rsidRDefault="00E85B78" w:rsidP="00E85B78">
      <w:pPr>
        <w:jc w:val="both"/>
        <w:rPr>
          <w:color w:val="000000"/>
          <w:shd w:val="clear" w:color="auto" w:fill="FFFFFF"/>
        </w:rPr>
      </w:pPr>
      <w:r>
        <w:rPr>
          <w:rStyle w:val="contentpasted0"/>
          <w:rFonts w:ascii="Arial" w:hAnsi="Arial" w:cs="Arial"/>
          <w:i/>
          <w:iCs/>
          <w:color w:val="000000"/>
          <w:sz w:val="24"/>
          <w:szCs w:val="24"/>
          <w:shd w:val="clear" w:color="auto" w:fill="FFFFFF"/>
        </w:rPr>
        <w:t xml:space="preserve">Roma, 29 dicembre </w:t>
      </w:r>
      <w:r w:rsidRPr="00E85B78">
        <w:rPr>
          <w:rStyle w:val="contentpasted0"/>
          <w:rFonts w:ascii="Arial" w:hAnsi="Arial" w:cs="Arial"/>
          <w:color w:val="000000"/>
          <w:sz w:val="24"/>
          <w:szCs w:val="24"/>
          <w:shd w:val="clear" w:color="auto" w:fill="FFFFFF"/>
        </w:rPr>
        <w:t>2022</w:t>
      </w:r>
      <w:r>
        <w:rPr>
          <w:rStyle w:val="contentpasted0"/>
          <w:rFonts w:ascii="Arial" w:hAnsi="Arial" w:cs="Arial"/>
          <w:color w:val="000000"/>
          <w:sz w:val="24"/>
          <w:szCs w:val="24"/>
          <w:shd w:val="clear" w:color="auto" w:fill="FFFFFF"/>
        </w:rPr>
        <w:t xml:space="preserve"> – “Una</w:t>
      </w:r>
      <w:r>
        <w:rPr>
          <w:rStyle w:val="contentpasted0"/>
          <w:rFonts w:ascii="Arial" w:hAnsi="Arial" w:cs="Arial"/>
          <w:color w:val="000000"/>
          <w:sz w:val="24"/>
          <w:szCs w:val="24"/>
          <w:shd w:val="clear" w:color="auto" w:fill="FFFFFF"/>
        </w:rPr>
        <w:t xml:space="preserve"> </w:t>
      </w:r>
      <w:r>
        <w:rPr>
          <w:rStyle w:val="contentpasted0"/>
          <w:rFonts w:ascii="Arial" w:hAnsi="Arial" w:cs="Arial"/>
          <w:b/>
          <w:bCs/>
          <w:color w:val="000000"/>
          <w:sz w:val="24"/>
          <w:szCs w:val="24"/>
          <w:shd w:val="clear" w:color="auto" w:fill="FFFFFF"/>
        </w:rPr>
        <w:t>decisione importante</w:t>
      </w:r>
      <w:r>
        <w:rPr>
          <w:rStyle w:val="contentpasted0"/>
          <w:rFonts w:ascii="Arial" w:hAnsi="Arial" w:cs="Arial"/>
          <w:color w:val="000000"/>
          <w:sz w:val="24"/>
          <w:szCs w:val="24"/>
          <w:shd w:val="clear" w:color="auto" w:fill="FFFFFF"/>
        </w:rPr>
        <w:t xml:space="preserve">, che accoglie le ragioni espresse dal Consiglio nazionale dei commercialisti e legittima pienamente il ruolo della categoria in questo ambito professionale”. È quanto dichiara il presidente del Consiglio nazionale dei commercialisti, </w:t>
      </w:r>
      <w:r>
        <w:rPr>
          <w:rStyle w:val="contentpasted0"/>
          <w:rFonts w:ascii="Arial" w:hAnsi="Arial" w:cs="Arial"/>
          <w:b/>
          <w:bCs/>
          <w:color w:val="000000"/>
          <w:sz w:val="24"/>
          <w:szCs w:val="24"/>
          <w:shd w:val="clear" w:color="auto" w:fill="FFFFFF"/>
        </w:rPr>
        <w:t>Elbano de Nuccio</w:t>
      </w:r>
      <w:r>
        <w:rPr>
          <w:rStyle w:val="contentpasted0"/>
          <w:rFonts w:ascii="Arial" w:hAnsi="Arial" w:cs="Arial"/>
          <w:color w:val="000000"/>
          <w:sz w:val="24"/>
          <w:szCs w:val="24"/>
          <w:shd w:val="clear" w:color="auto" w:fill="FFFFFF"/>
        </w:rPr>
        <w:t xml:space="preserve">, commentando la sentenza con la quale il </w:t>
      </w:r>
      <w:r>
        <w:rPr>
          <w:rStyle w:val="contentpasted0"/>
          <w:rFonts w:ascii="Arial" w:hAnsi="Arial" w:cs="Arial"/>
          <w:b/>
          <w:bCs/>
          <w:color w:val="000000"/>
          <w:sz w:val="24"/>
          <w:szCs w:val="24"/>
          <w:shd w:val="clear" w:color="auto" w:fill="FFFFFF"/>
        </w:rPr>
        <w:t>Tar del Lazio</w:t>
      </w:r>
      <w:r>
        <w:rPr>
          <w:rStyle w:val="contentpasted0"/>
          <w:rFonts w:ascii="Arial" w:hAnsi="Arial" w:cs="Arial"/>
          <w:color w:val="000000"/>
          <w:sz w:val="24"/>
          <w:szCs w:val="24"/>
          <w:shd w:val="clear" w:color="auto" w:fill="FFFFFF"/>
        </w:rPr>
        <w:t xml:space="preserve"> ha </w:t>
      </w:r>
      <w:r>
        <w:rPr>
          <w:rStyle w:val="contentpasted0"/>
          <w:rFonts w:ascii="Arial" w:hAnsi="Arial" w:cs="Arial"/>
          <w:b/>
          <w:bCs/>
          <w:color w:val="000000"/>
          <w:sz w:val="24"/>
          <w:szCs w:val="24"/>
          <w:shd w:val="clear" w:color="auto" w:fill="FFFFFF"/>
        </w:rPr>
        <w:t>respinto integralmente</w:t>
      </w:r>
      <w:r>
        <w:rPr>
          <w:rStyle w:val="contentpasted0"/>
          <w:rFonts w:ascii="Arial" w:hAnsi="Arial" w:cs="Arial"/>
          <w:color w:val="000000"/>
          <w:sz w:val="24"/>
          <w:szCs w:val="24"/>
          <w:shd w:val="clear" w:color="auto" w:fill="FFFFFF"/>
        </w:rPr>
        <w:t xml:space="preserve"> - giudicandolo </w:t>
      </w:r>
      <w:r>
        <w:rPr>
          <w:rStyle w:val="contentpasted0"/>
          <w:rFonts w:ascii="Arial" w:hAnsi="Arial" w:cs="Arial"/>
          <w:b/>
          <w:bCs/>
          <w:color w:val="000000"/>
          <w:sz w:val="24"/>
          <w:szCs w:val="24"/>
          <w:shd w:val="clear" w:color="auto" w:fill="FFFFFF"/>
        </w:rPr>
        <w:t>infondato</w:t>
      </w:r>
      <w:r>
        <w:rPr>
          <w:rStyle w:val="contentpasted0"/>
          <w:rFonts w:ascii="Arial" w:hAnsi="Arial" w:cs="Arial"/>
          <w:color w:val="000000"/>
          <w:sz w:val="24"/>
          <w:szCs w:val="24"/>
          <w:shd w:val="clear" w:color="auto" w:fill="FFFFFF"/>
        </w:rPr>
        <w:t xml:space="preserve"> - il ricorso proposto dall’</w:t>
      </w:r>
      <w:r>
        <w:rPr>
          <w:rStyle w:val="contentpasted0"/>
          <w:rFonts w:ascii="Arial" w:hAnsi="Arial" w:cs="Arial"/>
          <w:b/>
          <w:bCs/>
          <w:color w:val="000000"/>
          <w:sz w:val="24"/>
          <w:szCs w:val="24"/>
          <w:shd w:val="clear" w:color="auto" w:fill="FFFFFF"/>
        </w:rPr>
        <w:t xml:space="preserve">Associazione Italiana giovani avvocati (AIGA) </w:t>
      </w:r>
      <w:r>
        <w:rPr>
          <w:rStyle w:val="contentpasted0"/>
          <w:rFonts w:ascii="Arial" w:hAnsi="Arial" w:cs="Arial"/>
          <w:color w:val="000000"/>
          <w:sz w:val="24"/>
          <w:szCs w:val="24"/>
          <w:shd w:val="clear" w:color="auto" w:fill="FFFFFF"/>
        </w:rPr>
        <w:t xml:space="preserve">nel mese di febbraio 2022, con il quale veniva impugnata la delibera </w:t>
      </w:r>
      <w:r>
        <w:rPr>
          <w:rStyle w:val="contentpasted0"/>
          <w:rFonts w:ascii="Arial" w:hAnsi="Arial" w:cs="Arial"/>
          <w:b/>
          <w:bCs/>
          <w:color w:val="000000"/>
          <w:sz w:val="24"/>
          <w:szCs w:val="24"/>
          <w:shd w:val="clear" w:color="auto" w:fill="FFFFFF"/>
        </w:rPr>
        <w:t>AGCOM n. 390/2021</w:t>
      </w:r>
      <w:r>
        <w:rPr>
          <w:rStyle w:val="contentpasted0"/>
          <w:rFonts w:ascii="Arial" w:hAnsi="Arial" w:cs="Arial"/>
          <w:color w:val="000000"/>
          <w:sz w:val="24"/>
          <w:szCs w:val="24"/>
          <w:shd w:val="clear" w:color="auto" w:fill="FFFFFF"/>
        </w:rPr>
        <w:t xml:space="preserve"> nella parte in cui aveva modificato il Regolamento sulle procedure di </w:t>
      </w:r>
      <w:r>
        <w:rPr>
          <w:rStyle w:val="contentpasted0"/>
          <w:rFonts w:ascii="Arial" w:hAnsi="Arial" w:cs="Arial"/>
          <w:b/>
          <w:bCs/>
          <w:color w:val="000000"/>
          <w:sz w:val="24"/>
          <w:szCs w:val="24"/>
          <w:shd w:val="clear" w:color="auto" w:fill="FFFFFF"/>
        </w:rPr>
        <w:t>risoluzione delle controversie tra utenti ed operatori di comunicazioni elettroniche</w:t>
      </w:r>
      <w:r>
        <w:rPr>
          <w:rStyle w:val="contentpasted0"/>
          <w:rFonts w:ascii="Arial" w:hAnsi="Arial" w:cs="Arial"/>
          <w:color w:val="000000"/>
          <w:sz w:val="24"/>
          <w:szCs w:val="24"/>
          <w:shd w:val="clear" w:color="auto" w:fill="FFFFFF"/>
        </w:rPr>
        <w:t xml:space="preserve"> con l’inserimento dei</w:t>
      </w:r>
      <w:r>
        <w:rPr>
          <w:rStyle w:val="contentpasted0"/>
          <w:rFonts w:ascii="Arial" w:hAnsi="Arial" w:cs="Arial"/>
          <w:b/>
          <w:bCs/>
          <w:color w:val="000000"/>
          <w:sz w:val="24"/>
          <w:szCs w:val="24"/>
          <w:shd w:val="clear" w:color="auto" w:fill="FFFFFF"/>
        </w:rPr>
        <w:t xml:space="preserve"> dottori commercialisti ed esperti contabili</w:t>
      </w:r>
      <w:r>
        <w:rPr>
          <w:rStyle w:val="contentpasted0"/>
          <w:rFonts w:ascii="Arial" w:hAnsi="Arial" w:cs="Arial"/>
          <w:color w:val="000000"/>
          <w:sz w:val="24"/>
          <w:szCs w:val="24"/>
          <w:shd w:val="clear" w:color="auto" w:fill="FFFFFF"/>
        </w:rPr>
        <w:t xml:space="preserve"> tra i soggetti accreditati all’esercizio dell’attività di </w:t>
      </w:r>
      <w:r>
        <w:rPr>
          <w:rStyle w:val="contentpasted0"/>
          <w:rFonts w:ascii="Arial" w:hAnsi="Arial" w:cs="Arial"/>
          <w:b/>
          <w:bCs/>
          <w:color w:val="000000"/>
          <w:sz w:val="24"/>
          <w:szCs w:val="24"/>
          <w:shd w:val="clear" w:color="auto" w:fill="FFFFFF"/>
        </w:rPr>
        <w:t>conciliazione</w:t>
      </w:r>
      <w:r>
        <w:rPr>
          <w:rStyle w:val="contentpasted0"/>
          <w:rFonts w:ascii="Arial" w:hAnsi="Arial" w:cs="Arial"/>
          <w:color w:val="000000"/>
          <w:sz w:val="24"/>
          <w:szCs w:val="24"/>
          <w:shd w:val="clear" w:color="auto" w:fill="FFFFFF"/>
        </w:rPr>
        <w:t xml:space="preserve">. </w:t>
      </w:r>
      <w:r>
        <w:rPr>
          <w:rStyle w:val="contentpasted0"/>
          <w:rFonts w:ascii="Arial" w:hAnsi="Arial" w:cs="Arial"/>
          <w:color w:val="333333"/>
          <w:sz w:val="24"/>
          <w:szCs w:val="24"/>
          <w:shd w:val="clear" w:color="auto" w:fill="FFFFFF"/>
        </w:rPr>
        <w:t xml:space="preserve">La delibera dell’Agcom era stata adottata all’esito di un’ampia consultazione. </w:t>
      </w:r>
      <w:r>
        <w:rPr>
          <w:rFonts w:ascii="Arial" w:hAnsi="Arial" w:cs="Arial"/>
          <w:color w:val="000000"/>
          <w:sz w:val="24"/>
          <w:szCs w:val="24"/>
          <w:shd w:val="clear" w:color="auto" w:fill="FFFFFF"/>
        </w:rPr>
        <w:t> </w:t>
      </w:r>
    </w:p>
    <w:p w14:paraId="02BC2823" w14:textId="77777777" w:rsidR="00E85B78" w:rsidRDefault="00E85B78" w:rsidP="00E85B78">
      <w:pPr>
        <w:jc w:val="both"/>
        <w:rPr>
          <w:color w:val="000000"/>
          <w:shd w:val="clear" w:color="auto" w:fill="FFFFFF"/>
        </w:rPr>
      </w:pPr>
      <w:r>
        <w:rPr>
          <w:rFonts w:ascii="Arial" w:hAnsi="Arial" w:cs="Arial"/>
          <w:color w:val="333333"/>
          <w:sz w:val="24"/>
          <w:szCs w:val="24"/>
          <w:shd w:val="clear" w:color="auto" w:fill="FFFFFF"/>
        </w:rPr>
        <w:t> </w:t>
      </w:r>
    </w:p>
    <w:p w14:paraId="075C7D6B" w14:textId="77777777" w:rsidR="00E85B78" w:rsidRDefault="00E85B78" w:rsidP="00E85B78">
      <w:pPr>
        <w:jc w:val="both"/>
        <w:rPr>
          <w:color w:val="000000"/>
          <w:shd w:val="clear" w:color="auto" w:fill="FFFFFF"/>
        </w:rPr>
      </w:pPr>
      <w:r>
        <w:rPr>
          <w:rStyle w:val="contentpasted0"/>
          <w:rFonts w:ascii="Arial" w:hAnsi="Arial" w:cs="Arial"/>
          <w:color w:val="000000"/>
          <w:sz w:val="24"/>
          <w:szCs w:val="24"/>
          <w:shd w:val="clear" w:color="auto" w:fill="FFFFFF"/>
        </w:rPr>
        <w:t xml:space="preserve">La tesi dell’AIGA era che l’attività di conciliazione, anche in questo specifico settore, sarebbe </w:t>
      </w:r>
      <w:r>
        <w:rPr>
          <w:rStyle w:val="contentpasted0"/>
          <w:rFonts w:ascii="Arial" w:hAnsi="Arial" w:cs="Arial"/>
          <w:b/>
          <w:bCs/>
          <w:color w:val="000000"/>
          <w:sz w:val="24"/>
          <w:szCs w:val="24"/>
          <w:shd w:val="clear" w:color="auto" w:fill="FFFFFF"/>
        </w:rPr>
        <w:t>riservata esclusivamente</w:t>
      </w:r>
      <w:r>
        <w:rPr>
          <w:rStyle w:val="contentpasted0"/>
          <w:rFonts w:ascii="Arial" w:hAnsi="Arial" w:cs="Arial"/>
          <w:color w:val="000000"/>
          <w:sz w:val="24"/>
          <w:szCs w:val="24"/>
          <w:shd w:val="clear" w:color="auto" w:fill="FFFFFF"/>
        </w:rPr>
        <w:t xml:space="preserve"> agli Avvocati e non potrebbe essere svolta dai commercialisti. “Questa tesi - commenta de Nuccio - non considerava la peculiarità del quadro normativo in materia di risoluzione alternativa delle controversie (“</w:t>
      </w:r>
      <w:r>
        <w:rPr>
          <w:rStyle w:val="contentpasted0"/>
          <w:rFonts w:ascii="Arial" w:hAnsi="Arial" w:cs="Arial"/>
          <w:b/>
          <w:bCs/>
          <w:color w:val="000000"/>
          <w:sz w:val="24"/>
          <w:szCs w:val="24"/>
          <w:shd w:val="clear" w:color="auto" w:fill="FFFFFF"/>
        </w:rPr>
        <w:t>AdR</w:t>
      </w:r>
      <w:r>
        <w:rPr>
          <w:rStyle w:val="contentpasted0"/>
          <w:rFonts w:ascii="Arial" w:hAnsi="Arial" w:cs="Arial"/>
          <w:color w:val="000000"/>
          <w:sz w:val="24"/>
          <w:szCs w:val="24"/>
          <w:shd w:val="clear" w:color="auto" w:fill="FFFFFF"/>
        </w:rPr>
        <w:t xml:space="preserve">”) nel settore delle comunicazioni elettroniche. Il nostro Consiglio nazionale, rispondendo a suo tempo alla consultazione dell’AGCOM, aveva evidenziato come i commercialisti siano già </w:t>
      </w:r>
      <w:r>
        <w:rPr>
          <w:rStyle w:val="contentpasted0"/>
          <w:rFonts w:ascii="Arial" w:hAnsi="Arial" w:cs="Arial"/>
          <w:b/>
          <w:bCs/>
          <w:color w:val="000000"/>
          <w:sz w:val="24"/>
          <w:szCs w:val="24"/>
          <w:shd w:val="clear" w:color="auto" w:fill="FFFFFF"/>
        </w:rPr>
        <w:t>ampiamente presenti</w:t>
      </w:r>
      <w:r>
        <w:rPr>
          <w:rStyle w:val="contentpasted0"/>
          <w:rFonts w:ascii="Arial" w:hAnsi="Arial" w:cs="Arial"/>
          <w:color w:val="000000"/>
          <w:sz w:val="24"/>
          <w:szCs w:val="24"/>
          <w:shd w:val="clear" w:color="auto" w:fill="FFFFFF"/>
        </w:rPr>
        <w:t xml:space="preserve"> nelle procedure di mediazione con gli Organismi di Mediazione istituiti presso tutti i propri Ordini territoriali e, grazie alle </w:t>
      </w:r>
      <w:r>
        <w:rPr>
          <w:rStyle w:val="contentpasted0"/>
          <w:rFonts w:ascii="Arial" w:hAnsi="Arial" w:cs="Arial"/>
          <w:b/>
          <w:bCs/>
          <w:color w:val="000000"/>
          <w:sz w:val="24"/>
          <w:szCs w:val="24"/>
          <w:shd w:val="clear" w:color="auto" w:fill="FFFFFF"/>
        </w:rPr>
        <w:t xml:space="preserve">competenze </w:t>
      </w:r>
      <w:r>
        <w:rPr>
          <w:rStyle w:val="contentpasted0"/>
          <w:rFonts w:ascii="Arial" w:hAnsi="Arial" w:cs="Arial"/>
          <w:color w:val="000000"/>
          <w:sz w:val="24"/>
          <w:szCs w:val="24"/>
          <w:shd w:val="clear" w:color="auto" w:fill="FFFFFF"/>
        </w:rPr>
        <w:t xml:space="preserve">ed alla diffusione delle stesse su tutto il territorio nazionale, siano certamente in grado di </w:t>
      </w:r>
      <w:r>
        <w:rPr>
          <w:rStyle w:val="contentpasted0"/>
          <w:rFonts w:ascii="Arial" w:hAnsi="Arial" w:cs="Arial"/>
          <w:b/>
          <w:bCs/>
          <w:color w:val="000000"/>
          <w:sz w:val="24"/>
          <w:szCs w:val="24"/>
          <w:shd w:val="clear" w:color="auto" w:fill="FFFFFF"/>
        </w:rPr>
        <w:t>ampliare significativamente</w:t>
      </w:r>
      <w:r>
        <w:rPr>
          <w:rStyle w:val="contentpasted0"/>
          <w:rFonts w:ascii="Arial" w:hAnsi="Arial" w:cs="Arial"/>
          <w:color w:val="000000"/>
          <w:sz w:val="24"/>
          <w:szCs w:val="24"/>
          <w:shd w:val="clear" w:color="auto" w:fill="FFFFFF"/>
        </w:rPr>
        <w:t xml:space="preserve"> la diffusione delle procedure di conciliazione attivate anche con gli operatori delle comunicazioni, sia nei confronti dei privati che tanto più delle aziende, così da contribuire ad assicurare la più ampia azionabilità dei diritti tutelati pur mantenendo in un alveo di </w:t>
      </w:r>
      <w:r>
        <w:rPr>
          <w:rStyle w:val="contentpasted0"/>
          <w:rFonts w:ascii="Arial" w:hAnsi="Arial" w:cs="Arial"/>
          <w:b/>
          <w:bCs/>
          <w:color w:val="000000"/>
          <w:sz w:val="24"/>
          <w:szCs w:val="24"/>
          <w:shd w:val="clear" w:color="auto" w:fill="FFFFFF"/>
        </w:rPr>
        <w:t>soggetti qualificati e vigilati deontologicamente</w:t>
      </w:r>
      <w:r>
        <w:rPr>
          <w:rStyle w:val="contentpasted0"/>
          <w:rFonts w:ascii="Arial" w:hAnsi="Arial" w:cs="Arial"/>
          <w:color w:val="000000"/>
          <w:sz w:val="24"/>
          <w:szCs w:val="24"/>
          <w:shd w:val="clear" w:color="auto" w:fill="FFFFFF"/>
        </w:rPr>
        <w:t>, il rischio di un eccessivo ampliamento dei soggetti abilitati a operare sulla piattaforma in sostituzione degli utenti interessati”. </w:t>
      </w:r>
    </w:p>
    <w:p w14:paraId="024415EB" w14:textId="77777777" w:rsidR="00E85B78" w:rsidRDefault="00E85B78" w:rsidP="00E85B78">
      <w:pPr>
        <w:jc w:val="both"/>
        <w:rPr>
          <w:color w:val="000000"/>
          <w:shd w:val="clear" w:color="auto" w:fill="FFFFFF"/>
        </w:rPr>
      </w:pPr>
      <w:r>
        <w:rPr>
          <w:rFonts w:ascii="Arial" w:hAnsi="Arial" w:cs="Arial"/>
          <w:color w:val="000000"/>
          <w:sz w:val="24"/>
          <w:szCs w:val="24"/>
          <w:shd w:val="clear" w:color="auto" w:fill="FFFFFF"/>
        </w:rPr>
        <w:t> </w:t>
      </w:r>
    </w:p>
    <w:p w14:paraId="09098AA4" w14:textId="721B7CAC" w:rsidR="00E85B78" w:rsidRDefault="00E85B78" w:rsidP="00E85B78">
      <w:pPr>
        <w:jc w:val="both"/>
        <w:rPr>
          <w:color w:val="000000"/>
          <w:shd w:val="clear" w:color="auto" w:fill="FFFFFF"/>
        </w:rPr>
      </w:pPr>
      <w:r>
        <w:rPr>
          <w:rStyle w:val="contentpasted0"/>
          <w:rFonts w:ascii="Arial" w:hAnsi="Arial" w:cs="Arial"/>
          <w:color w:val="000000"/>
          <w:sz w:val="24"/>
          <w:szCs w:val="24"/>
          <w:shd w:val="clear" w:color="auto" w:fill="FFFFFF"/>
        </w:rPr>
        <w:t xml:space="preserve">“Il quadro normativo vigente per la disciplina delle AdR in materia di comunicazione elettroniche </w:t>
      </w:r>
      <w:r>
        <w:rPr>
          <w:rStyle w:val="contentpasted0"/>
          <w:rFonts w:ascii="Arial" w:hAnsi="Arial" w:cs="Arial"/>
          <w:color w:val="000000"/>
          <w:sz w:val="24"/>
          <w:szCs w:val="24"/>
          <w:shd w:val="clear" w:color="auto" w:fill="FFFFFF"/>
        </w:rPr>
        <w:t>-</w:t>
      </w:r>
      <w:r>
        <w:rPr>
          <w:rStyle w:val="contentpasted0"/>
          <w:rFonts w:ascii="Arial" w:hAnsi="Arial" w:cs="Arial"/>
          <w:color w:val="000000"/>
          <w:sz w:val="24"/>
          <w:szCs w:val="24"/>
          <w:shd w:val="clear" w:color="auto" w:fill="FFFFFF"/>
        </w:rPr>
        <w:t xml:space="preserve"> conclude de Nuccio - non soltanto </w:t>
      </w:r>
      <w:r>
        <w:rPr>
          <w:rStyle w:val="contentpasted0"/>
          <w:rFonts w:ascii="Arial" w:hAnsi="Arial" w:cs="Arial"/>
          <w:b/>
          <w:bCs/>
          <w:color w:val="000000"/>
          <w:sz w:val="24"/>
          <w:szCs w:val="24"/>
          <w:shd w:val="clear" w:color="auto" w:fill="FFFFFF"/>
        </w:rPr>
        <w:t>non contiene alcuna riserva</w:t>
      </w:r>
      <w:r>
        <w:rPr>
          <w:rStyle w:val="contentpasted0"/>
          <w:rFonts w:ascii="Arial" w:hAnsi="Arial" w:cs="Arial"/>
          <w:color w:val="000000"/>
          <w:sz w:val="24"/>
          <w:szCs w:val="24"/>
          <w:shd w:val="clear" w:color="auto" w:fill="FFFFFF"/>
        </w:rPr>
        <w:t xml:space="preserve"> a favore di una data categoria professionale, ma esprime il principio esattamente opposto: quello della possibilità per l’utente di accedere liberamente alla procedura di conciliazione in proprio o avvalendosi di un </w:t>
      </w:r>
      <w:r>
        <w:rPr>
          <w:rStyle w:val="contentpasted0"/>
          <w:rFonts w:ascii="Arial" w:hAnsi="Arial" w:cs="Arial"/>
          <w:b/>
          <w:bCs/>
          <w:color w:val="000000"/>
          <w:sz w:val="24"/>
          <w:szCs w:val="24"/>
          <w:shd w:val="clear" w:color="auto" w:fill="FFFFFF"/>
        </w:rPr>
        <w:t>soggetto accreditato</w:t>
      </w:r>
      <w:r>
        <w:rPr>
          <w:rStyle w:val="contentpasted0"/>
          <w:rFonts w:ascii="Arial" w:hAnsi="Arial" w:cs="Arial"/>
          <w:color w:val="000000"/>
          <w:sz w:val="24"/>
          <w:szCs w:val="24"/>
          <w:shd w:val="clear" w:color="auto" w:fill="FFFFFF"/>
        </w:rPr>
        <w:t xml:space="preserve"> che ben può essere un professionista come un </w:t>
      </w:r>
      <w:r>
        <w:rPr>
          <w:rStyle w:val="contentpasted0"/>
          <w:rFonts w:ascii="Arial" w:hAnsi="Arial" w:cs="Arial"/>
          <w:b/>
          <w:bCs/>
          <w:color w:val="000000"/>
          <w:sz w:val="24"/>
          <w:szCs w:val="24"/>
          <w:shd w:val="clear" w:color="auto" w:fill="FFFFFF"/>
        </w:rPr>
        <w:t>commercialista</w:t>
      </w:r>
      <w:r>
        <w:rPr>
          <w:rStyle w:val="contentpasted0"/>
          <w:rFonts w:ascii="Arial" w:hAnsi="Arial" w:cs="Arial"/>
          <w:color w:val="000000"/>
          <w:sz w:val="24"/>
          <w:szCs w:val="24"/>
          <w:shd w:val="clear" w:color="auto" w:fill="FFFFFF"/>
        </w:rPr>
        <w:t>. Un dato di cui eravamo convinti e sul quale la sentenza del Tar Lazio fa ora chiarezza”.  </w:t>
      </w:r>
    </w:p>
    <w:p w14:paraId="4E187B97" w14:textId="77777777" w:rsidR="00E85B78" w:rsidRDefault="00E85B78" w:rsidP="00E85B78">
      <w:pPr>
        <w:jc w:val="both"/>
        <w:rPr>
          <w:color w:val="000000"/>
          <w:shd w:val="clear" w:color="auto" w:fill="FFFFFF"/>
        </w:rPr>
      </w:pPr>
      <w:r>
        <w:rPr>
          <w:rFonts w:ascii="Arial" w:hAnsi="Arial" w:cs="Arial"/>
          <w:color w:val="000000"/>
          <w:sz w:val="24"/>
          <w:szCs w:val="24"/>
          <w:shd w:val="clear" w:color="auto" w:fill="FFFFFF"/>
        </w:rPr>
        <w:t> </w:t>
      </w:r>
    </w:p>
    <w:p w14:paraId="1C4A3AC3" w14:textId="77777777" w:rsidR="00E85B78" w:rsidRDefault="00E85B78" w:rsidP="00E85B78"/>
    <w:p w14:paraId="3074CF4F" w14:textId="77777777" w:rsidR="005F6B93" w:rsidRPr="00102840" w:rsidRDefault="005F6B93" w:rsidP="00E85B78">
      <w:pPr>
        <w:jc w:val="center"/>
        <w:rPr>
          <w:rFonts w:ascii="Arial" w:eastAsia="Arial" w:hAnsi="Arial" w:cs="Arial"/>
          <w:sz w:val="24"/>
          <w:szCs w:val="24"/>
        </w:rPr>
      </w:pPr>
    </w:p>
    <w:sectPr w:rsidR="005F6B93" w:rsidRPr="00102840">
      <w:headerReference w:type="default" r:id="rId6"/>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677F" w14:textId="77777777" w:rsidR="00121B6B" w:rsidRDefault="00121B6B">
      <w:r>
        <w:separator/>
      </w:r>
    </w:p>
  </w:endnote>
  <w:endnote w:type="continuationSeparator" w:id="0">
    <w:p w14:paraId="33606714" w14:textId="77777777" w:rsidR="00121B6B" w:rsidRDefault="0012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3A2C" w14:textId="77777777" w:rsidR="00121B6B" w:rsidRDefault="00121B6B">
      <w:r>
        <w:separator/>
      </w:r>
    </w:p>
  </w:footnote>
  <w:footnote w:type="continuationSeparator" w:id="0">
    <w:p w14:paraId="7B9E041B" w14:textId="77777777" w:rsidR="00121B6B" w:rsidRDefault="0012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90992"/>
    <w:rsid w:val="00102840"/>
    <w:rsid w:val="00103156"/>
    <w:rsid w:val="00121B6B"/>
    <w:rsid w:val="001657E9"/>
    <w:rsid w:val="001B1920"/>
    <w:rsid w:val="002B4469"/>
    <w:rsid w:val="00326249"/>
    <w:rsid w:val="004C16AB"/>
    <w:rsid w:val="005F6B93"/>
    <w:rsid w:val="00636734"/>
    <w:rsid w:val="0068637E"/>
    <w:rsid w:val="007C29BB"/>
    <w:rsid w:val="007D361E"/>
    <w:rsid w:val="00827BB9"/>
    <w:rsid w:val="00846CAC"/>
    <w:rsid w:val="00BD401F"/>
    <w:rsid w:val="00C87946"/>
    <w:rsid w:val="00E85B78"/>
    <w:rsid w:val="00F66F72"/>
    <w:rsid w:val="00FA03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customStyle="1" w:styleId="contentpasted0">
    <w:name w:val="contentpasted0"/>
    <w:basedOn w:val="Carpredefinitoparagrafo"/>
    <w:rsid w:val="00E8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89719">
      <w:bodyDiv w:val="1"/>
      <w:marLeft w:val="0"/>
      <w:marRight w:val="0"/>
      <w:marTop w:val="0"/>
      <w:marBottom w:val="0"/>
      <w:divBdr>
        <w:top w:val="none" w:sz="0" w:space="0" w:color="auto"/>
        <w:left w:val="none" w:sz="0" w:space="0" w:color="auto"/>
        <w:bottom w:val="none" w:sz="0" w:space="0" w:color="auto"/>
        <w:right w:val="none" w:sz="0" w:space="0" w:color="auto"/>
      </w:divBdr>
    </w:div>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449</Words>
  <Characters>2563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Mastrogiacomo Tiziana</cp:lastModifiedBy>
  <cp:revision>5</cp:revision>
  <dcterms:created xsi:type="dcterms:W3CDTF">2022-12-29T08:31:00Z</dcterms:created>
  <dcterms:modified xsi:type="dcterms:W3CDTF">2022-12-29T16:16:00Z</dcterms:modified>
</cp:coreProperties>
</file>