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AED" w14:textId="77777777" w:rsidR="005F6B93" w:rsidRPr="00102840" w:rsidRDefault="005F6B93">
      <w:pPr>
        <w:pBdr>
          <w:top w:val="nil"/>
          <w:left w:val="nil"/>
          <w:bottom w:val="nil"/>
          <w:right w:val="nil"/>
          <w:between w:val="nil"/>
        </w:pBdr>
        <w:shd w:val="clear" w:color="auto" w:fill="FFFFFF"/>
        <w:jc w:val="center"/>
        <w:rPr>
          <w:rFonts w:ascii="Arial" w:eastAsia="Arial" w:hAnsi="Arial" w:cs="Arial"/>
          <w:bCs/>
          <w:color w:val="000000"/>
          <w:sz w:val="24"/>
          <w:szCs w:val="24"/>
          <w:u w:val="single"/>
        </w:rPr>
      </w:pPr>
    </w:p>
    <w:p w14:paraId="712CDF25" w14:textId="77777777" w:rsidR="005F6B93" w:rsidRDefault="005F6B93">
      <w:pPr>
        <w:pBdr>
          <w:top w:val="nil"/>
          <w:left w:val="nil"/>
          <w:bottom w:val="nil"/>
          <w:right w:val="nil"/>
          <w:between w:val="nil"/>
        </w:pBdr>
        <w:shd w:val="clear" w:color="auto" w:fill="FFFFFF"/>
        <w:jc w:val="center"/>
        <w:rPr>
          <w:rFonts w:ascii="Arial" w:eastAsia="Arial" w:hAnsi="Arial" w:cs="Arial"/>
          <w:b/>
          <w:color w:val="000000"/>
          <w:sz w:val="24"/>
          <w:szCs w:val="24"/>
          <w:u w:val="single"/>
        </w:rPr>
      </w:pPr>
      <w:bookmarkStart w:id="0" w:name="_gjdgxs" w:colFirst="0" w:colLast="0"/>
      <w:bookmarkEnd w:id="0"/>
    </w:p>
    <w:p w14:paraId="617981C1" w14:textId="77777777" w:rsidR="005F6B93" w:rsidRDefault="007C29BB">
      <w:pPr>
        <w:pBdr>
          <w:top w:val="nil"/>
          <w:left w:val="nil"/>
          <w:bottom w:val="nil"/>
          <w:right w:val="nil"/>
          <w:between w:val="nil"/>
        </w:pBdr>
        <w:shd w:val="clear" w:color="auto" w:fill="FFFFFF"/>
        <w:jc w:val="center"/>
        <w:rPr>
          <w:rFonts w:ascii="Arial" w:eastAsia="Arial" w:hAnsi="Arial" w:cs="Arial"/>
          <w:color w:val="000000"/>
          <w:sz w:val="24"/>
          <w:szCs w:val="24"/>
        </w:rPr>
      </w:pPr>
      <w:r>
        <w:rPr>
          <w:rFonts w:ascii="Arial" w:eastAsia="Arial" w:hAnsi="Arial" w:cs="Arial"/>
          <w:b/>
          <w:color w:val="000000"/>
          <w:sz w:val="24"/>
          <w:szCs w:val="24"/>
          <w:u w:val="single"/>
        </w:rPr>
        <w:t>Comunicato stampa</w:t>
      </w:r>
      <w:r>
        <w:rPr>
          <w:rFonts w:ascii="Arial" w:eastAsia="Arial" w:hAnsi="Arial" w:cs="Arial"/>
          <w:color w:val="000000"/>
          <w:sz w:val="24"/>
          <w:szCs w:val="24"/>
        </w:rPr>
        <w:t> </w:t>
      </w:r>
    </w:p>
    <w:p w14:paraId="2B64181A" w14:textId="77777777" w:rsidR="005F6B93" w:rsidRDefault="005F6B93">
      <w:pPr>
        <w:rPr>
          <w:rFonts w:ascii="Arial" w:eastAsia="Arial" w:hAnsi="Arial" w:cs="Arial"/>
          <w:sz w:val="24"/>
          <w:szCs w:val="24"/>
        </w:rPr>
      </w:pPr>
    </w:p>
    <w:p w14:paraId="021DDCD0" w14:textId="77777777" w:rsidR="001657E9" w:rsidRDefault="001657E9">
      <w:pPr>
        <w:ind w:firstLine="708"/>
        <w:jc w:val="center"/>
        <w:rPr>
          <w:rFonts w:ascii="Arial" w:eastAsia="Arial" w:hAnsi="Arial" w:cs="Arial"/>
          <w:b/>
          <w:sz w:val="24"/>
          <w:szCs w:val="24"/>
        </w:rPr>
      </w:pPr>
    </w:p>
    <w:p w14:paraId="36F4C8C2" w14:textId="3EC40C6F" w:rsidR="00FA0305" w:rsidRDefault="00FA0305">
      <w:pPr>
        <w:ind w:firstLine="708"/>
        <w:jc w:val="center"/>
        <w:rPr>
          <w:rFonts w:ascii="Arial" w:eastAsia="Arial" w:hAnsi="Arial" w:cs="Arial"/>
          <w:b/>
          <w:sz w:val="24"/>
          <w:szCs w:val="24"/>
        </w:rPr>
      </w:pPr>
      <w:r>
        <w:rPr>
          <w:rFonts w:ascii="Arial" w:eastAsia="Arial" w:hAnsi="Arial" w:cs="Arial"/>
          <w:b/>
          <w:sz w:val="24"/>
          <w:szCs w:val="24"/>
        </w:rPr>
        <w:t xml:space="preserve">BILANCI SOCIETA’ DI CAPITALI: </w:t>
      </w:r>
    </w:p>
    <w:p w14:paraId="39FD73D7" w14:textId="780DEF5D" w:rsidR="005F6B93" w:rsidRDefault="00FA0305">
      <w:pPr>
        <w:ind w:firstLine="708"/>
        <w:jc w:val="center"/>
        <w:rPr>
          <w:rFonts w:ascii="Arial" w:eastAsia="Arial" w:hAnsi="Arial" w:cs="Arial"/>
          <w:b/>
          <w:sz w:val="24"/>
          <w:szCs w:val="24"/>
        </w:rPr>
      </w:pPr>
      <w:r>
        <w:rPr>
          <w:rFonts w:ascii="Arial" w:eastAsia="Arial" w:hAnsi="Arial" w:cs="Arial"/>
          <w:b/>
          <w:sz w:val="24"/>
          <w:szCs w:val="24"/>
        </w:rPr>
        <w:t xml:space="preserve">RICAVI SU DEL 25,7% NEL 2021, MA </w:t>
      </w:r>
      <w:r w:rsidR="00102840">
        <w:rPr>
          <w:rFonts w:ascii="Arial" w:eastAsia="Arial" w:hAnsi="Arial" w:cs="Arial"/>
          <w:b/>
          <w:sz w:val="24"/>
          <w:szCs w:val="24"/>
        </w:rPr>
        <w:t>È</w:t>
      </w:r>
      <w:r>
        <w:rPr>
          <w:rFonts w:ascii="Arial" w:eastAsia="Arial" w:hAnsi="Arial" w:cs="Arial"/>
          <w:b/>
          <w:sz w:val="24"/>
          <w:szCs w:val="24"/>
        </w:rPr>
        <w:t xml:space="preserve"> RIMBALZO TECNICO</w:t>
      </w:r>
    </w:p>
    <w:p w14:paraId="4B51C324" w14:textId="77777777" w:rsidR="005F6B93" w:rsidRDefault="005F6B93">
      <w:pPr>
        <w:ind w:firstLine="708"/>
        <w:rPr>
          <w:rFonts w:ascii="Arial" w:eastAsia="Arial" w:hAnsi="Arial" w:cs="Arial"/>
          <w:b/>
          <w:sz w:val="24"/>
          <w:szCs w:val="24"/>
        </w:rPr>
      </w:pPr>
    </w:p>
    <w:p w14:paraId="1AB81339" w14:textId="77777777" w:rsidR="005F6B93" w:rsidRDefault="007C29BB">
      <w:pPr>
        <w:jc w:val="center"/>
        <w:rPr>
          <w:rFonts w:ascii="Arial" w:eastAsia="Arial" w:hAnsi="Arial" w:cs="Arial"/>
          <w:b/>
          <w:sz w:val="24"/>
          <w:szCs w:val="24"/>
        </w:rPr>
      </w:pPr>
      <w:r>
        <w:rPr>
          <w:rFonts w:ascii="Arial" w:eastAsia="Arial" w:hAnsi="Arial" w:cs="Arial"/>
          <w:b/>
          <w:sz w:val="24"/>
          <w:szCs w:val="24"/>
        </w:rPr>
        <w:t>I dati dell'Osservatorio della Fondazione nazionale di ricerca dei commercialisti</w:t>
      </w:r>
    </w:p>
    <w:p w14:paraId="38DD6352" w14:textId="4C00A7DF" w:rsidR="00102840" w:rsidRDefault="007C29BB">
      <w:pPr>
        <w:ind w:firstLine="708"/>
        <w:jc w:val="center"/>
        <w:rPr>
          <w:rFonts w:ascii="Arial" w:eastAsia="Arial" w:hAnsi="Arial" w:cs="Arial"/>
          <w:b/>
          <w:sz w:val="24"/>
          <w:szCs w:val="24"/>
        </w:rPr>
      </w:pPr>
      <w:r>
        <w:rPr>
          <w:rFonts w:ascii="Arial" w:eastAsia="Arial" w:hAnsi="Arial" w:cs="Arial"/>
          <w:b/>
          <w:sz w:val="24"/>
          <w:szCs w:val="24"/>
        </w:rPr>
        <w:t xml:space="preserve">Le Micro Imprese (+28,1%) fanno meglio delle Grandi </w:t>
      </w:r>
      <w:r>
        <w:rPr>
          <w:rFonts w:ascii="Arial" w:eastAsia="Arial" w:hAnsi="Arial" w:cs="Arial"/>
          <w:b/>
          <w:sz w:val="24"/>
          <w:szCs w:val="24"/>
        </w:rPr>
        <w:t xml:space="preserve">(+24,1%). Nelle regioni centrali si </w:t>
      </w:r>
      <w:r w:rsidRPr="00102840">
        <w:rPr>
          <w:rFonts w:ascii="Arial" w:eastAsia="Arial" w:hAnsi="Arial" w:cs="Arial"/>
          <w:b/>
          <w:sz w:val="24"/>
          <w:szCs w:val="24"/>
        </w:rPr>
        <w:t>registra la crescita più elevata (+34,7%), quelle del Sud la meno elevata (+21,6%).</w:t>
      </w:r>
      <w:r w:rsidR="00FA0305" w:rsidRPr="00102840">
        <w:rPr>
          <w:rFonts w:ascii="Arial" w:eastAsia="Arial" w:hAnsi="Arial" w:cs="Arial"/>
          <w:b/>
          <w:sz w:val="24"/>
          <w:szCs w:val="24"/>
        </w:rPr>
        <w:t xml:space="preserve"> </w:t>
      </w:r>
      <w:r w:rsidR="00102840" w:rsidRPr="00102840">
        <w:rPr>
          <w:rFonts w:ascii="Arial" w:eastAsia="Arial" w:hAnsi="Arial" w:cs="Arial"/>
          <w:b/>
          <w:sz w:val="24"/>
          <w:szCs w:val="24"/>
        </w:rPr>
        <w:t>Dat</w:t>
      </w:r>
      <w:r w:rsidR="00102840">
        <w:rPr>
          <w:rFonts w:ascii="Arial" w:eastAsia="Arial" w:hAnsi="Arial" w:cs="Arial"/>
          <w:b/>
          <w:sz w:val="24"/>
          <w:szCs w:val="24"/>
        </w:rPr>
        <w:t xml:space="preserve">i </w:t>
      </w:r>
      <w:r w:rsidR="00102840" w:rsidRPr="00102840">
        <w:rPr>
          <w:rFonts w:ascii="Arial" w:eastAsia="Arial" w:hAnsi="Arial" w:cs="Arial"/>
          <w:b/>
          <w:sz w:val="24"/>
          <w:szCs w:val="24"/>
        </w:rPr>
        <w:t>intermedi</w:t>
      </w:r>
      <w:r w:rsidR="00102840">
        <w:rPr>
          <w:rFonts w:ascii="Arial" w:eastAsia="Arial" w:hAnsi="Arial" w:cs="Arial"/>
          <w:b/>
          <w:sz w:val="24"/>
          <w:szCs w:val="24"/>
        </w:rPr>
        <w:t xml:space="preserve"> </w:t>
      </w:r>
      <w:r w:rsidR="00102840" w:rsidRPr="00102840">
        <w:rPr>
          <w:rFonts w:ascii="Arial" w:eastAsia="Arial" w:hAnsi="Arial" w:cs="Arial"/>
          <w:b/>
          <w:sz w:val="24"/>
          <w:szCs w:val="24"/>
        </w:rPr>
        <w:t xml:space="preserve">al Nord </w:t>
      </w:r>
      <w:r w:rsidR="00102840" w:rsidRPr="00102840">
        <w:rPr>
          <w:rFonts w:ascii="Arial" w:eastAsia="Arial" w:hAnsi="Arial" w:cs="Arial"/>
          <w:b/>
          <w:sz w:val="24"/>
          <w:szCs w:val="24"/>
        </w:rPr>
        <w:t>(Nordest +23,4% e Nordovest +23,3%)</w:t>
      </w:r>
      <w:r w:rsidR="00102840">
        <w:rPr>
          <w:rFonts w:ascii="Arial" w:eastAsia="Arial" w:hAnsi="Arial" w:cs="Arial"/>
          <w:b/>
          <w:sz w:val="24"/>
          <w:szCs w:val="24"/>
        </w:rPr>
        <w:t>.</w:t>
      </w:r>
    </w:p>
    <w:p w14:paraId="22C62EB3" w14:textId="5034FADD" w:rsidR="005F6B93" w:rsidRDefault="00FA0305">
      <w:pPr>
        <w:ind w:firstLine="708"/>
        <w:jc w:val="center"/>
        <w:rPr>
          <w:rFonts w:ascii="Arial" w:eastAsia="Arial" w:hAnsi="Arial" w:cs="Arial"/>
          <w:sz w:val="24"/>
          <w:szCs w:val="24"/>
        </w:rPr>
      </w:pPr>
      <w:r>
        <w:rPr>
          <w:rFonts w:ascii="Arial" w:eastAsia="Arial" w:hAnsi="Arial" w:cs="Arial"/>
          <w:b/>
          <w:sz w:val="24"/>
          <w:szCs w:val="24"/>
        </w:rPr>
        <w:t>Crescono anche i dipendenti (+4%)</w:t>
      </w:r>
    </w:p>
    <w:p w14:paraId="27FA5D53" w14:textId="77777777" w:rsidR="005F6B93" w:rsidRDefault="005F6B93">
      <w:pPr>
        <w:rPr>
          <w:rFonts w:ascii="Arial" w:eastAsia="Arial" w:hAnsi="Arial" w:cs="Arial"/>
          <w:i/>
          <w:sz w:val="24"/>
          <w:szCs w:val="24"/>
        </w:rPr>
      </w:pPr>
    </w:p>
    <w:p w14:paraId="4ADAF9E4" w14:textId="39BC8643" w:rsidR="005F6B93" w:rsidRDefault="007C29BB">
      <w:pPr>
        <w:jc w:val="both"/>
        <w:rPr>
          <w:rFonts w:ascii="Arial" w:eastAsia="Arial" w:hAnsi="Arial" w:cs="Arial"/>
          <w:sz w:val="24"/>
          <w:szCs w:val="24"/>
        </w:rPr>
      </w:pPr>
      <w:r>
        <w:rPr>
          <w:rFonts w:ascii="Arial" w:eastAsia="Arial" w:hAnsi="Arial" w:cs="Arial"/>
          <w:i/>
          <w:sz w:val="24"/>
          <w:szCs w:val="24"/>
        </w:rPr>
        <w:t>Roma, 2</w:t>
      </w:r>
      <w:r w:rsidR="00FA0305">
        <w:rPr>
          <w:rFonts w:ascii="Arial" w:eastAsia="Arial" w:hAnsi="Arial" w:cs="Arial"/>
          <w:i/>
          <w:sz w:val="24"/>
          <w:szCs w:val="24"/>
        </w:rPr>
        <w:t>9</w:t>
      </w:r>
      <w:r>
        <w:rPr>
          <w:rFonts w:ascii="Arial" w:eastAsia="Arial" w:hAnsi="Arial" w:cs="Arial"/>
          <w:i/>
          <w:sz w:val="24"/>
          <w:szCs w:val="24"/>
        </w:rPr>
        <w:t xml:space="preserve"> dicembre 2022 -</w:t>
      </w:r>
      <w:r>
        <w:rPr>
          <w:rFonts w:ascii="Arial" w:eastAsia="Arial" w:hAnsi="Arial" w:cs="Arial"/>
          <w:sz w:val="24"/>
          <w:szCs w:val="24"/>
        </w:rPr>
        <w:t xml:space="preserve"> Dopo il crollo del </w:t>
      </w:r>
      <w:r w:rsidRPr="00102840">
        <w:rPr>
          <w:rFonts w:ascii="Arial" w:eastAsia="Arial" w:hAnsi="Arial" w:cs="Arial"/>
          <w:b/>
          <w:bCs/>
          <w:sz w:val="24"/>
          <w:szCs w:val="24"/>
        </w:rPr>
        <w:t>10,1%</w:t>
      </w:r>
      <w:r>
        <w:rPr>
          <w:rFonts w:ascii="Arial" w:eastAsia="Arial" w:hAnsi="Arial" w:cs="Arial"/>
          <w:sz w:val="24"/>
          <w:szCs w:val="24"/>
        </w:rPr>
        <w:t xml:space="preserve"> verificatosi nel </w:t>
      </w:r>
      <w:r w:rsidRPr="00102840">
        <w:rPr>
          <w:rFonts w:ascii="Arial" w:eastAsia="Arial" w:hAnsi="Arial" w:cs="Arial"/>
          <w:b/>
          <w:bCs/>
          <w:sz w:val="24"/>
          <w:szCs w:val="24"/>
        </w:rPr>
        <w:t>2020</w:t>
      </w:r>
      <w:r>
        <w:rPr>
          <w:rFonts w:ascii="Arial" w:eastAsia="Arial" w:hAnsi="Arial" w:cs="Arial"/>
          <w:sz w:val="24"/>
          <w:szCs w:val="24"/>
        </w:rPr>
        <w:t xml:space="preserve">, primo anno pandemico, i ricavi delle società di capitali, nel </w:t>
      </w:r>
      <w:r w:rsidRPr="00102840">
        <w:rPr>
          <w:rFonts w:ascii="Arial" w:eastAsia="Arial" w:hAnsi="Arial" w:cs="Arial"/>
          <w:b/>
          <w:bCs/>
          <w:sz w:val="24"/>
          <w:szCs w:val="24"/>
        </w:rPr>
        <w:t>2021</w:t>
      </w:r>
      <w:r>
        <w:rPr>
          <w:rFonts w:ascii="Arial" w:eastAsia="Arial" w:hAnsi="Arial" w:cs="Arial"/>
          <w:sz w:val="24"/>
          <w:szCs w:val="24"/>
        </w:rPr>
        <w:t>, caratterizzato dalla ripresa</w:t>
      </w:r>
      <w:r w:rsidR="00FA0305">
        <w:rPr>
          <w:rFonts w:ascii="Arial" w:eastAsia="Arial" w:hAnsi="Arial" w:cs="Arial"/>
          <w:sz w:val="24"/>
          <w:szCs w:val="24"/>
        </w:rPr>
        <w:t xml:space="preserve"> post-Covid</w:t>
      </w:r>
      <w:r>
        <w:rPr>
          <w:rFonts w:ascii="Arial" w:eastAsia="Arial" w:hAnsi="Arial" w:cs="Arial"/>
          <w:sz w:val="24"/>
          <w:szCs w:val="24"/>
        </w:rPr>
        <w:t xml:space="preserve"> dell'economia italiana, hanno fatto registrare un </w:t>
      </w:r>
      <w:r w:rsidR="00FA0305" w:rsidRPr="00102840">
        <w:rPr>
          <w:rFonts w:ascii="Arial" w:eastAsia="Arial" w:hAnsi="Arial" w:cs="Arial"/>
          <w:b/>
          <w:bCs/>
          <w:sz w:val="24"/>
          <w:szCs w:val="24"/>
        </w:rPr>
        <w:t>incremento a doppia cifra</w:t>
      </w:r>
      <w:r>
        <w:rPr>
          <w:rFonts w:ascii="Arial" w:eastAsia="Arial" w:hAnsi="Arial" w:cs="Arial"/>
          <w:sz w:val="24"/>
          <w:szCs w:val="24"/>
        </w:rPr>
        <w:t>. A livello aggregato, i</w:t>
      </w:r>
      <w:r>
        <w:rPr>
          <w:rFonts w:ascii="Arial" w:eastAsia="Arial" w:hAnsi="Arial" w:cs="Arial"/>
          <w:sz w:val="24"/>
          <w:szCs w:val="24"/>
        </w:rPr>
        <w:t xml:space="preserve">l volume complessivo dei ricavi registrati nei bilanci depositati è cresciuto del </w:t>
      </w:r>
      <w:r w:rsidRPr="00102840">
        <w:rPr>
          <w:rFonts w:ascii="Arial" w:eastAsia="Arial" w:hAnsi="Arial" w:cs="Arial"/>
          <w:b/>
          <w:bCs/>
          <w:sz w:val="24"/>
          <w:szCs w:val="24"/>
        </w:rPr>
        <w:t>25,7%.</w:t>
      </w:r>
      <w:r>
        <w:rPr>
          <w:rFonts w:ascii="Arial" w:eastAsia="Arial" w:hAnsi="Arial" w:cs="Arial"/>
          <w:sz w:val="24"/>
          <w:szCs w:val="24"/>
        </w:rPr>
        <w:t xml:space="preserve"> Il dato emerge dall'Osservatorio della Fondazione nazionale di ricerca dei Commercialisti, che ha analizzato i </w:t>
      </w:r>
      <w:r w:rsidRPr="00326249">
        <w:rPr>
          <w:rFonts w:ascii="Arial" w:eastAsia="Arial" w:hAnsi="Arial" w:cs="Arial"/>
          <w:b/>
          <w:bCs/>
          <w:sz w:val="24"/>
          <w:szCs w:val="24"/>
        </w:rPr>
        <w:t>bilanci al 31 dicembre 2021</w:t>
      </w:r>
      <w:r>
        <w:rPr>
          <w:rFonts w:ascii="Arial" w:eastAsia="Arial" w:hAnsi="Arial" w:cs="Arial"/>
          <w:sz w:val="24"/>
          <w:szCs w:val="24"/>
        </w:rPr>
        <w:t xml:space="preserve"> di </w:t>
      </w:r>
      <w:r w:rsidRPr="00326249">
        <w:rPr>
          <w:rFonts w:ascii="Arial" w:eastAsia="Arial" w:hAnsi="Arial" w:cs="Arial"/>
          <w:b/>
          <w:bCs/>
          <w:sz w:val="24"/>
          <w:szCs w:val="24"/>
        </w:rPr>
        <w:t>oltre 600 mila società di</w:t>
      </w:r>
      <w:r w:rsidRPr="00326249">
        <w:rPr>
          <w:rFonts w:ascii="Arial" w:eastAsia="Arial" w:hAnsi="Arial" w:cs="Arial"/>
          <w:b/>
          <w:bCs/>
          <w:sz w:val="24"/>
          <w:szCs w:val="24"/>
        </w:rPr>
        <w:t xml:space="preserve"> capitali</w:t>
      </w:r>
      <w:r>
        <w:rPr>
          <w:rFonts w:ascii="Arial" w:eastAsia="Arial" w:hAnsi="Arial" w:cs="Arial"/>
          <w:sz w:val="24"/>
          <w:szCs w:val="24"/>
        </w:rPr>
        <w:t>. </w:t>
      </w:r>
    </w:p>
    <w:p w14:paraId="14DEB96D" w14:textId="39273093" w:rsidR="00BD401F" w:rsidRDefault="00FA0305">
      <w:pPr>
        <w:spacing w:before="120" w:after="120"/>
        <w:jc w:val="both"/>
        <w:rPr>
          <w:rFonts w:ascii="Arial" w:eastAsia="Arial" w:hAnsi="Arial" w:cs="Arial"/>
          <w:sz w:val="24"/>
          <w:szCs w:val="24"/>
        </w:rPr>
      </w:pPr>
      <w:r>
        <w:rPr>
          <w:rFonts w:ascii="Arial" w:eastAsia="Arial" w:hAnsi="Arial" w:cs="Arial"/>
          <w:sz w:val="24"/>
          <w:szCs w:val="24"/>
        </w:rPr>
        <w:t xml:space="preserve">Si tratta, però, di un </w:t>
      </w:r>
      <w:r w:rsidRPr="00326249">
        <w:rPr>
          <w:rFonts w:ascii="Arial" w:eastAsia="Arial" w:hAnsi="Arial" w:cs="Arial"/>
          <w:b/>
          <w:bCs/>
          <w:sz w:val="24"/>
          <w:szCs w:val="24"/>
        </w:rPr>
        <w:t>rimbalzo tecnico</w:t>
      </w:r>
      <w:r>
        <w:rPr>
          <w:rFonts w:ascii="Arial" w:eastAsia="Arial" w:hAnsi="Arial" w:cs="Arial"/>
          <w:sz w:val="24"/>
          <w:szCs w:val="24"/>
        </w:rPr>
        <w:t xml:space="preserve"> – fanno notare i </w:t>
      </w:r>
      <w:r w:rsidR="00326249">
        <w:rPr>
          <w:rFonts w:ascii="Arial" w:eastAsia="Arial" w:hAnsi="Arial" w:cs="Arial"/>
          <w:sz w:val="24"/>
          <w:szCs w:val="24"/>
        </w:rPr>
        <w:t xml:space="preserve">commercialisti </w:t>
      </w:r>
      <w:r>
        <w:rPr>
          <w:rFonts w:ascii="Arial" w:eastAsia="Arial" w:hAnsi="Arial" w:cs="Arial"/>
          <w:sz w:val="24"/>
          <w:szCs w:val="24"/>
        </w:rPr>
        <w:t xml:space="preserve">– riconducibile ad un effetto </w:t>
      </w:r>
      <w:r w:rsidRPr="00326249">
        <w:rPr>
          <w:rFonts w:ascii="Arial" w:eastAsia="Arial" w:hAnsi="Arial" w:cs="Arial"/>
          <w:b/>
          <w:bCs/>
          <w:sz w:val="24"/>
          <w:szCs w:val="24"/>
        </w:rPr>
        <w:t>puramente statistico</w:t>
      </w:r>
      <w:r>
        <w:rPr>
          <w:rFonts w:ascii="Arial" w:eastAsia="Arial" w:hAnsi="Arial" w:cs="Arial"/>
          <w:sz w:val="24"/>
          <w:szCs w:val="24"/>
        </w:rPr>
        <w:t xml:space="preserve"> imputabile al forte abbassamento del valore della base di confronto rappresentata dai ricavi 2020. Questi ultimi sono stati condizionati dall’eccezionale evento pandemico che ha causato l’interruzione momentanea dell’attività della gran parte delle imprese provocando così il </w:t>
      </w:r>
      <w:r w:rsidRPr="00326249">
        <w:rPr>
          <w:rFonts w:ascii="Arial" w:eastAsia="Arial" w:hAnsi="Arial" w:cs="Arial"/>
          <w:b/>
          <w:bCs/>
          <w:sz w:val="24"/>
          <w:szCs w:val="24"/>
        </w:rPr>
        <w:t>crollo dei ricavi</w:t>
      </w:r>
      <w:r>
        <w:rPr>
          <w:rFonts w:ascii="Arial" w:eastAsia="Arial" w:hAnsi="Arial" w:cs="Arial"/>
          <w:sz w:val="24"/>
          <w:szCs w:val="24"/>
        </w:rPr>
        <w:t xml:space="preserve">. </w:t>
      </w:r>
      <w:r w:rsidR="00BD401F">
        <w:rPr>
          <w:rFonts w:ascii="Arial" w:eastAsia="Arial" w:hAnsi="Arial" w:cs="Arial"/>
          <w:sz w:val="24"/>
          <w:szCs w:val="24"/>
        </w:rPr>
        <w:t xml:space="preserve">Distribuendo l’incremento 2021 su due anni ed ipotizzando un andamento costante, la </w:t>
      </w:r>
      <w:r w:rsidR="00BD401F" w:rsidRPr="00326249">
        <w:rPr>
          <w:rFonts w:ascii="Arial" w:eastAsia="Arial" w:hAnsi="Arial" w:cs="Arial"/>
          <w:b/>
          <w:bCs/>
          <w:sz w:val="24"/>
          <w:szCs w:val="24"/>
        </w:rPr>
        <w:t>crescita normalizzata 2021</w:t>
      </w:r>
      <w:r w:rsidR="00BD401F">
        <w:rPr>
          <w:rFonts w:ascii="Arial" w:eastAsia="Arial" w:hAnsi="Arial" w:cs="Arial"/>
          <w:sz w:val="24"/>
          <w:szCs w:val="24"/>
        </w:rPr>
        <w:t xml:space="preserve"> dei ricavi sarebbe stata </w:t>
      </w:r>
      <w:r w:rsidR="00BD401F" w:rsidRPr="00326249">
        <w:rPr>
          <w:rFonts w:ascii="Arial" w:eastAsia="Arial" w:hAnsi="Arial" w:cs="Arial"/>
          <w:b/>
          <w:bCs/>
          <w:sz w:val="24"/>
          <w:szCs w:val="24"/>
        </w:rPr>
        <w:t>intorno al 7% invece che +25,7%.</w:t>
      </w:r>
      <w:r w:rsidR="00BD401F">
        <w:rPr>
          <w:rFonts w:ascii="Arial" w:eastAsia="Arial" w:hAnsi="Arial" w:cs="Arial"/>
          <w:sz w:val="24"/>
          <w:szCs w:val="24"/>
        </w:rPr>
        <w:t xml:space="preserve"> </w:t>
      </w:r>
    </w:p>
    <w:p w14:paraId="4DB17745" w14:textId="63FDF0ED" w:rsidR="005F6B93" w:rsidRDefault="00BD401F">
      <w:pPr>
        <w:spacing w:before="120" w:after="120"/>
        <w:jc w:val="both"/>
        <w:rPr>
          <w:rFonts w:ascii="Arial" w:eastAsia="Arial" w:hAnsi="Arial" w:cs="Arial"/>
          <w:sz w:val="24"/>
          <w:szCs w:val="24"/>
        </w:rPr>
      </w:pPr>
      <w:r>
        <w:rPr>
          <w:rFonts w:ascii="Arial" w:eastAsia="Arial" w:hAnsi="Arial" w:cs="Arial"/>
          <w:sz w:val="24"/>
          <w:szCs w:val="24"/>
        </w:rPr>
        <w:t>Da</w:t>
      </w:r>
      <w:r w:rsidR="00102840">
        <w:rPr>
          <w:rFonts w:ascii="Arial" w:eastAsia="Arial" w:hAnsi="Arial" w:cs="Arial"/>
          <w:sz w:val="24"/>
          <w:szCs w:val="24"/>
        </w:rPr>
        <w:t>i commercialisti arriva</w:t>
      </w:r>
      <w:r>
        <w:rPr>
          <w:rFonts w:ascii="Arial" w:eastAsia="Arial" w:hAnsi="Arial" w:cs="Arial"/>
          <w:sz w:val="24"/>
          <w:szCs w:val="24"/>
        </w:rPr>
        <w:t xml:space="preserve"> l’invito a leggere i dati dei bilanci 2021 delle società di capitali con la dovuta </w:t>
      </w:r>
      <w:r w:rsidRPr="00326249">
        <w:rPr>
          <w:rFonts w:ascii="Arial" w:eastAsia="Arial" w:hAnsi="Arial" w:cs="Arial"/>
          <w:b/>
          <w:bCs/>
          <w:sz w:val="24"/>
          <w:szCs w:val="24"/>
        </w:rPr>
        <w:t>cautela</w:t>
      </w:r>
      <w:r>
        <w:rPr>
          <w:rFonts w:ascii="Arial" w:eastAsia="Arial" w:hAnsi="Arial" w:cs="Arial"/>
          <w:sz w:val="24"/>
          <w:szCs w:val="24"/>
        </w:rPr>
        <w:t xml:space="preserve">. Soprattutto, il confronto tra il 2021 e il 2020 deve essere effettuato tenendo conto dell’eccezionalità degli eventi legati alla pandemia. Inoltre, l’analisi basata sui dati aggregati nasconde </w:t>
      </w:r>
      <w:r w:rsidRPr="00326249">
        <w:rPr>
          <w:rFonts w:ascii="Arial" w:eastAsia="Arial" w:hAnsi="Arial" w:cs="Arial"/>
          <w:b/>
          <w:bCs/>
          <w:sz w:val="24"/>
          <w:szCs w:val="24"/>
        </w:rPr>
        <w:t>andamenti asimmetrici</w:t>
      </w:r>
      <w:r>
        <w:rPr>
          <w:rFonts w:ascii="Arial" w:eastAsia="Arial" w:hAnsi="Arial" w:cs="Arial"/>
          <w:sz w:val="24"/>
          <w:szCs w:val="24"/>
        </w:rPr>
        <w:t xml:space="preserve"> tra le singole imprese </w:t>
      </w:r>
      <w:r w:rsidR="00846CAC">
        <w:rPr>
          <w:rFonts w:ascii="Arial" w:eastAsia="Arial" w:hAnsi="Arial" w:cs="Arial"/>
          <w:sz w:val="24"/>
          <w:szCs w:val="24"/>
        </w:rPr>
        <w:t xml:space="preserve">sui quali hanno agito più fattori, trai </w:t>
      </w:r>
      <w:r w:rsidR="0068637E">
        <w:rPr>
          <w:rFonts w:ascii="Arial" w:eastAsia="Arial" w:hAnsi="Arial" w:cs="Arial"/>
          <w:sz w:val="24"/>
          <w:szCs w:val="24"/>
        </w:rPr>
        <w:t>cui</w:t>
      </w:r>
      <w:r w:rsidR="00846CAC">
        <w:rPr>
          <w:rFonts w:ascii="Arial" w:eastAsia="Arial" w:hAnsi="Arial" w:cs="Arial"/>
          <w:sz w:val="24"/>
          <w:szCs w:val="24"/>
        </w:rPr>
        <w:t xml:space="preserve"> occorre considerare anche l’effetto congiunto delle </w:t>
      </w:r>
      <w:r w:rsidR="00846CAC" w:rsidRPr="00326249">
        <w:rPr>
          <w:rFonts w:ascii="Arial" w:eastAsia="Arial" w:hAnsi="Arial" w:cs="Arial"/>
          <w:b/>
          <w:bCs/>
          <w:sz w:val="24"/>
          <w:szCs w:val="24"/>
        </w:rPr>
        <w:t xml:space="preserve">misure straordinarie </w:t>
      </w:r>
      <w:r w:rsidR="00846CAC">
        <w:rPr>
          <w:rFonts w:ascii="Arial" w:eastAsia="Arial" w:hAnsi="Arial" w:cs="Arial"/>
          <w:sz w:val="24"/>
          <w:szCs w:val="24"/>
        </w:rPr>
        <w:t xml:space="preserve">adottate dal governo per fronteggiare la crisi pandemica. </w:t>
      </w:r>
    </w:p>
    <w:p w14:paraId="2C396AEF" w14:textId="5320D986" w:rsidR="005F6B93" w:rsidRDefault="007C29BB">
      <w:pPr>
        <w:spacing w:before="120" w:after="120"/>
        <w:jc w:val="both"/>
        <w:rPr>
          <w:rFonts w:ascii="Arial" w:eastAsia="Arial" w:hAnsi="Arial" w:cs="Arial"/>
          <w:sz w:val="24"/>
          <w:szCs w:val="24"/>
        </w:rPr>
      </w:pPr>
      <w:r>
        <w:rPr>
          <w:rFonts w:ascii="Arial" w:eastAsia="Arial" w:hAnsi="Arial" w:cs="Arial"/>
          <w:sz w:val="24"/>
          <w:szCs w:val="24"/>
        </w:rPr>
        <w:t xml:space="preserve">A livello geografico, </w:t>
      </w:r>
      <w:r w:rsidR="00846CAC">
        <w:rPr>
          <w:rFonts w:ascii="Arial" w:eastAsia="Arial" w:hAnsi="Arial" w:cs="Arial"/>
          <w:sz w:val="24"/>
          <w:szCs w:val="24"/>
        </w:rPr>
        <w:t>l’incremento</w:t>
      </w:r>
      <w:r>
        <w:rPr>
          <w:rFonts w:ascii="Arial" w:eastAsia="Arial" w:hAnsi="Arial" w:cs="Arial"/>
          <w:sz w:val="24"/>
          <w:szCs w:val="24"/>
        </w:rPr>
        <w:t xml:space="preserve"> del fatturato è molto più pronunciato al </w:t>
      </w:r>
      <w:r w:rsidRPr="00326249">
        <w:rPr>
          <w:rFonts w:ascii="Arial" w:eastAsia="Arial" w:hAnsi="Arial" w:cs="Arial"/>
          <w:b/>
          <w:bCs/>
          <w:sz w:val="24"/>
          <w:szCs w:val="24"/>
        </w:rPr>
        <w:t>Centro (+34,7%)</w:t>
      </w:r>
      <w:r>
        <w:rPr>
          <w:rFonts w:ascii="Arial" w:eastAsia="Arial" w:hAnsi="Arial" w:cs="Arial"/>
          <w:sz w:val="24"/>
          <w:szCs w:val="24"/>
        </w:rPr>
        <w:t xml:space="preserve"> </w:t>
      </w:r>
      <w:r w:rsidRPr="00326249">
        <w:rPr>
          <w:rFonts w:ascii="Arial" w:eastAsia="Arial" w:hAnsi="Arial" w:cs="Arial"/>
          <w:b/>
          <w:bCs/>
          <w:sz w:val="24"/>
          <w:szCs w:val="24"/>
        </w:rPr>
        <w:t>rispetto al Sud (+21,6%)</w:t>
      </w:r>
      <w:r>
        <w:rPr>
          <w:rFonts w:ascii="Arial" w:eastAsia="Arial" w:hAnsi="Arial" w:cs="Arial"/>
          <w:sz w:val="24"/>
          <w:szCs w:val="24"/>
        </w:rPr>
        <w:t xml:space="preserve">, mentre nel </w:t>
      </w:r>
      <w:r w:rsidRPr="00326249">
        <w:rPr>
          <w:rFonts w:ascii="Arial" w:eastAsia="Arial" w:hAnsi="Arial" w:cs="Arial"/>
          <w:b/>
          <w:bCs/>
          <w:sz w:val="24"/>
          <w:szCs w:val="24"/>
        </w:rPr>
        <w:t>Nord</w:t>
      </w:r>
      <w:r>
        <w:rPr>
          <w:rFonts w:ascii="Arial" w:eastAsia="Arial" w:hAnsi="Arial" w:cs="Arial"/>
          <w:sz w:val="24"/>
          <w:szCs w:val="24"/>
        </w:rPr>
        <w:t xml:space="preserve"> </w:t>
      </w:r>
      <w:r>
        <w:rPr>
          <w:rFonts w:ascii="Arial" w:eastAsia="Arial" w:hAnsi="Arial" w:cs="Arial"/>
          <w:sz w:val="24"/>
          <w:szCs w:val="24"/>
        </w:rPr>
        <w:t xml:space="preserve">si registra un dato intermedio ma, comunque, inferiore alla media nazionale </w:t>
      </w:r>
      <w:r w:rsidRPr="00326249">
        <w:rPr>
          <w:rFonts w:ascii="Arial" w:eastAsia="Arial" w:hAnsi="Arial" w:cs="Arial"/>
          <w:b/>
          <w:bCs/>
          <w:sz w:val="24"/>
          <w:szCs w:val="24"/>
        </w:rPr>
        <w:t>(Nordest +23,4% e Nordovest +23,3%)</w:t>
      </w:r>
      <w:r>
        <w:rPr>
          <w:rFonts w:ascii="Arial" w:eastAsia="Arial" w:hAnsi="Arial" w:cs="Arial"/>
          <w:sz w:val="24"/>
          <w:szCs w:val="24"/>
        </w:rPr>
        <w:t>.</w:t>
      </w:r>
    </w:p>
    <w:p w14:paraId="31C816A3" w14:textId="2F7F47A7" w:rsidR="005F6B93" w:rsidRDefault="007C29BB">
      <w:pPr>
        <w:spacing w:before="120" w:after="120"/>
        <w:jc w:val="both"/>
        <w:rPr>
          <w:rFonts w:ascii="Arial" w:eastAsia="Arial" w:hAnsi="Arial" w:cs="Arial"/>
          <w:sz w:val="24"/>
          <w:szCs w:val="24"/>
        </w:rPr>
      </w:pPr>
      <w:r>
        <w:rPr>
          <w:rFonts w:ascii="Arial" w:eastAsia="Arial" w:hAnsi="Arial" w:cs="Arial"/>
          <w:sz w:val="24"/>
          <w:szCs w:val="24"/>
        </w:rPr>
        <w:t xml:space="preserve">Nell'analisi dei commercialisti emerge una dinamica dei ricavi più sostenuta per le </w:t>
      </w:r>
      <w:r w:rsidRPr="00326249">
        <w:rPr>
          <w:rFonts w:ascii="Arial" w:eastAsia="Arial" w:hAnsi="Arial" w:cs="Arial"/>
          <w:b/>
          <w:bCs/>
          <w:sz w:val="24"/>
          <w:szCs w:val="24"/>
        </w:rPr>
        <w:t>società per azioni (</w:t>
      </w:r>
      <w:r w:rsidR="00326249">
        <w:rPr>
          <w:rFonts w:ascii="Arial" w:eastAsia="Arial" w:hAnsi="Arial" w:cs="Arial"/>
          <w:b/>
          <w:bCs/>
          <w:sz w:val="24"/>
          <w:szCs w:val="24"/>
        </w:rPr>
        <w:t>+</w:t>
      </w:r>
      <w:r w:rsidRPr="00326249">
        <w:rPr>
          <w:rFonts w:ascii="Arial" w:eastAsia="Arial" w:hAnsi="Arial" w:cs="Arial"/>
          <w:b/>
          <w:bCs/>
          <w:sz w:val="24"/>
          <w:szCs w:val="24"/>
        </w:rPr>
        <w:t xml:space="preserve">25%) </w:t>
      </w:r>
      <w:r>
        <w:rPr>
          <w:rFonts w:ascii="Arial" w:eastAsia="Arial" w:hAnsi="Arial" w:cs="Arial"/>
          <w:sz w:val="24"/>
          <w:szCs w:val="24"/>
        </w:rPr>
        <w:t xml:space="preserve">rispetto alle </w:t>
      </w:r>
      <w:r w:rsidRPr="00326249">
        <w:rPr>
          <w:rFonts w:ascii="Arial" w:eastAsia="Arial" w:hAnsi="Arial" w:cs="Arial"/>
          <w:b/>
          <w:bCs/>
          <w:sz w:val="24"/>
          <w:szCs w:val="24"/>
        </w:rPr>
        <w:t>società a responsabi</w:t>
      </w:r>
      <w:r w:rsidRPr="00326249">
        <w:rPr>
          <w:rFonts w:ascii="Arial" w:eastAsia="Arial" w:hAnsi="Arial" w:cs="Arial"/>
          <w:b/>
          <w:bCs/>
          <w:sz w:val="24"/>
          <w:szCs w:val="24"/>
        </w:rPr>
        <w:t>lità limitata (+21%)</w:t>
      </w:r>
      <w:r>
        <w:rPr>
          <w:rFonts w:ascii="Arial" w:eastAsia="Arial" w:hAnsi="Arial" w:cs="Arial"/>
          <w:sz w:val="24"/>
          <w:szCs w:val="24"/>
        </w:rPr>
        <w:t>. </w:t>
      </w:r>
    </w:p>
    <w:p w14:paraId="64192D73" w14:textId="77777777" w:rsidR="005F6B93" w:rsidRDefault="007C29BB">
      <w:pPr>
        <w:spacing w:before="120" w:after="120"/>
        <w:jc w:val="both"/>
        <w:rPr>
          <w:rFonts w:ascii="Arial" w:eastAsia="Arial" w:hAnsi="Arial" w:cs="Arial"/>
          <w:sz w:val="24"/>
          <w:szCs w:val="24"/>
        </w:rPr>
      </w:pPr>
      <w:r>
        <w:rPr>
          <w:rFonts w:ascii="Arial" w:eastAsia="Arial" w:hAnsi="Arial" w:cs="Arial"/>
          <w:sz w:val="24"/>
          <w:szCs w:val="24"/>
        </w:rPr>
        <w:t xml:space="preserve">Se invece si guarda alla dimensione delle imprese analizzate, i dati dei bilanci 2021 assegnano alle </w:t>
      </w:r>
      <w:r w:rsidRPr="00326249">
        <w:rPr>
          <w:rFonts w:ascii="Arial" w:eastAsia="Arial" w:hAnsi="Arial" w:cs="Arial"/>
          <w:b/>
          <w:bCs/>
          <w:sz w:val="24"/>
          <w:szCs w:val="24"/>
        </w:rPr>
        <w:t>microimprese</w:t>
      </w:r>
      <w:r>
        <w:rPr>
          <w:rFonts w:ascii="Arial" w:eastAsia="Arial" w:hAnsi="Arial" w:cs="Arial"/>
          <w:sz w:val="24"/>
          <w:szCs w:val="24"/>
        </w:rPr>
        <w:t>, quelle con meno di dieci dipendenti, che rappresentano però il 17% dei ricavi totali, il primato di crescita del fattu</w:t>
      </w:r>
      <w:r>
        <w:rPr>
          <w:rFonts w:ascii="Arial" w:eastAsia="Arial" w:hAnsi="Arial" w:cs="Arial"/>
          <w:sz w:val="24"/>
          <w:szCs w:val="24"/>
        </w:rPr>
        <w:t xml:space="preserve">rato </w:t>
      </w:r>
      <w:r w:rsidRPr="00326249">
        <w:rPr>
          <w:rFonts w:ascii="Arial" w:eastAsia="Arial" w:hAnsi="Arial" w:cs="Arial"/>
          <w:b/>
          <w:bCs/>
          <w:sz w:val="24"/>
          <w:szCs w:val="24"/>
        </w:rPr>
        <w:t>(+28,1%)</w:t>
      </w:r>
      <w:r>
        <w:rPr>
          <w:rFonts w:ascii="Arial" w:eastAsia="Arial" w:hAnsi="Arial" w:cs="Arial"/>
          <w:sz w:val="24"/>
          <w:szCs w:val="24"/>
        </w:rPr>
        <w:t xml:space="preserve">, mentre le </w:t>
      </w:r>
      <w:r w:rsidRPr="00326249">
        <w:rPr>
          <w:rFonts w:ascii="Arial" w:eastAsia="Arial" w:hAnsi="Arial" w:cs="Arial"/>
          <w:b/>
          <w:bCs/>
          <w:sz w:val="24"/>
          <w:szCs w:val="24"/>
        </w:rPr>
        <w:t>grandi imprese</w:t>
      </w:r>
      <w:r>
        <w:rPr>
          <w:rFonts w:ascii="Arial" w:eastAsia="Arial" w:hAnsi="Arial" w:cs="Arial"/>
          <w:sz w:val="24"/>
          <w:szCs w:val="24"/>
        </w:rPr>
        <w:t xml:space="preserve">, quelle con 250 e più dipendenti e il 34% dei ricavi totali, sono quelle che fanno registrare la crescita meno elevata </w:t>
      </w:r>
      <w:r w:rsidRPr="00326249">
        <w:rPr>
          <w:rFonts w:ascii="Arial" w:eastAsia="Arial" w:hAnsi="Arial" w:cs="Arial"/>
          <w:b/>
          <w:bCs/>
          <w:sz w:val="24"/>
          <w:szCs w:val="24"/>
        </w:rPr>
        <w:t>(+ 24,3%)</w:t>
      </w:r>
      <w:r>
        <w:rPr>
          <w:rFonts w:ascii="Arial" w:eastAsia="Arial" w:hAnsi="Arial" w:cs="Arial"/>
          <w:sz w:val="24"/>
          <w:szCs w:val="24"/>
        </w:rPr>
        <w:t>. </w:t>
      </w:r>
    </w:p>
    <w:p w14:paraId="34F1847F" w14:textId="4FD32A8C" w:rsidR="005F6B93" w:rsidRDefault="007C29BB">
      <w:pPr>
        <w:spacing w:before="120" w:after="120"/>
        <w:jc w:val="both"/>
        <w:rPr>
          <w:rFonts w:ascii="Arial" w:eastAsia="Arial" w:hAnsi="Arial" w:cs="Arial"/>
          <w:sz w:val="24"/>
          <w:szCs w:val="24"/>
        </w:rPr>
      </w:pPr>
      <w:r>
        <w:rPr>
          <w:rFonts w:ascii="Arial" w:eastAsia="Arial" w:hAnsi="Arial" w:cs="Arial"/>
          <w:sz w:val="24"/>
          <w:szCs w:val="24"/>
        </w:rPr>
        <w:t xml:space="preserve">Tra i </w:t>
      </w:r>
      <w:r w:rsidRPr="00326249">
        <w:rPr>
          <w:rFonts w:ascii="Arial" w:eastAsia="Arial" w:hAnsi="Arial" w:cs="Arial"/>
          <w:b/>
          <w:bCs/>
          <w:sz w:val="24"/>
          <w:szCs w:val="24"/>
        </w:rPr>
        <w:t>settori</w:t>
      </w:r>
      <w:r>
        <w:rPr>
          <w:rFonts w:ascii="Arial" w:eastAsia="Arial" w:hAnsi="Arial" w:cs="Arial"/>
          <w:sz w:val="24"/>
          <w:szCs w:val="24"/>
        </w:rPr>
        <w:t xml:space="preserve"> di attività economica spiccano, in particolare, il settore dell’</w:t>
      </w:r>
      <w:r w:rsidRPr="00326249">
        <w:rPr>
          <w:rFonts w:ascii="Arial" w:eastAsia="Arial" w:hAnsi="Arial" w:cs="Arial"/>
          <w:b/>
          <w:bCs/>
          <w:sz w:val="24"/>
          <w:szCs w:val="24"/>
        </w:rPr>
        <w:t>energia</w:t>
      </w:r>
      <w:r w:rsidRPr="00326249">
        <w:rPr>
          <w:rFonts w:ascii="Arial" w:eastAsia="Arial" w:hAnsi="Arial" w:cs="Arial"/>
          <w:b/>
          <w:bCs/>
          <w:sz w:val="24"/>
          <w:szCs w:val="24"/>
        </w:rPr>
        <w:t>, acqua e rifiuti (+59,9%)</w:t>
      </w:r>
      <w:r>
        <w:rPr>
          <w:rFonts w:ascii="Arial" w:eastAsia="Arial" w:hAnsi="Arial" w:cs="Arial"/>
          <w:sz w:val="24"/>
          <w:szCs w:val="24"/>
        </w:rPr>
        <w:t>, e quello del' l’</w:t>
      </w:r>
      <w:r w:rsidR="00326249" w:rsidRPr="00326249">
        <w:rPr>
          <w:rFonts w:ascii="Arial" w:eastAsia="Arial" w:hAnsi="Arial" w:cs="Arial"/>
          <w:b/>
          <w:bCs/>
          <w:sz w:val="24"/>
          <w:szCs w:val="24"/>
        </w:rPr>
        <w:t>i</w:t>
      </w:r>
      <w:r w:rsidRPr="00326249">
        <w:rPr>
          <w:rFonts w:ascii="Arial" w:eastAsia="Arial" w:hAnsi="Arial" w:cs="Arial"/>
          <w:b/>
          <w:bCs/>
          <w:sz w:val="24"/>
          <w:szCs w:val="24"/>
        </w:rPr>
        <w:t>ndustria estrattiva (+45,2%)</w:t>
      </w:r>
      <w:r>
        <w:rPr>
          <w:rFonts w:ascii="Arial" w:eastAsia="Arial" w:hAnsi="Arial" w:cs="Arial"/>
          <w:sz w:val="24"/>
          <w:szCs w:val="24"/>
        </w:rPr>
        <w:t xml:space="preserve">. Degna di nota è la forte ripresa </w:t>
      </w:r>
      <w:r>
        <w:rPr>
          <w:rFonts w:ascii="Arial" w:eastAsia="Arial" w:hAnsi="Arial" w:cs="Arial"/>
          <w:sz w:val="24"/>
          <w:szCs w:val="24"/>
        </w:rPr>
        <w:lastRenderedPageBreak/>
        <w:t xml:space="preserve">del settore </w:t>
      </w:r>
      <w:r w:rsidRPr="00326249">
        <w:rPr>
          <w:rFonts w:ascii="Arial" w:eastAsia="Arial" w:hAnsi="Arial" w:cs="Arial"/>
          <w:b/>
          <w:bCs/>
          <w:sz w:val="24"/>
          <w:szCs w:val="24"/>
        </w:rPr>
        <w:t>ristoranti e alberghi (+37,5%)</w:t>
      </w:r>
      <w:r>
        <w:rPr>
          <w:rFonts w:ascii="Arial" w:eastAsia="Arial" w:hAnsi="Arial" w:cs="Arial"/>
          <w:sz w:val="24"/>
          <w:szCs w:val="24"/>
        </w:rPr>
        <w:t xml:space="preserve"> e delle </w:t>
      </w:r>
      <w:r w:rsidRPr="00326249">
        <w:rPr>
          <w:rFonts w:ascii="Arial" w:eastAsia="Arial" w:hAnsi="Arial" w:cs="Arial"/>
          <w:b/>
          <w:bCs/>
          <w:sz w:val="24"/>
          <w:szCs w:val="24"/>
        </w:rPr>
        <w:t>costruzioni</w:t>
      </w:r>
      <w:r>
        <w:rPr>
          <w:rFonts w:ascii="Arial" w:eastAsia="Arial" w:hAnsi="Arial" w:cs="Arial"/>
          <w:sz w:val="24"/>
          <w:szCs w:val="24"/>
        </w:rPr>
        <w:t xml:space="preserve"> - altro settore strategico della grande ripresa economica 2021 - che con il</w:t>
      </w:r>
      <w:r w:rsidRPr="00326249">
        <w:rPr>
          <w:rFonts w:ascii="Arial" w:eastAsia="Arial" w:hAnsi="Arial" w:cs="Arial"/>
          <w:b/>
          <w:bCs/>
          <w:sz w:val="24"/>
          <w:szCs w:val="24"/>
        </w:rPr>
        <w:t xml:space="preserve"> +33,6%</w:t>
      </w:r>
      <w:r>
        <w:rPr>
          <w:rFonts w:ascii="Arial" w:eastAsia="Arial" w:hAnsi="Arial" w:cs="Arial"/>
          <w:sz w:val="24"/>
          <w:szCs w:val="24"/>
        </w:rPr>
        <w:t xml:space="preserve"> fa</w:t>
      </w:r>
      <w:r>
        <w:rPr>
          <w:rFonts w:ascii="Arial" w:eastAsia="Arial" w:hAnsi="Arial" w:cs="Arial"/>
          <w:sz w:val="24"/>
          <w:szCs w:val="24"/>
        </w:rPr>
        <w:t xml:space="preserve"> registrare una crescita molto sostenuta. </w:t>
      </w:r>
    </w:p>
    <w:p w14:paraId="492D8BAA" w14:textId="1192F5D7" w:rsidR="00846CAC" w:rsidRPr="00102840" w:rsidRDefault="00846CAC">
      <w:pPr>
        <w:spacing w:before="120" w:after="120"/>
        <w:jc w:val="both"/>
        <w:rPr>
          <w:rFonts w:ascii="Arial" w:eastAsia="Arial" w:hAnsi="Arial" w:cs="Arial"/>
          <w:sz w:val="24"/>
          <w:szCs w:val="24"/>
        </w:rPr>
      </w:pPr>
      <w:r w:rsidRPr="00102840">
        <w:rPr>
          <w:rFonts w:ascii="Arial" w:eastAsia="Arial" w:hAnsi="Arial" w:cs="Arial"/>
          <w:sz w:val="24"/>
          <w:szCs w:val="24"/>
        </w:rPr>
        <w:t>“I dati e le analisi dell’Osservatorio bilanci</w:t>
      </w:r>
      <w:r w:rsidR="00102840" w:rsidRPr="00102840">
        <w:rPr>
          <w:rFonts w:ascii="Arial" w:eastAsia="Arial" w:hAnsi="Arial" w:cs="Arial"/>
          <w:sz w:val="24"/>
          <w:szCs w:val="24"/>
        </w:rPr>
        <w:t xml:space="preserve"> della nostra Fondazione nazionale</w:t>
      </w:r>
      <w:r w:rsidRPr="00102840">
        <w:rPr>
          <w:rFonts w:ascii="Arial" w:eastAsia="Arial" w:hAnsi="Arial" w:cs="Arial"/>
          <w:sz w:val="24"/>
          <w:szCs w:val="24"/>
        </w:rPr>
        <w:t xml:space="preserve"> mostrano quanto la crisi pandemica abbia sconvolto i normali equilibri economici e finanziari delle imprese italiane</w:t>
      </w:r>
      <w:r w:rsidR="00102840" w:rsidRPr="00102840">
        <w:rPr>
          <w:rFonts w:ascii="Arial" w:eastAsia="Arial" w:hAnsi="Arial" w:cs="Arial"/>
          <w:sz w:val="24"/>
          <w:szCs w:val="24"/>
        </w:rPr>
        <w:t>”</w:t>
      </w:r>
      <w:r w:rsidRPr="00102840">
        <w:rPr>
          <w:rFonts w:ascii="Arial" w:eastAsia="Arial" w:hAnsi="Arial" w:cs="Arial"/>
          <w:sz w:val="24"/>
          <w:szCs w:val="24"/>
        </w:rPr>
        <w:t xml:space="preserve"> è il commento del presidente del Consiglio Nazionale dei</w:t>
      </w:r>
      <w:r w:rsidR="00102840" w:rsidRPr="00102840">
        <w:rPr>
          <w:rFonts w:ascii="Arial" w:eastAsia="Arial" w:hAnsi="Arial" w:cs="Arial"/>
          <w:sz w:val="24"/>
          <w:szCs w:val="24"/>
        </w:rPr>
        <w:t xml:space="preserve"> </w:t>
      </w:r>
      <w:r w:rsidRPr="00102840">
        <w:rPr>
          <w:rFonts w:ascii="Arial" w:eastAsia="Arial" w:hAnsi="Arial" w:cs="Arial"/>
          <w:sz w:val="24"/>
          <w:szCs w:val="24"/>
        </w:rPr>
        <w:t>Commercialisti</w:t>
      </w:r>
      <w:r w:rsidR="00102840" w:rsidRPr="00102840">
        <w:rPr>
          <w:rFonts w:ascii="Arial" w:eastAsia="Arial" w:hAnsi="Arial" w:cs="Arial"/>
          <w:sz w:val="24"/>
          <w:szCs w:val="24"/>
        </w:rPr>
        <w:t xml:space="preserve">, </w:t>
      </w:r>
      <w:r w:rsidRPr="00102840">
        <w:rPr>
          <w:rFonts w:ascii="Arial" w:eastAsia="Arial" w:hAnsi="Arial" w:cs="Arial"/>
          <w:b/>
          <w:bCs/>
          <w:sz w:val="24"/>
          <w:szCs w:val="24"/>
        </w:rPr>
        <w:t>Elbano de Nuccio</w:t>
      </w:r>
      <w:r w:rsidRPr="00102840">
        <w:rPr>
          <w:rFonts w:ascii="Arial" w:eastAsia="Arial" w:hAnsi="Arial" w:cs="Arial"/>
          <w:sz w:val="24"/>
          <w:szCs w:val="24"/>
        </w:rPr>
        <w:t xml:space="preserve">. </w:t>
      </w:r>
      <w:r w:rsidR="00102840" w:rsidRPr="00102840">
        <w:rPr>
          <w:rFonts w:ascii="Arial" w:eastAsia="Arial" w:hAnsi="Arial" w:cs="Arial"/>
          <w:sz w:val="24"/>
          <w:szCs w:val="24"/>
        </w:rPr>
        <w:t>“</w:t>
      </w:r>
      <w:r w:rsidRPr="00102840">
        <w:rPr>
          <w:rFonts w:ascii="Arial" w:eastAsia="Arial" w:hAnsi="Arial" w:cs="Arial"/>
          <w:sz w:val="24"/>
          <w:szCs w:val="24"/>
        </w:rPr>
        <w:t>Al crollo dei ricavi del 2020, che ha avuto</w:t>
      </w:r>
      <w:r w:rsidR="00102840" w:rsidRPr="00102840">
        <w:rPr>
          <w:rFonts w:ascii="Arial" w:eastAsia="Arial" w:hAnsi="Arial" w:cs="Arial"/>
          <w:sz w:val="24"/>
          <w:szCs w:val="24"/>
        </w:rPr>
        <w:t xml:space="preserve"> </w:t>
      </w:r>
      <w:r w:rsidRPr="00102840">
        <w:rPr>
          <w:rFonts w:ascii="Arial" w:eastAsia="Arial" w:hAnsi="Arial" w:cs="Arial"/>
          <w:sz w:val="24"/>
          <w:szCs w:val="24"/>
        </w:rPr>
        <w:t>pesanti conseguenze sugli utili aziendali</w:t>
      </w:r>
      <w:r w:rsidR="00102840" w:rsidRPr="00102840">
        <w:rPr>
          <w:rFonts w:ascii="Arial" w:eastAsia="Arial" w:hAnsi="Arial" w:cs="Arial"/>
          <w:sz w:val="24"/>
          <w:szCs w:val="24"/>
        </w:rPr>
        <w:t>”</w:t>
      </w:r>
      <w:r w:rsidRPr="00102840">
        <w:rPr>
          <w:rFonts w:ascii="Arial" w:eastAsia="Arial" w:hAnsi="Arial" w:cs="Arial"/>
          <w:sz w:val="24"/>
          <w:szCs w:val="24"/>
        </w:rPr>
        <w:t>,</w:t>
      </w:r>
      <w:r w:rsidR="00102840" w:rsidRPr="00102840">
        <w:rPr>
          <w:rFonts w:ascii="Arial" w:eastAsia="Arial" w:hAnsi="Arial" w:cs="Arial"/>
          <w:sz w:val="24"/>
          <w:szCs w:val="24"/>
        </w:rPr>
        <w:t xml:space="preserve"> prosegue,</w:t>
      </w:r>
      <w:r w:rsidRPr="00102840">
        <w:rPr>
          <w:rFonts w:ascii="Arial" w:eastAsia="Arial" w:hAnsi="Arial" w:cs="Arial"/>
          <w:sz w:val="24"/>
          <w:szCs w:val="24"/>
        </w:rPr>
        <w:t xml:space="preserve"> </w:t>
      </w:r>
      <w:r w:rsidR="00102840" w:rsidRPr="00102840">
        <w:rPr>
          <w:rFonts w:ascii="Arial" w:eastAsia="Arial" w:hAnsi="Arial" w:cs="Arial"/>
          <w:sz w:val="24"/>
          <w:szCs w:val="24"/>
        </w:rPr>
        <w:t>“</w:t>
      </w:r>
      <w:r w:rsidRPr="00102840">
        <w:rPr>
          <w:rFonts w:ascii="Arial" w:eastAsia="Arial" w:hAnsi="Arial" w:cs="Arial"/>
          <w:sz w:val="24"/>
          <w:szCs w:val="24"/>
        </w:rPr>
        <w:t xml:space="preserve">ha fatto seguito un rimbalzo dei ricavi nel 2021 con incrementi a doppia cifra che nasconde, però, un vero e proprio </w:t>
      </w:r>
      <w:r w:rsidRPr="00326249">
        <w:rPr>
          <w:rFonts w:ascii="Arial" w:eastAsia="Arial" w:hAnsi="Arial" w:cs="Arial"/>
          <w:b/>
          <w:bCs/>
          <w:sz w:val="24"/>
          <w:szCs w:val="24"/>
        </w:rPr>
        <w:t>effetto ottico</w:t>
      </w:r>
      <w:r w:rsidRPr="00102840">
        <w:rPr>
          <w:rFonts w:ascii="Arial" w:eastAsia="Arial" w:hAnsi="Arial" w:cs="Arial"/>
          <w:sz w:val="24"/>
          <w:szCs w:val="24"/>
        </w:rPr>
        <w:t xml:space="preserve">. Tanto più che </w:t>
      </w:r>
      <w:r w:rsidRPr="00326249">
        <w:rPr>
          <w:rFonts w:ascii="Arial" w:eastAsia="Arial" w:hAnsi="Arial" w:cs="Arial"/>
          <w:b/>
          <w:bCs/>
          <w:sz w:val="24"/>
          <w:szCs w:val="24"/>
        </w:rPr>
        <w:t>nell’anno in corso</w:t>
      </w:r>
      <w:r w:rsidRPr="00102840">
        <w:rPr>
          <w:rFonts w:ascii="Arial" w:eastAsia="Arial" w:hAnsi="Arial" w:cs="Arial"/>
          <w:sz w:val="24"/>
          <w:szCs w:val="24"/>
        </w:rPr>
        <w:t xml:space="preserve">, a causa degli effetti pandemici poi aggravati dalle conseguenze della </w:t>
      </w:r>
      <w:r w:rsidRPr="00326249">
        <w:rPr>
          <w:rFonts w:ascii="Arial" w:eastAsia="Arial" w:hAnsi="Arial" w:cs="Arial"/>
          <w:b/>
          <w:bCs/>
          <w:sz w:val="24"/>
          <w:szCs w:val="24"/>
        </w:rPr>
        <w:t>guerra russo-ucraina</w:t>
      </w:r>
      <w:r w:rsidRPr="00102840">
        <w:rPr>
          <w:rFonts w:ascii="Arial" w:eastAsia="Arial" w:hAnsi="Arial" w:cs="Arial"/>
          <w:sz w:val="24"/>
          <w:szCs w:val="24"/>
        </w:rPr>
        <w:t xml:space="preserve">, </w:t>
      </w:r>
      <w:r w:rsidR="002B4469" w:rsidRPr="00102840">
        <w:rPr>
          <w:rFonts w:ascii="Arial" w:eastAsia="Arial" w:hAnsi="Arial" w:cs="Arial"/>
          <w:sz w:val="24"/>
          <w:szCs w:val="24"/>
        </w:rPr>
        <w:t xml:space="preserve">le imprese stanno soffrendo nuove </w:t>
      </w:r>
      <w:r w:rsidR="0068637E" w:rsidRPr="00102840">
        <w:rPr>
          <w:rFonts w:ascii="Arial" w:eastAsia="Arial" w:hAnsi="Arial" w:cs="Arial"/>
          <w:sz w:val="24"/>
          <w:szCs w:val="24"/>
        </w:rPr>
        <w:t xml:space="preserve">situazioni di </w:t>
      </w:r>
      <w:r w:rsidR="002B4469" w:rsidRPr="00102840">
        <w:rPr>
          <w:rFonts w:ascii="Arial" w:eastAsia="Arial" w:hAnsi="Arial" w:cs="Arial"/>
          <w:sz w:val="24"/>
          <w:szCs w:val="24"/>
        </w:rPr>
        <w:t>crisi</w:t>
      </w:r>
      <w:r w:rsidR="0068637E" w:rsidRPr="00102840">
        <w:rPr>
          <w:rFonts w:ascii="Arial" w:eastAsia="Arial" w:hAnsi="Arial" w:cs="Arial"/>
          <w:sz w:val="24"/>
          <w:szCs w:val="24"/>
        </w:rPr>
        <w:t xml:space="preserve"> che, per certi aspetti, sono anche </w:t>
      </w:r>
      <w:r w:rsidR="0068637E" w:rsidRPr="00326249">
        <w:rPr>
          <w:rFonts w:ascii="Arial" w:eastAsia="Arial" w:hAnsi="Arial" w:cs="Arial"/>
          <w:b/>
          <w:bCs/>
          <w:sz w:val="24"/>
          <w:szCs w:val="24"/>
        </w:rPr>
        <w:t>più gravi di quella pandemica</w:t>
      </w:r>
      <w:r w:rsidR="0068637E" w:rsidRPr="00102840">
        <w:rPr>
          <w:rFonts w:ascii="Arial" w:eastAsia="Arial" w:hAnsi="Arial" w:cs="Arial"/>
          <w:sz w:val="24"/>
          <w:szCs w:val="24"/>
        </w:rPr>
        <w:t xml:space="preserve"> poiché intaccano la </w:t>
      </w:r>
      <w:r w:rsidR="0068637E" w:rsidRPr="00326249">
        <w:rPr>
          <w:rFonts w:ascii="Arial" w:eastAsia="Arial" w:hAnsi="Arial" w:cs="Arial"/>
          <w:b/>
          <w:bCs/>
          <w:sz w:val="24"/>
          <w:szCs w:val="24"/>
        </w:rPr>
        <w:t>redditività</w:t>
      </w:r>
      <w:r w:rsidR="0068637E" w:rsidRPr="00102840">
        <w:rPr>
          <w:rFonts w:ascii="Arial" w:eastAsia="Arial" w:hAnsi="Arial" w:cs="Arial"/>
          <w:sz w:val="24"/>
          <w:szCs w:val="24"/>
        </w:rPr>
        <w:t xml:space="preserve"> e non solo la liquidità</w:t>
      </w:r>
      <w:r w:rsidR="002B4469" w:rsidRPr="00102840">
        <w:rPr>
          <w:rFonts w:ascii="Arial" w:eastAsia="Arial" w:hAnsi="Arial" w:cs="Arial"/>
          <w:sz w:val="24"/>
          <w:szCs w:val="24"/>
        </w:rPr>
        <w:t xml:space="preserve">. L’esperienza degli ultimi due anni dovrebbe insegnarci non solo a leggere i dati con maggiore cautela, ma anche a utilizzarli con maggiore attenzione nel </w:t>
      </w:r>
      <w:r w:rsidR="002B4469" w:rsidRPr="00326249">
        <w:rPr>
          <w:rFonts w:ascii="Arial" w:eastAsia="Arial" w:hAnsi="Arial" w:cs="Arial"/>
          <w:b/>
          <w:bCs/>
          <w:sz w:val="24"/>
          <w:szCs w:val="24"/>
        </w:rPr>
        <w:t>dosare gli interventi di sostegno</w:t>
      </w:r>
      <w:r w:rsidR="00102840">
        <w:rPr>
          <w:rFonts w:ascii="Arial" w:eastAsia="Arial" w:hAnsi="Arial" w:cs="Arial"/>
          <w:sz w:val="24"/>
          <w:szCs w:val="24"/>
        </w:rPr>
        <w:t>”</w:t>
      </w:r>
      <w:r w:rsidR="002B4469" w:rsidRPr="00102840">
        <w:rPr>
          <w:rFonts w:ascii="Arial" w:eastAsia="Arial" w:hAnsi="Arial" w:cs="Arial"/>
          <w:sz w:val="24"/>
          <w:szCs w:val="24"/>
        </w:rPr>
        <w:t xml:space="preserve">. </w:t>
      </w:r>
      <w:r w:rsidR="00102840">
        <w:rPr>
          <w:rFonts w:ascii="Arial" w:eastAsia="Arial" w:hAnsi="Arial" w:cs="Arial"/>
          <w:sz w:val="24"/>
          <w:szCs w:val="24"/>
        </w:rPr>
        <w:t>Secondo de Nuccio “</w:t>
      </w:r>
      <w:r w:rsidR="002B4469" w:rsidRPr="00102840">
        <w:rPr>
          <w:rFonts w:ascii="Arial" w:eastAsia="Arial" w:hAnsi="Arial" w:cs="Arial"/>
          <w:sz w:val="24"/>
          <w:szCs w:val="24"/>
        </w:rPr>
        <w:t>gli aiuti vanno il più possibile calibrati sulle reali esigenze delle imprese</w:t>
      </w:r>
      <w:r w:rsidR="00102840">
        <w:rPr>
          <w:rFonts w:ascii="Arial" w:eastAsia="Arial" w:hAnsi="Arial" w:cs="Arial"/>
          <w:sz w:val="24"/>
          <w:szCs w:val="24"/>
        </w:rPr>
        <w:t xml:space="preserve">, evitando il rischio di </w:t>
      </w:r>
      <w:r w:rsidR="002B4469" w:rsidRPr="00326249">
        <w:rPr>
          <w:rFonts w:ascii="Arial" w:eastAsia="Arial" w:hAnsi="Arial" w:cs="Arial"/>
          <w:b/>
          <w:bCs/>
          <w:sz w:val="24"/>
          <w:szCs w:val="24"/>
        </w:rPr>
        <w:t>dispersi</w:t>
      </w:r>
      <w:r w:rsidR="00102840" w:rsidRPr="00326249">
        <w:rPr>
          <w:rFonts w:ascii="Arial" w:eastAsia="Arial" w:hAnsi="Arial" w:cs="Arial"/>
          <w:b/>
          <w:bCs/>
          <w:sz w:val="24"/>
          <w:szCs w:val="24"/>
        </w:rPr>
        <w:t>one</w:t>
      </w:r>
      <w:r w:rsidR="002B4469" w:rsidRPr="00102840">
        <w:rPr>
          <w:rFonts w:ascii="Arial" w:eastAsia="Arial" w:hAnsi="Arial" w:cs="Arial"/>
          <w:sz w:val="24"/>
          <w:szCs w:val="24"/>
        </w:rPr>
        <w:t xml:space="preserve"> attraverso generalizzati meccanismi di distribuzione. </w:t>
      </w:r>
      <w:r w:rsidR="00103156" w:rsidRPr="00102840">
        <w:rPr>
          <w:rFonts w:ascii="Arial" w:eastAsia="Arial" w:hAnsi="Arial" w:cs="Arial"/>
          <w:sz w:val="24"/>
          <w:szCs w:val="24"/>
        </w:rPr>
        <w:t xml:space="preserve">È evidente proprio dai dati dell’Osservatorio che i settori più colpiti dalla crisi, come ad esempio il settore della ristorazione e dell’alloggio, pur avendo sfruttato appieno la ripresa post-pandemica, non sono riusciti a recuperare i livelli precedenti e molte imprese sono addirittura scomparse, non </w:t>
      </w:r>
      <w:r w:rsidR="004C16AB" w:rsidRPr="00102840">
        <w:rPr>
          <w:rFonts w:ascii="Arial" w:eastAsia="Arial" w:hAnsi="Arial" w:cs="Arial"/>
          <w:sz w:val="24"/>
          <w:szCs w:val="24"/>
        </w:rPr>
        <w:t xml:space="preserve">riuscendo nemmeno a </w:t>
      </w:r>
      <w:r w:rsidR="00103156" w:rsidRPr="00102840">
        <w:rPr>
          <w:rFonts w:ascii="Arial" w:eastAsia="Arial" w:hAnsi="Arial" w:cs="Arial"/>
          <w:sz w:val="24"/>
          <w:szCs w:val="24"/>
        </w:rPr>
        <w:t>deposita</w:t>
      </w:r>
      <w:r w:rsidR="004C16AB" w:rsidRPr="00102840">
        <w:rPr>
          <w:rFonts w:ascii="Arial" w:eastAsia="Arial" w:hAnsi="Arial" w:cs="Arial"/>
          <w:sz w:val="24"/>
          <w:szCs w:val="24"/>
        </w:rPr>
        <w:t>re</w:t>
      </w:r>
      <w:r w:rsidR="00103156" w:rsidRPr="00102840">
        <w:rPr>
          <w:rFonts w:ascii="Arial" w:eastAsia="Arial" w:hAnsi="Arial" w:cs="Arial"/>
          <w:sz w:val="24"/>
          <w:szCs w:val="24"/>
        </w:rPr>
        <w:t xml:space="preserve"> i bilanci 2021. Allo stesso modo, il settore delle costruzioni e dell’edilizia, avendo beneficiato delle agevolazioni fiscali, tra cui il superbonus 110%, esce praticamente indenne dalla crisi con risultati </w:t>
      </w:r>
      <w:r w:rsidR="004C16AB" w:rsidRPr="00102840">
        <w:rPr>
          <w:rFonts w:ascii="Arial" w:eastAsia="Arial" w:hAnsi="Arial" w:cs="Arial"/>
          <w:sz w:val="24"/>
          <w:szCs w:val="24"/>
        </w:rPr>
        <w:t xml:space="preserve">anche </w:t>
      </w:r>
      <w:r w:rsidR="00103156" w:rsidRPr="00102840">
        <w:rPr>
          <w:rFonts w:ascii="Arial" w:eastAsia="Arial" w:hAnsi="Arial" w:cs="Arial"/>
          <w:sz w:val="24"/>
          <w:szCs w:val="24"/>
        </w:rPr>
        <w:t>molto positivi</w:t>
      </w:r>
      <w:r w:rsidR="00102840">
        <w:rPr>
          <w:rFonts w:ascii="Arial" w:eastAsia="Arial" w:hAnsi="Arial" w:cs="Arial"/>
          <w:sz w:val="24"/>
          <w:szCs w:val="24"/>
        </w:rPr>
        <w:t>”</w:t>
      </w:r>
      <w:r w:rsidR="00103156" w:rsidRPr="00102840">
        <w:rPr>
          <w:rFonts w:ascii="Arial" w:eastAsia="Arial" w:hAnsi="Arial" w:cs="Arial"/>
          <w:sz w:val="24"/>
          <w:szCs w:val="24"/>
        </w:rPr>
        <w:t xml:space="preserve">. </w:t>
      </w:r>
      <w:r w:rsidR="00102840">
        <w:rPr>
          <w:rFonts w:ascii="Arial" w:eastAsia="Arial" w:hAnsi="Arial" w:cs="Arial"/>
          <w:sz w:val="24"/>
          <w:szCs w:val="24"/>
        </w:rPr>
        <w:t>“</w:t>
      </w:r>
      <w:r w:rsidR="00103156" w:rsidRPr="00102840">
        <w:rPr>
          <w:rFonts w:ascii="Arial" w:eastAsia="Arial" w:hAnsi="Arial" w:cs="Arial"/>
          <w:sz w:val="24"/>
          <w:szCs w:val="24"/>
        </w:rPr>
        <w:t>Questi dati</w:t>
      </w:r>
      <w:r w:rsidR="00102840">
        <w:rPr>
          <w:rFonts w:ascii="Arial" w:eastAsia="Arial" w:hAnsi="Arial" w:cs="Arial"/>
          <w:sz w:val="24"/>
          <w:szCs w:val="24"/>
        </w:rPr>
        <w:t>”</w:t>
      </w:r>
      <w:r w:rsidR="00103156" w:rsidRPr="00102840">
        <w:rPr>
          <w:rFonts w:ascii="Arial" w:eastAsia="Arial" w:hAnsi="Arial" w:cs="Arial"/>
          <w:sz w:val="24"/>
          <w:szCs w:val="24"/>
        </w:rPr>
        <w:t xml:space="preserve">, </w:t>
      </w:r>
      <w:r w:rsidR="00102840">
        <w:rPr>
          <w:rFonts w:ascii="Arial" w:eastAsia="Arial" w:hAnsi="Arial" w:cs="Arial"/>
          <w:sz w:val="24"/>
          <w:szCs w:val="24"/>
        </w:rPr>
        <w:t>prosegue, “</w:t>
      </w:r>
      <w:r w:rsidR="00103156" w:rsidRPr="00102840">
        <w:rPr>
          <w:rFonts w:ascii="Arial" w:eastAsia="Arial" w:hAnsi="Arial" w:cs="Arial"/>
          <w:sz w:val="24"/>
          <w:szCs w:val="24"/>
        </w:rPr>
        <w:t xml:space="preserve">invitano non solo alla </w:t>
      </w:r>
      <w:r w:rsidR="00103156" w:rsidRPr="00326249">
        <w:rPr>
          <w:rFonts w:ascii="Arial" w:eastAsia="Arial" w:hAnsi="Arial" w:cs="Arial"/>
          <w:b/>
          <w:bCs/>
          <w:sz w:val="24"/>
          <w:szCs w:val="24"/>
        </w:rPr>
        <w:t>prudenza</w:t>
      </w:r>
      <w:r w:rsidR="00103156" w:rsidRPr="00102840">
        <w:rPr>
          <w:rFonts w:ascii="Arial" w:eastAsia="Arial" w:hAnsi="Arial" w:cs="Arial"/>
          <w:sz w:val="24"/>
          <w:szCs w:val="24"/>
        </w:rPr>
        <w:t xml:space="preserve"> e ad una lettura più attenta delle dinamiche economiche e finanziarie delle imprese, ma anche e soprattutto ad un confronto costante e proficuo tra policy maker e operatori</w:t>
      </w:r>
      <w:r w:rsidR="004C16AB" w:rsidRPr="00102840">
        <w:rPr>
          <w:rFonts w:ascii="Arial" w:eastAsia="Arial" w:hAnsi="Arial" w:cs="Arial"/>
          <w:sz w:val="24"/>
          <w:szCs w:val="24"/>
        </w:rPr>
        <w:t xml:space="preserve"> alla ricerca delle soluzioni più adeguate e corrispondenti alle reali esigenze. </w:t>
      </w:r>
      <w:r w:rsidR="00090992" w:rsidRPr="00090992">
        <w:rPr>
          <w:rFonts w:ascii="Arial" w:hAnsi="Arial" w:cs="Arial"/>
          <w:color w:val="000000"/>
          <w:sz w:val="24"/>
          <w:szCs w:val="24"/>
        </w:rPr>
        <w:t xml:space="preserve">I provvedimenti della manovra in via di approvazione al Senato vanno nella </w:t>
      </w:r>
      <w:r w:rsidR="00090992" w:rsidRPr="00090992">
        <w:rPr>
          <w:rFonts w:ascii="Arial" w:hAnsi="Arial" w:cs="Arial"/>
          <w:b/>
          <w:bCs/>
          <w:color w:val="000000"/>
          <w:sz w:val="24"/>
          <w:szCs w:val="24"/>
        </w:rPr>
        <w:t>giusta direzione</w:t>
      </w:r>
      <w:r w:rsidR="00090992">
        <w:rPr>
          <w:rFonts w:ascii="Arial" w:hAnsi="Arial" w:cs="Arial"/>
          <w:color w:val="000000"/>
          <w:sz w:val="24"/>
          <w:szCs w:val="24"/>
        </w:rPr>
        <w:t xml:space="preserve">. </w:t>
      </w:r>
      <w:proofErr w:type="gramStart"/>
      <w:r w:rsidR="004C16AB" w:rsidRPr="00090992">
        <w:rPr>
          <w:rFonts w:ascii="Arial" w:eastAsia="Arial" w:hAnsi="Arial" w:cs="Arial"/>
          <w:sz w:val="24"/>
          <w:szCs w:val="24"/>
        </w:rPr>
        <w:t>Ora</w:t>
      </w:r>
      <w:proofErr w:type="gramEnd"/>
      <w:r w:rsidR="004C16AB" w:rsidRPr="00102840">
        <w:rPr>
          <w:rFonts w:ascii="Arial" w:eastAsia="Arial" w:hAnsi="Arial" w:cs="Arial"/>
          <w:sz w:val="24"/>
          <w:szCs w:val="24"/>
        </w:rPr>
        <w:t xml:space="preserve"> bisogna rafforzare l’impegno del governo sul </w:t>
      </w:r>
      <w:r w:rsidR="004C16AB" w:rsidRPr="00326249">
        <w:rPr>
          <w:rFonts w:ascii="Arial" w:eastAsia="Arial" w:hAnsi="Arial" w:cs="Arial"/>
          <w:b/>
          <w:bCs/>
          <w:sz w:val="24"/>
          <w:szCs w:val="24"/>
        </w:rPr>
        <w:t>fronte imprenditoriale</w:t>
      </w:r>
      <w:r w:rsidR="004C16AB" w:rsidRPr="00102840">
        <w:rPr>
          <w:rFonts w:ascii="Arial" w:eastAsia="Arial" w:hAnsi="Arial" w:cs="Arial"/>
          <w:sz w:val="24"/>
          <w:szCs w:val="24"/>
        </w:rPr>
        <w:t xml:space="preserve"> puntando non solo a ridurre la </w:t>
      </w:r>
      <w:r w:rsidR="004C16AB" w:rsidRPr="00326249">
        <w:rPr>
          <w:rFonts w:ascii="Arial" w:eastAsia="Arial" w:hAnsi="Arial" w:cs="Arial"/>
          <w:b/>
          <w:bCs/>
          <w:sz w:val="24"/>
          <w:szCs w:val="24"/>
        </w:rPr>
        <w:t>pre</w:t>
      </w:r>
      <w:r w:rsidR="00636734" w:rsidRPr="00326249">
        <w:rPr>
          <w:rFonts w:ascii="Arial" w:eastAsia="Arial" w:hAnsi="Arial" w:cs="Arial"/>
          <w:b/>
          <w:bCs/>
          <w:sz w:val="24"/>
          <w:szCs w:val="24"/>
        </w:rPr>
        <w:t>ssione fiscale</w:t>
      </w:r>
      <w:r w:rsidR="00102840">
        <w:rPr>
          <w:rFonts w:ascii="Arial" w:eastAsia="Arial" w:hAnsi="Arial" w:cs="Arial"/>
          <w:sz w:val="24"/>
          <w:szCs w:val="24"/>
        </w:rPr>
        <w:t>,</w:t>
      </w:r>
      <w:r w:rsidR="004C16AB" w:rsidRPr="00102840">
        <w:rPr>
          <w:rFonts w:ascii="Arial" w:eastAsia="Arial" w:hAnsi="Arial" w:cs="Arial"/>
          <w:sz w:val="24"/>
          <w:szCs w:val="24"/>
        </w:rPr>
        <w:t xml:space="preserve"> ma </w:t>
      </w:r>
      <w:r w:rsidR="00102840">
        <w:rPr>
          <w:rFonts w:ascii="Arial" w:eastAsia="Arial" w:hAnsi="Arial" w:cs="Arial"/>
          <w:sz w:val="24"/>
          <w:szCs w:val="24"/>
        </w:rPr>
        <w:t xml:space="preserve">anche </w:t>
      </w:r>
      <w:r w:rsidR="004C16AB" w:rsidRPr="00102840">
        <w:rPr>
          <w:rFonts w:ascii="Arial" w:eastAsia="Arial" w:hAnsi="Arial" w:cs="Arial"/>
          <w:sz w:val="24"/>
          <w:szCs w:val="24"/>
        </w:rPr>
        <w:t xml:space="preserve">a creare un </w:t>
      </w:r>
      <w:r w:rsidR="004C16AB" w:rsidRPr="00326249">
        <w:rPr>
          <w:rFonts w:ascii="Arial" w:eastAsia="Arial" w:hAnsi="Arial" w:cs="Arial"/>
          <w:b/>
          <w:bCs/>
          <w:sz w:val="24"/>
          <w:szCs w:val="24"/>
        </w:rPr>
        <w:t>ambiente fiscale</w:t>
      </w:r>
      <w:r w:rsidR="004C16AB" w:rsidRPr="00102840">
        <w:rPr>
          <w:rFonts w:ascii="Arial" w:eastAsia="Arial" w:hAnsi="Arial" w:cs="Arial"/>
          <w:sz w:val="24"/>
          <w:szCs w:val="24"/>
        </w:rPr>
        <w:t xml:space="preserve"> il più possibile amico delle imprese. Noi </w:t>
      </w:r>
      <w:r w:rsidR="00636734" w:rsidRPr="00102840">
        <w:rPr>
          <w:rFonts w:ascii="Arial" w:eastAsia="Arial" w:hAnsi="Arial" w:cs="Arial"/>
          <w:sz w:val="24"/>
          <w:szCs w:val="24"/>
        </w:rPr>
        <w:t>collaboreremo</w:t>
      </w:r>
      <w:r w:rsidR="004C16AB" w:rsidRPr="00102840">
        <w:rPr>
          <w:rFonts w:ascii="Arial" w:eastAsia="Arial" w:hAnsi="Arial" w:cs="Arial"/>
          <w:sz w:val="24"/>
          <w:szCs w:val="24"/>
        </w:rPr>
        <w:t xml:space="preserve"> </w:t>
      </w:r>
      <w:proofErr w:type="gramStart"/>
      <w:r w:rsidR="004C16AB" w:rsidRPr="00102840">
        <w:rPr>
          <w:rFonts w:ascii="Arial" w:eastAsia="Arial" w:hAnsi="Arial" w:cs="Arial"/>
          <w:sz w:val="24"/>
          <w:szCs w:val="24"/>
        </w:rPr>
        <w:t>mettendo in campo</w:t>
      </w:r>
      <w:proofErr w:type="gramEnd"/>
      <w:r w:rsidR="004C16AB" w:rsidRPr="00102840">
        <w:rPr>
          <w:rFonts w:ascii="Arial" w:eastAsia="Arial" w:hAnsi="Arial" w:cs="Arial"/>
          <w:sz w:val="24"/>
          <w:szCs w:val="24"/>
        </w:rPr>
        <w:t xml:space="preserve"> le solide competenze in ambito contabile e fiscale degli oltre 120 mila commercialisti italiani</w:t>
      </w:r>
      <w:r w:rsidR="00103156" w:rsidRPr="00102840">
        <w:rPr>
          <w:rFonts w:ascii="Arial" w:eastAsia="Arial" w:hAnsi="Arial" w:cs="Arial"/>
          <w:sz w:val="24"/>
          <w:szCs w:val="24"/>
        </w:rPr>
        <w:t xml:space="preserve">”. </w:t>
      </w:r>
      <w:r w:rsidR="002B4469" w:rsidRPr="00102840">
        <w:rPr>
          <w:rFonts w:ascii="Arial" w:eastAsia="Arial" w:hAnsi="Arial" w:cs="Arial"/>
          <w:sz w:val="24"/>
          <w:szCs w:val="24"/>
        </w:rPr>
        <w:t xml:space="preserve"> </w:t>
      </w:r>
    </w:p>
    <w:p w14:paraId="3074CF4F" w14:textId="77777777" w:rsidR="005F6B93" w:rsidRPr="00102840" w:rsidRDefault="005F6B93">
      <w:pPr>
        <w:jc w:val="both"/>
        <w:rPr>
          <w:rFonts w:ascii="Arial" w:eastAsia="Arial" w:hAnsi="Arial" w:cs="Arial"/>
          <w:sz w:val="24"/>
          <w:szCs w:val="24"/>
        </w:rPr>
      </w:pPr>
    </w:p>
    <w:sectPr w:rsidR="005F6B93" w:rsidRPr="00102840">
      <w:head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552C" w14:textId="77777777" w:rsidR="007C29BB" w:rsidRDefault="007C29BB">
      <w:r>
        <w:separator/>
      </w:r>
    </w:p>
  </w:endnote>
  <w:endnote w:type="continuationSeparator" w:id="0">
    <w:p w14:paraId="7ED0871C" w14:textId="77777777" w:rsidR="007C29BB" w:rsidRDefault="007C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065E" w14:textId="77777777" w:rsidR="007C29BB" w:rsidRDefault="007C29BB">
      <w:r>
        <w:separator/>
      </w:r>
    </w:p>
  </w:footnote>
  <w:footnote w:type="continuationSeparator" w:id="0">
    <w:p w14:paraId="7B75C613" w14:textId="77777777" w:rsidR="007C29BB" w:rsidRDefault="007C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90992"/>
    <w:rsid w:val="00102840"/>
    <w:rsid w:val="00103156"/>
    <w:rsid w:val="001657E9"/>
    <w:rsid w:val="002B4469"/>
    <w:rsid w:val="00326249"/>
    <w:rsid w:val="004C16AB"/>
    <w:rsid w:val="005F6B93"/>
    <w:rsid w:val="00636734"/>
    <w:rsid w:val="0068637E"/>
    <w:rsid w:val="007C29BB"/>
    <w:rsid w:val="00827BB9"/>
    <w:rsid w:val="00846CAC"/>
    <w:rsid w:val="00BD401F"/>
    <w:rsid w:val="00C87946"/>
    <w:rsid w:val="00F66F72"/>
    <w:rsid w:val="00FA0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870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Parracino Mauro</cp:lastModifiedBy>
  <cp:revision>3</cp:revision>
  <dcterms:created xsi:type="dcterms:W3CDTF">2022-12-29T08:31:00Z</dcterms:created>
  <dcterms:modified xsi:type="dcterms:W3CDTF">2022-12-29T09:07:00Z</dcterms:modified>
</cp:coreProperties>
</file>