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8BFF" w14:textId="79FCFC98" w:rsidR="00A20672" w:rsidRDefault="00A20672" w:rsidP="006C72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734721" w14:textId="77777777" w:rsidR="00B621FA" w:rsidRPr="00501B79" w:rsidRDefault="00B621FA" w:rsidP="006C72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52980B" w14:textId="01855FF3" w:rsidR="002579D5" w:rsidRPr="00501B79" w:rsidRDefault="002579D5" w:rsidP="006C72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01B79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41E2CA4C" w14:textId="77777777" w:rsidR="002579D5" w:rsidRPr="00501B79" w:rsidRDefault="002579D5" w:rsidP="006C72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6F447E" w14:textId="77777777" w:rsidR="002579D5" w:rsidRPr="00501B79" w:rsidRDefault="002579D5" w:rsidP="006C72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DE8153" w14:textId="5E47F706" w:rsidR="00894064" w:rsidRDefault="00F9431E" w:rsidP="006C72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1B79">
        <w:rPr>
          <w:rFonts w:ascii="Arial" w:hAnsi="Arial" w:cs="Arial"/>
          <w:b/>
          <w:bCs/>
          <w:sz w:val="24"/>
          <w:szCs w:val="24"/>
        </w:rPr>
        <w:t>DL SEMPLIFICAZIONI</w:t>
      </w:r>
      <w:r w:rsidR="00894064">
        <w:rPr>
          <w:rFonts w:ascii="Arial" w:hAnsi="Arial" w:cs="Arial"/>
          <w:b/>
          <w:bCs/>
          <w:sz w:val="24"/>
          <w:szCs w:val="24"/>
        </w:rPr>
        <w:t xml:space="preserve">, </w:t>
      </w:r>
      <w:r w:rsidR="00C63678">
        <w:rPr>
          <w:rFonts w:ascii="Arial" w:hAnsi="Arial" w:cs="Arial"/>
          <w:b/>
          <w:bCs/>
          <w:sz w:val="24"/>
          <w:szCs w:val="24"/>
        </w:rPr>
        <w:t>DE NUCCIO</w:t>
      </w:r>
      <w:r w:rsidR="002579D5" w:rsidRPr="00501B79">
        <w:rPr>
          <w:rFonts w:ascii="Arial" w:hAnsi="Arial" w:cs="Arial"/>
          <w:b/>
          <w:bCs/>
          <w:sz w:val="24"/>
          <w:szCs w:val="24"/>
        </w:rPr>
        <w:t xml:space="preserve">: </w:t>
      </w:r>
      <w:r w:rsidR="00C63678">
        <w:rPr>
          <w:rFonts w:ascii="Arial" w:hAnsi="Arial" w:cs="Arial"/>
          <w:b/>
          <w:bCs/>
          <w:sz w:val="24"/>
          <w:szCs w:val="24"/>
        </w:rPr>
        <w:t>“</w:t>
      </w:r>
      <w:r w:rsidR="002579D5" w:rsidRPr="00501B79">
        <w:rPr>
          <w:rFonts w:ascii="Arial" w:hAnsi="Arial" w:cs="Arial"/>
          <w:b/>
          <w:bCs/>
          <w:sz w:val="24"/>
          <w:szCs w:val="24"/>
        </w:rPr>
        <w:t>BENE NUOV</w:t>
      </w:r>
      <w:r w:rsidR="00C21BD5" w:rsidRPr="00501B79">
        <w:rPr>
          <w:rFonts w:ascii="Arial" w:hAnsi="Arial" w:cs="Arial"/>
          <w:b/>
          <w:bCs/>
          <w:sz w:val="24"/>
          <w:szCs w:val="24"/>
        </w:rPr>
        <w:t>A</w:t>
      </w:r>
      <w:r w:rsidR="002579D5" w:rsidRPr="00501B79">
        <w:rPr>
          <w:rFonts w:ascii="Arial" w:hAnsi="Arial" w:cs="Arial"/>
          <w:b/>
          <w:bCs/>
          <w:sz w:val="24"/>
          <w:szCs w:val="24"/>
        </w:rPr>
        <w:t xml:space="preserve"> SOGLI</w:t>
      </w:r>
      <w:r w:rsidR="00C21BD5" w:rsidRPr="00501B79">
        <w:rPr>
          <w:rFonts w:ascii="Arial" w:hAnsi="Arial" w:cs="Arial"/>
          <w:b/>
          <w:bCs/>
          <w:sz w:val="24"/>
          <w:szCs w:val="24"/>
        </w:rPr>
        <w:t>A</w:t>
      </w:r>
      <w:r w:rsidR="002579D5" w:rsidRPr="00501B79">
        <w:rPr>
          <w:rFonts w:ascii="Arial" w:hAnsi="Arial" w:cs="Arial"/>
          <w:b/>
          <w:bCs/>
          <w:sz w:val="24"/>
          <w:szCs w:val="24"/>
        </w:rPr>
        <w:t xml:space="preserve"> </w:t>
      </w:r>
      <w:r w:rsidR="00AB4B56" w:rsidRPr="00501B79">
        <w:rPr>
          <w:rFonts w:ascii="Arial" w:hAnsi="Arial" w:cs="Arial"/>
          <w:b/>
          <w:bCs/>
          <w:sz w:val="24"/>
          <w:szCs w:val="24"/>
        </w:rPr>
        <w:t>DEBITO IVA</w:t>
      </w:r>
      <w:r w:rsidR="002579D5" w:rsidRPr="00501B79">
        <w:rPr>
          <w:rFonts w:ascii="Arial" w:hAnsi="Arial" w:cs="Arial"/>
          <w:b/>
          <w:bCs/>
          <w:sz w:val="24"/>
          <w:szCs w:val="24"/>
        </w:rPr>
        <w:t>,</w:t>
      </w:r>
    </w:p>
    <w:p w14:paraId="180F82C2" w14:textId="714E3FCE" w:rsidR="002579D5" w:rsidRPr="00501B79" w:rsidRDefault="002579D5" w:rsidP="006C72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1B79">
        <w:rPr>
          <w:rFonts w:ascii="Arial" w:hAnsi="Arial" w:cs="Arial"/>
          <w:b/>
          <w:bCs/>
          <w:sz w:val="24"/>
          <w:szCs w:val="24"/>
        </w:rPr>
        <w:t xml:space="preserve">MA </w:t>
      </w:r>
      <w:r w:rsidR="000526D8" w:rsidRPr="00501B79">
        <w:rPr>
          <w:rFonts w:ascii="Arial" w:hAnsi="Arial" w:cs="Arial"/>
          <w:b/>
          <w:bCs/>
          <w:sz w:val="24"/>
          <w:szCs w:val="24"/>
        </w:rPr>
        <w:t>SERVE ULTERIORE INNALZAMENTO</w:t>
      </w:r>
      <w:r w:rsidR="00C63678">
        <w:rPr>
          <w:rFonts w:ascii="Arial" w:hAnsi="Arial" w:cs="Arial"/>
          <w:b/>
          <w:bCs/>
          <w:sz w:val="24"/>
          <w:szCs w:val="24"/>
        </w:rPr>
        <w:t>”</w:t>
      </w:r>
    </w:p>
    <w:p w14:paraId="2F6CAD15" w14:textId="77777777" w:rsidR="002579D5" w:rsidRPr="00501B79" w:rsidRDefault="002579D5" w:rsidP="006C72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CB8CA2" w14:textId="11FBF337" w:rsidR="00F9431E" w:rsidRPr="00501B79" w:rsidRDefault="00945DFF" w:rsidP="006C729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bidi="it-IT"/>
        </w:rPr>
      </w:pPr>
      <w:r w:rsidRPr="00501B79">
        <w:rPr>
          <w:rFonts w:ascii="Arial" w:hAnsi="Arial" w:cs="Arial"/>
          <w:b/>
          <w:bCs/>
          <w:sz w:val="24"/>
          <w:szCs w:val="24"/>
        </w:rPr>
        <w:t>Un debito</w:t>
      </w:r>
      <w:r w:rsidR="00F9431E" w:rsidRPr="00501B79">
        <w:rPr>
          <w:rFonts w:ascii="Arial" w:hAnsi="Arial" w:cs="Arial"/>
          <w:b/>
          <w:bCs/>
          <w:sz w:val="24"/>
          <w:szCs w:val="24"/>
        </w:rPr>
        <w:t xml:space="preserve"> superiore a 20mila euro </w:t>
      </w:r>
      <w:r w:rsidRPr="00501B79">
        <w:rPr>
          <w:rFonts w:ascii="Arial" w:hAnsi="Arial" w:cs="Arial"/>
          <w:b/>
          <w:bCs/>
          <w:sz w:val="24"/>
          <w:szCs w:val="24"/>
        </w:rPr>
        <w:t xml:space="preserve">farà </w:t>
      </w:r>
      <w:r w:rsidR="00F9431E" w:rsidRPr="00501B79">
        <w:rPr>
          <w:rFonts w:ascii="Arial" w:hAnsi="Arial" w:cs="Arial"/>
          <w:b/>
          <w:bCs/>
          <w:sz w:val="24"/>
          <w:szCs w:val="24"/>
        </w:rPr>
        <w:t>scattare la segnalazione da parte dell’Agenzia delle Entrate nei confronti dell’imprenditore</w:t>
      </w:r>
      <w:r w:rsidRPr="00501B79">
        <w:rPr>
          <w:rFonts w:ascii="Arial" w:hAnsi="Arial" w:cs="Arial"/>
          <w:b/>
          <w:bCs/>
          <w:sz w:val="24"/>
          <w:szCs w:val="24"/>
        </w:rPr>
        <w:t>. La soglia</w:t>
      </w:r>
      <w:r w:rsidR="00F9431E" w:rsidRPr="00501B79">
        <w:rPr>
          <w:rFonts w:ascii="Arial" w:hAnsi="Arial" w:cs="Arial"/>
          <w:b/>
          <w:bCs/>
          <w:sz w:val="24"/>
          <w:szCs w:val="24"/>
        </w:rPr>
        <w:t xml:space="preserve"> </w:t>
      </w:r>
      <w:r w:rsidR="00F9431E" w:rsidRPr="00501B79">
        <w:rPr>
          <w:rFonts w:ascii="Arial" w:eastAsia="Calibri" w:hAnsi="Arial" w:cs="Arial"/>
          <w:b/>
          <w:bCs/>
          <w:sz w:val="24"/>
          <w:szCs w:val="24"/>
          <w:lang w:bidi="it-IT"/>
        </w:rPr>
        <w:t>andrebbe elevat</w:t>
      </w:r>
      <w:r w:rsidRPr="00501B79">
        <w:rPr>
          <w:rFonts w:ascii="Arial" w:eastAsia="Calibri" w:hAnsi="Arial" w:cs="Arial"/>
          <w:b/>
          <w:bCs/>
          <w:sz w:val="24"/>
          <w:szCs w:val="24"/>
          <w:lang w:bidi="it-IT"/>
        </w:rPr>
        <w:t>a</w:t>
      </w:r>
      <w:r w:rsidR="00F9431E" w:rsidRPr="00501B79">
        <w:rPr>
          <w:rFonts w:ascii="Arial" w:eastAsia="Calibri" w:hAnsi="Arial" w:cs="Arial"/>
          <w:b/>
          <w:bCs/>
          <w:sz w:val="24"/>
          <w:szCs w:val="24"/>
          <w:lang w:bidi="it-IT"/>
        </w:rPr>
        <w:t xml:space="preserve"> anc</w:t>
      </w:r>
      <w:r w:rsidR="007F1C14">
        <w:rPr>
          <w:rFonts w:ascii="Arial" w:eastAsia="Calibri" w:hAnsi="Arial" w:cs="Arial"/>
          <w:b/>
          <w:bCs/>
          <w:sz w:val="24"/>
          <w:szCs w:val="24"/>
          <w:lang w:bidi="it-IT"/>
        </w:rPr>
        <w:t xml:space="preserve">ora </w:t>
      </w:r>
      <w:r w:rsidR="00F9431E" w:rsidRPr="00501B79">
        <w:rPr>
          <w:rFonts w:ascii="Arial" w:eastAsia="Calibri" w:hAnsi="Arial" w:cs="Arial"/>
          <w:b/>
          <w:bCs/>
          <w:sz w:val="24"/>
          <w:szCs w:val="24"/>
          <w:lang w:bidi="it-IT"/>
        </w:rPr>
        <w:t xml:space="preserve">in considerazione </w:t>
      </w:r>
      <w:r w:rsidRPr="00501B79">
        <w:rPr>
          <w:rFonts w:ascii="Arial" w:eastAsia="Calibri" w:hAnsi="Arial" w:cs="Arial"/>
          <w:b/>
          <w:bCs/>
          <w:sz w:val="24"/>
          <w:szCs w:val="24"/>
          <w:lang w:bidi="it-IT"/>
        </w:rPr>
        <w:t>della</w:t>
      </w:r>
      <w:r w:rsidR="00EE6602" w:rsidRPr="00501B79">
        <w:rPr>
          <w:rFonts w:ascii="Arial" w:eastAsia="Calibri" w:hAnsi="Arial" w:cs="Arial"/>
          <w:b/>
          <w:bCs/>
          <w:sz w:val="24"/>
          <w:szCs w:val="24"/>
          <w:lang w:bidi="it-IT"/>
        </w:rPr>
        <w:t xml:space="preserve"> </w:t>
      </w:r>
      <w:r w:rsidR="00F9431E" w:rsidRPr="00501B79">
        <w:rPr>
          <w:rFonts w:ascii="Arial" w:eastAsia="Calibri" w:hAnsi="Arial" w:cs="Arial"/>
          <w:b/>
          <w:bCs/>
          <w:sz w:val="24"/>
          <w:szCs w:val="24"/>
          <w:lang w:bidi="it-IT"/>
        </w:rPr>
        <w:t xml:space="preserve">crisi </w:t>
      </w:r>
      <w:r w:rsidRPr="00501B79">
        <w:rPr>
          <w:rFonts w:ascii="Arial" w:eastAsia="Calibri" w:hAnsi="Arial" w:cs="Arial"/>
          <w:b/>
          <w:bCs/>
          <w:sz w:val="24"/>
          <w:szCs w:val="24"/>
          <w:lang w:bidi="it-IT"/>
        </w:rPr>
        <w:t>pandemica e del</w:t>
      </w:r>
      <w:r w:rsidR="00F9431E" w:rsidRPr="00501B79">
        <w:rPr>
          <w:rFonts w:ascii="Arial" w:eastAsia="Calibri" w:hAnsi="Arial" w:cs="Arial"/>
          <w:b/>
          <w:bCs/>
          <w:sz w:val="24"/>
          <w:szCs w:val="24"/>
          <w:lang w:bidi="it-IT"/>
        </w:rPr>
        <w:t xml:space="preserve"> conflitto in Ucraina</w:t>
      </w:r>
    </w:p>
    <w:p w14:paraId="0E40E797" w14:textId="16E1E743" w:rsidR="002579D5" w:rsidRPr="00501B79" w:rsidRDefault="002579D5" w:rsidP="006C72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71A78A" w14:textId="77777777" w:rsidR="002579D5" w:rsidRPr="00501B79" w:rsidRDefault="002579D5" w:rsidP="006C72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16BAF7" w14:textId="57C4FBC1" w:rsidR="00C21BD5" w:rsidRPr="00501B79" w:rsidRDefault="002579D5" w:rsidP="006C729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it-IT"/>
        </w:rPr>
      </w:pPr>
      <w:r w:rsidRPr="00501B79">
        <w:rPr>
          <w:rFonts w:ascii="Arial" w:hAnsi="Arial" w:cs="Arial"/>
          <w:i/>
          <w:iCs/>
          <w:sz w:val="24"/>
          <w:szCs w:val="24"/>
        </w:rPr>
        <w:t>Roma, 2</w:t>
      </w:r>
      <w:r w:rsidR="004C50A7" w:rsidRPr="00501B79">
        <w:rPr>
          <w:rFonts w:ascii="Arial" w:hAnsi="Arial" w:cs="Arial"/>
          <w:i/>
          <w:iCs/>
          <w:sz w:val="24"/>
          <w:szCs w:val="24"/>
        </w:rPr>
        <w:t>9</w:t>
      </w:r>
      <w:r w:rsidRPr="00501B79">
        <w:rPr>
          <w:rFonts w:ascii="Arial" w:hAnsi="Arial" w:cs="Arial"/>
          <w:i/>
          <w:iCs/>
          <w:sz w:val="24"/>
          <w:szCs w:val="24"/>
        </w:rPr>
        <w:t xml:space="preserve"> luglio 2022</w:t>
      </w:r>
      <w:r w:rsidRPr="00501B79">
        <w:rPr>
          <w:rFonts w:ascii="Arial" w:hAnsi="Arial" w:cs="Arial"/>
          <w:b/>
          <w:bCs/>
          <w:sz w:val="24"/>
          <w:szCs w:val="24"/>
        </w:rPr>
        <w:t xml:space="preserve"> –</w:t>
      </w:r>
      <w:r w:rsidR="00C21BD5" w:rsidRPr="00501B79">
        <w:rPr>
          <w:rFonts w:ascii="Arial" w:hAnsi="Arial" w:cs="Arial"/>
          <w:b/>
          <w:bCs/>
          <w:sz w:val="24"/>
          <w:szCs w:val="24"/>
        </w:rPr>
        <w:t xml:space="preserve"> </w:t>
      </w:r>
      <w:r w:rsidR="00C21BD5" w:rsidRPr="00501B79">
        <w:rPr>
          <w:rFonts w:ascii="Arial" w:hAnsi="Arial" w:cs="Arial"/>
          <w:sz w:val="24"/>
          <w:szCs w:val="24"/>
        </w:rPr>
        <w:t>“</w:t>
      </w:r>
      <w:r w:rsidR="00C21BD5" w:rsidRPr="00F2201A">
        <w:rPr>
          <w:rFonts w:ascii="Arial" w:hAnsi="Arial" w:cs="Arial"/>
          <w:b/>
          <w:bCs/>
          <w:sz w:val="24"/>
          <w:szCs w:val="24"/>
        </w:rPr>
        <w:t>Bene l’innalzamento da 5</w:t>
      </w:r>
      <w:r w:rsidR="0099620F" w:rsidRPr="00F2201A">
        <w:rPr>
          <w:rFonts w:ascii="Arial" w:hAnsi="Arial" w:cs="Arial"/>
          <w:b/>
          <w:bCs/>
          <w:sz w:val="24"/>
          <w:szCs w:val="24"/>
        </w:rPr>
        <w:t>.000</w:t>
      </w:r>
      <w:r w:rsidR="00C21BD5" w:rsidRPr="00F2201A">
        <w:rPr>
          <w:rFonts w:ascii="Arial" w:hAnsi="Arial" w:cs="Arial"/>
          <w:b/>
          <w:bCs/>
          <w:sz w:val="24"/>
          <w:szCs w:val="24"/>
        </w:rPr>
        <w:t xml:space="preserve"> a 20</w:t>
      </w:r>
      <w:r w:rsidR="0099620F" w:rsidRPr="00F2201A">
        <w:rPr>
          <w:rFonts w:ascii="Arial" w:hAnsi="Arial" w:cs="Arial"/>
          <w:b/>
          <w:bCs/>
          <w:sz w:val="24"/>
          <w:szCs w:val="24"/>
        </w:rPr>
        <w:t>.000</w:t>
      </w:r>
      <w:r w:rsidR="00C21BD5" w:rsidRPr="00F2201A">
        <w:rPr>
          <w:rFonts w:ascii="Arial" w:hAnsi="Arial" w:cs="Arial"/>
          <w:b/>
          <w:bCs/>
          <w:sz w:val="24"/>
          <w:szCs w:val="24"/>
        </w:rPr>
        <w:t xml:space="preserve"> euro</w:t>
      </w:r>
      <w:r w:rsidR="00C21BD5" w:rsidRPr="00501B79">
        <w:rPr>
          <w:rFonts w:ascii="Arial" w:hAnsi="Arial" w:cs="Arial"/>
          <w:sz w:val="24"/>
          <w:szCs w:val="24"/>
        </w:rPr>
        <w:t xml:space="preserve"> </w:t>
      </w:r>
      <w:r w:rsidR="00292119" w:rsidRPr="00501B79">
        <w:rPr>
          <w:rFonts w:ascii="Arial" w:hAnsi="Arial" w:cs="Arial"/>
          <w:sz w:val="24"/>
          <w:szCs w:val="24"/>
        </w:rPr>
        <w:t xml:space="preserve">per </w:t>
      </w:r>
      <w:r w:rsidR="00C21BD5" w:rsidRPr="00501B79">
        <w:rPr>
          <w:rFonts w:ascii="Arial" w:hAnsi="Arial" w:cs="Arial"/>
          <w:sz w:val="24"/>
          <w:szCs w:val="24"/>
        </w:rPr>
        <w:t xml:space="preserve">un </w:t>
      </w:r>
      <w:r w:rsidR="00C21BD5" w:rsidRPr="00F2201A">
        <w:rPr>
          <w:rFonts w:ascii="Arial" w:hAnsi="Arial" w:cs="Arial"/>
          <w:b/>
          <w:bCs/>
          <w:sz w:val="24"/>
          <w:szCs w:val="24"/>
        </w:rPr>
        <w:t>debito scaduto e non versato relativo all’Iva</w:t>
      </w:r>
      <w:r w:rsidR="00C21BD5" w:rsidRPr="00501B79">
        <w:rPr>
          <w:rFonts w:ascii="Arial" w:hAnsi="Arial" w:cs="Arial"/>
          <w:sz w:val="24"/>
          <w:szCs w:val="24"/>
        </w:rPr>
        <w:t>, risultante dall</w:t>
      </w:r>
      <w:r w:rsidR="00C27C88" w:rsidRPr="00501B79">
        <w:rPr>
          <w:rFonts w:ascii="Arial" w:hAnsi="Arial" w:cs="Arial"/>
          <w:sz w:val="24"/>
          <w:szCs w:val="24"/>
        </w:rPr>
        <w:t>a comunicazione dei dati delle</w:t>
      </w:r>
      <w:r w:rsidR="00C21BD5" w:rsidRPr="00501B79">
        <w:rPr>
          <w:rFonts w:ascii="Arial" w:hAnsi="Arial" w:cs="Arial"/>
          <w:sz w:val="24"/>
          <w:szCs w:val="24"/>
        </w:rPr>
        <w:t xml:space="preserve"> liquidazioni periodiche di cui all'art 21-bis del DL 78/2010</w:t>
      </w:r>
      <w:r w:rsidR="00292119" w:rsidRPr="00501B79">
        <w:rPr>
          <w:rFonts w:ascii="Arial" w:hAnsi="Arial" w:cs="Arial"/>
          <w:sz w:val="24"/>
          <w:szCs w:val="24"/>
        </w:rPr>
        <w:t xml:space="preserve"> </w:t>
      </w:r>
      <w:r w:rsidR="00472D4D" w:rsidRPr="00501B79">
        <w:rPr>
          <w:rFonts w:ascii="Arial" w:hAnsi="Arial" w:cs="Arial"/>
          <w:sz w:val="24"/>
          <w:szCs w:val="24"/>
        </w:rPr>
        <w:t>relative al secondo trimestre 2022</w:t>
      </w:r>
      <w:r w:rsidR="00C21BD5" w:rsidRPr="00501B79">
        <w:rPr>
          <w:rFonts w:ascii="Arial" w:hAnsi="Arial" w:cs="Arial"/>
          <w:sz w:val="24"/>
          <w:szCs w:val="24"/>
        </w:rPr>
        <w:t xml:space="preserve">, che farà </w:t>
      </w:r>
      <w:r w:rsidR="00C21BD5" w:rsidRPr="006E0751">
        <w:rPr>
          <w:rFonts w:ascii="Arial" w:hAnsi="Arial" w:cs="Arial"/>
          <w:sz w:val="24"/>
          <w:szCs w:val="24"/>
        </w:rPr>
        <w:t>scattare da parte dell’Agenzia delle Entrate la segnalazione</w:t>
      </w:r>
      <w:r w:rsidR="00C21BD5" w:rsidRPr="00501B79">
        <w:rPr>
          <w:rFonts w:ascii="Arial" w:hAnsi="Arial" w:cs="Arial"/>
          <w:sz w:val="24"/>
          <w:szCs w:val="24"/>
        </w:rPr>
        <w:t xml:space="preserve"> nei confronti dell’imprenditore per la composizione negoziata della crisi</w:t>
      </w:r>
      <w:r w:rsidR="00F210BE">
        <w:rPr>
          <w:rFonts w:ascii="Arial" w:hAnsi="Arial" w:cs="Arial"/>
          <w:sz w:val="24"/>
          <w:szCs w:val="24"/>
        </w:rPr>
        <w:t xml:space="preserve">. Ma </w:t>
      </w:r>
      <w:r w:rsidR="00C21BD5" w:rsidRPr="00F2201A">
        <w:rPr>
          <w:rFonts w:ascii="Arial" w:hAnsi="Arial" w:cs="Arial"/>
          <w:b/>
          <w:bCs/>
          <w:sz w:val="24"/>
          <w:szCs w:val="24"/>
        </w:rPr>
        <w:t>gli importi</w:t>
      </w:r>
      <w:r w:rsidR="00C21BD5" w:rsidRPr="00501B79">
        <w:rPr>
          <w:rFonts w:ascii="Arial" w:hAnsi="Arial" w:cs="Arial"/>
          <w:sz w:val="24"/>
          <w:szCs w:val="24"/>
        </w:rPr>
        <w:t xml:space="preserve"> individuati </w:t>
      </w:r>
      <w:r w:rsidR="00C21BD5" w:rsidRPr="00F2201A">
        <w:rPr>
          <w:rFonts w:ascii="Arial" w:hAnsi="Arial" w:cs="Arial"/>
          <w:b/>
          <w:bCs/>
          <w:sz w:val="24"/>
          <w:szCs w:val="24"/>
        </w:rPr>
        <w:t>andrebbero ulteriormente adeguati</w:t>
      </w:r>
      <w:r w:rsidR="0099620F" w:rsidRPr="00F2201A">
        <w:rPr>
          <w:rFonts w:ascii="Arial" w:hAnsi="Arial" w:cs="Arial"/>
          <w:b/>
          <w:bCs/>
          <w:sz w:val="24"/>
          <w:szCs w:val="24"/>
        </w:rPr>
        <w:t xml:space="preserve"> ed elevati</w:t>
      </w:r>
      <w:bookmarkStart w:id="0" w:name="_Hlk109979569"/>
      <w:r w:rsidR="0099620F" w:rsidRPr="00501B79">
        <w:rPr>
          <w:rFonts w:ascii="Arial" w:hAnsi="Arial" w:cs="Arial"/>
          <w:sz w:val="24"/>
          <w:szCs w:val="24"/>
        </w:rPr>
        <w:t xml:space="preserve"> </w:t>
      </w:r>
      <w:r w:rsidR="00C21BD5" w:rsidRPr="00501B79">
        <w:rPr>
          <w:rFonts w:ascii="Arial" w:eastAsia="Calibri" w:hAnsi="Arial" w:cs="Arial"/>
          <w:sz w:val="24"/>
          <w:szCs w:val="24"/>
          <w:lang w:bidi="it-IT"/>
        </w:rPr>
        <w:t xml:space="preserve">anche in considerazione del periodo </w:t>
      </w:r>
      <w:r w:rsidR="00C21BD5" w:rsidRPr="00F2201A">
        <w:rPr>
          <w:rFonts w:ascii="Arial" w:eastAsia="Calibri" w:hAnsi="Arial" w:cs="Arial"/>
          <w:b/>
          <w:bCs/>
          <w:sz w:val="24"/>
          <w:szCs w:val="24"/>
          <w:lang w:bidi="it-IT"/>
        </w:rPr>
        <w:t>di crisi pandemica</w:t>
      </w:r>
      <w:r w:rsidR="00C21BD5" w:rsidRPr="00501B79">
        <w:rPr>
          <w:rFonts w:ascii="Arial" w:eastAsia="Calibri" w:hAnsi="Arial" w:cs="Arial"/>
          <w:sz w:val="24"/>
          <w:szCs w:val="24"/>
          <w:lang w:bidi="it-IT"/>
        </w:rPr>
        <w:t xml:space="preserve"> e del</w:t>
      </w:r>
      <w:r w:rsidR="00501B79" w:rsidRPr="00501B79">
        <w:rPr>
          <w:rFonts w:ascii="Arial" w:eastAsia="Calibri" w:hAnsi="Arial" w:cs="Arial"/>
          <w:sz w:val="24"/>
          <w:szCs w:val="24"/>
          <w:lang w:bidi="it-IT"/>
        </w:rPr>
        <w:t xml:space="preserve"> </w:t>
      </w:r>
      <w:r w:rsidR="00C21BD5" w:rsidRPr="00F2201A">
        <w:rPr>
          <w:rFonts w:ascii="Arial" w:eastAsia="Calibri" w:hAnsi="Arial" w:cs="Arial"/>
          <w:b/>
          <w:bCs/>
          <w:sz w:val="24"/>
          <w:szCs w:val="24"/>
          <w:lang w:bidi="it-IT"/>
        </w:rPr>
        <w:t>conflitto in Ucraina</w:t>
      </w:r>
      <w:r w:rsidR="00501B79" w:rsidRPr="00501B79">
        <w:rPr>
          <w:rFonts w:ascii="Arial" w:eastAsia="Calibri" w:hAnsi="Arial" w:cs="Arial"/>
          <w:sz w:val="24"/>
          <w:szCs w:val="24"/>
          <w:lang w:bidi="it-IT"/>
        </w:rPr>
        <w:t>,</w:t>
      </w:r>
      <w:r w:rsidR="00C21BD5" w:rsidRPr="00501B79">
        <w:rPr>
          <w:rFonts w:ascii="Arial" w:eastAsia="Calibri" w:hAnsi="Arial" w:cs="Arial"/>
          <w:sz w:val="24"/>
          <w:szCs w:val="24"/>
          <w:lang w:bidi="it-IT"/>
        </w:rPr>
        <w:t xml:space="preserve"> che provocher</w:t>
      </w:r>
      <w:r w:rsidR="00F210BE">
        <w:rPr>
          <w:rFonts w:ascii="Arial" w:eastAsia="Calibri" w:hAnsi="Arial" w:cs="Arial"/>
          <w:sz w:val="24"/>
          <w:szCs w:val="24"/>
          <w:lang w:bidi="it-IT"/>
        </w:rPr>
        <w:t>anno</w:t>
      </w:r>
      <w:r w:rsidR="00C21BD5" w:rsidRPr="00501B79">
        <w:rPr>
          <w:rFonts w:ascii="Arial" w:eastAsia="Calibri" w:hAnsi="Arial" w:cs="Arial"/>
          <w:sz w:val="24"/>
          <w:szCs w:val="24"/>
          <w:lang w:bidi="it-IT"/>
        </w:rPr>
        <w:t xml:space="preserve"> </w:t>
      </w:r>
      <w:r w:rsidR="00292119" w:rsidRPr="00501B79">
        <w:rPr>
          <w:rFonts w:ascii="Arial" w:eastAsia="Calibri" w:hAnsi="Arial" w:cs="Arial"/>
          <w:sz w:val="24"/>
          <w:szCs w:val="24"/>
          <w:lang w:bidi="it-IT"/>
        </w:rPr>
        <w:t xml:space="preserve">ulteriori e gravi sofferenze </w:t>
      </w:r>
      <w:r w:rsidR="0099620F" w:rsidRPr="00501B79">
        <w:rPr>
          <w:rFonts w:ascii="Arial" w:eastAsia="Calibri" w:hAnsi="Arial" w:cs="Arial"/>
          <w:sz w:val="24"/>
          <w:szCs w:val="24"/>
          <w:lang w:bidi="it-IT"/>
        </w:rPr>
        <w:t>alle</w:t>
      </w:r>
      <w:r w:rsidR="00C21BD5" w:rsidRPr="00501B79">
        <w:rPr>
          <w:rFonts w:ascii="Arial" w:eastAsia="Calibri" w:hAnsi="Arial" w:cs="Arial"/>
          <w:sz w:val="24"/>
          <w:szCs w:val="24"/>
          <w:lang w:bidi="it-IT"/>
        </w:rPr>
        <w:t xml:space="preserve"> imprese</w:t>
      </w:r>
      <w:r w:rsidR="00292119" w:rsidRPr="00501B79">
        <w:rPr>
          <w:rFonts w:ascii="Arial" w:eastAsia="Calibri" w:hAnsi="Arial" w:cs="Arial"/>
          <w:sz w:val="24"/>
          <w:szCs w:val="24"/>
          <w:lang w:bidi="it-IT"/>
        </w:rPr>
        <w:t xml:space="preserve"> italiane</w:t>
      </w:r>
      <w:r w:rsidR="0099620F" w:rsidRPr="00501B79">
        <w:rPr>
          <w:rFonts w:ascii="Arial" w:eastAsia="Calibri" w:hAnsi="Arial" w:cs="Arial"/>
          <w:sz w:val="24"/>
          <w:szCs w:val="24"/>
          <w:lang w:bidi="it-IT"/>
        </w:rPr>
        <w:t>”.</w:t>
      </w:r>
    </w:p>
    <w:p w14:paraId="4D7C9188" w14:textId="77777777" w:rsidR="0099620F" w:rsidRPr="00501B79" w:rsidRDefault="0099620F" w:rsidP="006C729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it-IT"/>
        </w:rPr>
      </w:pPr>
    </w:p>
    <w:p w14:paraId="2F4DBEB6" w14:textId="74A889B3" w:rsidR="0099620F" w:rsidRPr="00501B79" w:rsidRDefault="0099620F" w:rsidP="006C72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B79">
        <w:rPr>
          <w:rFonts w:ascii="Arial" w:eastAsia="Calibri" w:hAnsi="Arial" w:cs="Arial"/>
          <w:sz w:val="24"/>
          <w:szCs w:val="24"/>
          <w:lang w:bidi="it-IT"/>
        </w:rPr>
        <w:t xml:space="preserve">Lo afferma </w:t>
      </w:r>
      <w:r w:rsidRPr="00501B79">
        <w:rPr>
          <w:rFonts w:ascii="Arial" w:eastAsia="Calibri" w:hAnsi="Arial" w:cs="Arial"/>
          <w:b/>
          <w:bCs/>
          <w:sz w:val="24"/>
          <w:szCs w:val="24"/>
          <w:lang w:bidi="it-IT"/>
        </w:rPr>
        <w:t>Elbano de Nuccio</w:t>
      </w:r>
      <w:r w:rsidRPr="00501B79">
        <w:rPr>
          <w:rFonts w:ascii="Arial" w:eastAsia="Calibri" w:hAnsi="Arial" w:cs="Arial"/>
          <w:sz w:val="24"/>
          <w:szCs w:val="24"/>
          <w:lang w:bidi="it-IT"/>
        </w:rPr>
        <w:t xml:space="preserve">, presidente del Consiglio nazionale dei commercialisti, </w:t>
      </w:r>
      <w:r w:rsidR="001A57AC">
        <w:rPr>
          <w:rFonts w:ascii="Arial" w:eastAsia="Calibri" w:hAnsi="Arial" w:cs="Arial"/>
          <w:sz w:val="24"/>
          <w:szCs w:val="24"/>
          <w:lang w:bidi="it-IT"/>
        </w:rPr>
        <w:t xml:space="preserve">dopo l’approvazione alla Camera di </w:t>
      </w:r>
      <w:r w:rsidR="001A57AC">
        <w:rPr>
          <w:rFonts w:ascii="Arial" w:eastAsia="Calibri" w:hAnsi="Arial" w:cs="Arial"/>
          <w:sz w:val="24"/>
          <w:szCs w:val="24"/>
        </w:rPr>
        <w:t xml:space="preserve">un emendamento al decreto Semplificazioni nell’ambito dell’iter di conversione, </w:t>
      </w:r>
      <w:r w:rsidRPr="00501B79">
        <w:rPr>
          <w:rFonts w:ascii="Arial" w:hAnsi="Arial" w:cs="Arial"/>
          <w:sz w:val="24"/>
          <w:szCs w:val="24"/>
        </w:rPr>
        <w:t xml:space="preserve">che recepisce la proposta presentata dallo stesso Consiglio </w:t>
      </w:r>
      <w:r w:rsidR="001E764B" w:rsidRPr="00501B79">
        <w:rPr>
          <w:rFonts w:ascii="Arial" w:hAnsi="Arial" w:cs="Arial"/>
          <w:sz w:val="24"/>
          <w:szCs w:val="24"/>
        </w:rPr>
        <w:t>n</w:t>
      </w:r>
      <w:r w:rsidRPr="00501B79">
        <w:rPr>
          <w:rFonts w:ascii="Arial" w:hAnsi="Arial" w:cs="Arial"/>
          <w:sz w:val="24"/>
          <w:szCs w:val="24"/>
        </w:rPr>
        <w:t>azionale in merito alla disciplina delle segnalazioni dei creditori pubblici qualificati di cui all’art. 25-novies del D.lgs. 14/2019 per la composizione negoziata della crisi, con particolare riferimento alla segnalazione a carico dell’Agenzia delle Entrate.</w:t>
      </w:r>
    </w:p>
    <w:p w14:paraId="2ADDFDA5" w14:textId="549A1C4A" w:rsidR="0099620F" w:rsidRPr="00501B79" w:rsidRDefault="0099620F" w:rsidP="006C72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12F605F" w14:textId="2ADD5272" w:rsidR="004C50A7" w:rsidRPr="00501B79" w:rsidRDefault="0099620F" w:rsidP="006C72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B79">
        <w:rPr>
          <w:rFonts w:ascii="Arial" w:hAnsi="Arial" w:cs="Arial"/>
          <w:sz w:val="24"/>
          <w:szCs w:val="24"/>
        </w:rPr>
        <w:t xml:space="preserve">In base all’emendamento approvato, infatti, </w:t>
      </w:r>
      <w:r w:rsidR="00C21BD5" w:rsidRPr="00501B79">
        <w:rPr>
          <w:rFonts w:ascii="Arial" w:hAnsi="Arial" w:cs="Arial"/>
          <w:sz w:val="24"/>
          <w:szCs w:val="24"/>
        </w:rPr>
        <w:t xml:space="preserve">assumerà rilievo </w:t>
      </w:r>
      <w:r w:rsidR="00C27C88" w:rsidRPr="00501B79">
        <w:rPr>
          <w:rFonts w:ascii="Arial" w:hAnsi="Arial" w:cs="Arial"/>
          <w:sz w:val="24"/>
          <w:szCs w:val="24"/>
        </w:rPr>
        <w:t xml:space="preserve">per </w:t>
      </w:r>
      <w:r w:rsidR="00C27C88" w:rsidRPr="006E0751">
        <w:rPr>
          <w:rFonts w:ascii="Arial" w:hAnsi="Arial" w:cs="Arial"/>
          <w:b/>
          <w:bCs/>
          <w:sz w:val="24"/>
          <w:szCs w:val="24"/>
        </w:rPr>
        <w:t>l’Agenzia</w:t>
      </w:r>
      <w:r w:rsidR="00C27C88" w:rsidRPr="00501B79">
        <w:rPr>
          <w:rFonts w:ascii="Arial" w:hAnsi="Arial" w:cs="Arial"/>
          <w:sz w:val="24"/>
          <w:szCs w:val="24"/>
        </w:rPr>
        <w:t xml:space="preserve"> </w:t>
      </w:r>
      <w:r w:rsidR="00C21BD5" w:rsidRPr="00501B79">
        <w:rPr>
          <w:rFonts w:ascii="Arial" w:hAnsi="Arial" w:cs="Arial"/>
          <w:sz w:val="24"/>
          <w:szCs w:val="24"/>
        </w:rPr>
        <w:t>l</w:t>
      </w:r>
      <w:r w:rsidR="00C27C88" w:rsidRPr="00501B79">
        <w:rPr>
          <w:rFonts w:ascii="Arial" w:hAnsi="Arial" w:cs="Arial"/>
          <w:sz w:val="24"/>
          <w:szCs w:val="24"/>
        </w:rPr>
        <w:t>’</w:t>
      </w:r>
      <w:r w:rsidR="00C21BD5" w:rsidRPr="00501B79">
        <w:rPr>
          <w:rFonts w:ascii="Arial" w:hAnsi="Arial" w:cs="Arial"/>
          <w:sz w:val="24"/>
          <w:szCs w:val="24"/>
        </w:rPr>
        <w:t>esistenza di un debito scaduto e non versato relativo all</w:t>
      </w:r>
      <w:r w:rsidR="00C27C88" w:rsidRPr="00501B79">
        <w:rPr>
          <w:rFonts w:ascii="Arial" w:hAnsi="Arial" w:cs="Arial"/>
          <w:sz w:val="24"/>
          <w:szCs w:val="24"/>
        </w:rPr>
        <w:t>’</w:t>
      </w:r>
      <w:r w:rsidR="00C21BD5" w:rsidRPr="00501B79">
        <w:rPr>
          <w:rFonts w:ascii="Arial" w:hAnsi="Arial" w:cs="Arial"/>
          <w:sz w:val="24"/>
          <w:szCs w:val="24"/>
        </w:rPr>
        <w:t>IVA, risultante dalle liquidazioni periodiche di importo superiore a 5.000 euro e, comunque, non inferiore al 10% dell</w:t>
      </w:r>
      <w:r w:rsidR="00FD7573" w:rsidRPr="00501B79">
        <w:rPr>
          <w:rFonts w:ascii="Arial" w:hAnsi="Arial" w:cs="Arial"/>
          <w:sz w:val="24"/>
          <w:szCs w:val="24"/>
        </w:rPr>
        <w:t>’</w:t>
      </w:r>
      <w:r w:rsidR="00C21BD5" w:rsidRPr="00501B79">
        <w:rPr>
          <w:rFonts w:ascii="Arial" w:hAnsi="Arial" w:cs="Arial"/>
          <w:sz w:val="24"/>
          <w:szCs w:val="24"/>
        </w:rPr>
        <w:t>ammontare del volume d'affari risultante dalla dichiarazione relativa all</w:t>
      </w:r>
      <w:r w:rsidR="00FD7573" w:rsidRPr="00501B79">
        <w:rPr>
          <w:rFonts w:ascii="Arial" w:hAnsi="Arial" w:cs="Arial"/>
          <w:sz w:val="24"/>
          <w:szCs w:val="24"/>
        </w:rPr>
        <w:t>’</w:t>
      </w:r>
      <w:r w:rsidR="00C21BD5" w:rsidRPr="00501B79">
        <w:rPr>
          <w:rFonts w:ascii="Arial" w:hAnsi="Arial" w:cs="Arial"/>
          <w:sz w:val="24"/>
          <w:szCs w:val="24"/>
        </w:rPr>
        <w:t xml:space="preserve">anno d'imposta precedente. </w:t>
      </w:r>
      <w:r w:rsidR="00C27C88" w:rsidRPr="00501B79">
        <w:rPr>
          <w:rFonts w:ascii="Arial" w:hAnsi="Arial" w:cs="Arial"/>
          <w:sz w:val="24"/>
          <w:szCs w:val="24"/>
        </w:rPr>
        <w:t>In ogni caso, l</w:t>
      </w:r>
      <w:r w:rsidR="00C21BD5" w:rsidRPr="00501B79">
        <w:rPr>
          <w:rFonts w:ascii="Arial" w:hAnsi="Arial" w:cs="Arial"/>
          <w:sz w:val="24"/>
          <w:szCs w:val="24"/>
        </w:rPr>
        <w:t xml:space="preserve">a </w:t>
      </w:r>
      <w:r w:rsidR="00C21BD5" w:rsidRPr="006E0751">
        <w:rPr>
          <w:rFonts w:ascii="Arial" w:hAnsi="Arial" w:cs="Arial"/>
          <w:b/>
          <w:bCs/>
          <w:sz w:val="24"/>
          <w:szCs w:val="24"/>
        </w:rPr>
        <w:t xml:space="preserve">segnalazione </w:t>
      </w:r>
      <w:r w:rsidR="00FE0F4E">
        <w:rPr>
          <w:rFonts w:ascii="Arial" w:hAnsi="Arial" w:cs="Arial"/>
          <w:b/>
          <w:bCs/>
          <w:sz w:val="24"/>
          <w:szCs w:val="24"/>
        </w:rPr>
        <w:t>ver</w:t>
      </w:r>
      <w:r w:rsidR="00C21BD5" w:rsidRPr="006E0751">
        <w:rPr>
          <w:rFonts w:ascii="Arial" w:hAnsi="Arial" w:cs="Arial"/>
          <w:b/>
          <w:bCs/>
          <w:sz w:val="24"/>
          <w:szCs w:val="24"/>
        </w:rPr>
        <w:t>rà inviata quando il debito è superiore a 20.000 euro</w:t>
      </w:r>
      <w:r w:rsidR="00C27C88" w:rsidRPr="00501B79">
        <w:rPr>
          <w:rFonts w:ascii="Arial" w:hAnsi="Arial" w:cs="Arial"/>
          <w:sz w:val="24"/>
          <w:szCs w:val="24"/>
        </w:rPr>
        <w:t xml:space="preserve">. Nella </w:t>
      </w:r>
      <w:r w:rsidR="00C21BD5" w:rsidRPr="00501B79">
        <w:rPr>
          <w:rFonts w:ascii="Arial" w:hAnsi="Arial" w:cs="Arial"/>
          <w:sz w:val="24"/>
          <w:szCs w:val="24"/>
        </w:rPr>
        <w:t xml:space="preserve">formulazione </w:t>
      </w:r>
      <w:r w:rsidR="00FD7573" w:rsidRPr="00501B79">
        <w:rPr>
          <w:rFonts w:ascii="Arial" w:hAnsi="Arial" w:cs="Arial"/>
          <w:sz w:val="24"/>
          <w:szCs w:val="24"/>
        </w:rPr>
        <w:t xml:space="preserve">originaria </w:t>
      </w:r>
      <w:r w:rsidR="00C21BD5" w:rsidRPr="00501B79">
        <w:rPr>
          <w:rFonts w:ascii="Arial" w:hAnsi="Arial" w:cs="Arial"/>
          <w:sz w:val="24"/>
          <w:szCs w:val="24"/>
        </w:rPr>
        <w:t xml:space="preserve">della norma, invece, era contemplata una segnalazione del creditore fiscale in presenza di un debito </w:t>
      </w:r>
      <w:r w:rsidR="00C27C88" w:rsidRPr="00501B79">
        <w:rPr>
          <w:rFonts w:ascii="Arial" w:hAnsi="Arial" w:cs="Arial"/>
          <w:sz w:val="24"/>
          <w:szCs w:val="24"/>
        </w:rPr>
        <w:t xml:space="preserve">Iva </w:t>
      </w:r>
      <w:r w:rsidR="00C21BD5" w:rsidRPr="00501B79">
        <w:rPr>
          <w:rFonts w:ascii="Arial" w:hAnsi="Arial" w:cs="Arial"/>
          <w:sz w:val="24"/>
          <w:szCs w:val="24"/>
        </w:rPr>
        <w:t>superiore a 5.000 euro.</w:t>
      </w:r>
    </w:p>
    <w:p w14:paraId="599D5923" w14:textId="77777777" w:rsidR="00501B79" w:rsidRPr="00501B79" w:rsidRDefault="00501B79" w:rsidP="006C72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69874B" w14:textId="3456EB73" w:rsidR="006C729F" w:rsidRPr="00501B79" w:rsidRDefault="00001AFD" w:rsidP="006C729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it-IT"/>
        </w:rPr>
      </w:pPr>
      <w:r w:rsidRPr="00501B79">
        <w:rPr>
          <w:rFonts w:ascii="Arial" w:hAnsi="Arial" w:cs="Arial"/>
          <w:sz w:val="24"/>
          <w:szCs w:val="24"/>
        </w:rPr>
        <w:t>“</w:t>
      </w:r>
      <w:r w:rsidR="00FD7573" w:rsidRPr="00501B79">
        <w:rPr>
          <w:rFonts w:ascii="Arial" w:hAnsi="Arial" w:cs="Arial"/>
          <w:sz w:val="24"/>
          <w:szCs w:val="24"/>
        </w:rPr>
        <w:t>Il Consiglio nazionale ha contribuito al conseguimento di questo primo</w:t>
      </w:r>
      <w:r w:rsidR="00A73D5B" w:rsidRPr="00501B79">
        <w:rPr>
          <w:rFonts w:ascii="Arial" w:hAnsi="Arial" w:cs="Arial"/>
          <w:sz w:val="24"/>
          <w:szCs w:val="24"/>
        </w:rPr>
        <w:t xml:space="preserve"> ed importante</w:t>
      </w:r>
      <w:r w:rsidR="00FD7573" w:rsidRPr="00501B79">
        <w:rPr>
          <w:rFonts w:ascii="Arial" w:hAnsi="Arial" w:cs="Arial"/>
          <w:sz w:val="24"/>
          <w:szCs w:val="24"/>
        </w:rPr>
        <w:t xml:space="preserve"> risultato </w:t>
      </w:r>
      <w:r w:rsidRPr="00501B79">
        <w:rPr>
          <w:rFonts w:ascii="Arial" w:hAnsi="Arial" w:cs="Arial"/>
          <w:sz w:val="24"/>
          <w:szCs w:val="24"/>
        </w:rPr>
        <w:t xml:space="preserve">– afferma </w:t>
      </w:r>
      <w:r w:rsidRPr="00501B79">
        <w:rPr>
          <w:rFonts w:ascii="Arial" w:hAnsi="Arial" w:cs="Arial"/>
          <w:b/>
          <w:bCs/>
          <w:sz w:val="24"/>
          <w:szCs w:val="24"/>
        </w:rPr>
        <w:t>Giovanna Greco</w:t>
      </w:r>
      <w:r w:rsidRPr="00501B79">
        <w:rPr>
          <w:rFonts w:ascii="Arial" w:hAnsi="Arial" w:cs="Arial"/>
          <w:sz w:val="24"/>
          <w:szCs w:val="24"/>
        </w:rPr>
        <w:t>, consigliera nazionale dei commercialisti delegata a</w:t>
      </w:r>
      <w:r w:rsidR="00A73D5B" w:rsidRPr="00501B79">
        <w:rPr>
          <w:rFonts w:ascii="Arial" w:hAnsi="Arial" w:cs="Arial"/>
          <w:sz w:val="24"/>
          <w:szCs w:val="24"/>
        </w:rPr>
        <w:t xml:space="preserve"> </w:t>
      </w:r>
      <w:r w:rsidR="00A73D5B" w:rsidRPr="00501B79">
        <w:rPr>
          <w:rFonts w:ascii="Arial" w:hAnsi="Arial" w:cs="Arial"/>
          <w:i/>
          <w:iCs/>
          <w:sz w:val="24"/>
          <w:szCs w:val="24"/>
        </w:rPr>
        <w:t>Funzioni giudiziarie e ADR</w:t>
      </w:r>
      <w:r w:rsidR="00A73D5B" w:rsidRPr="00501B79">
        <w:rPr>
          <w:rFonts w:ascii="Arial" w:hAnsi="Arial" w:cs="Arial"/>
          <w:sz w:val="24"/>
          <w:szCs w:val="24"/>
        </w:rPr>
        <w:t xml:space="preserve"> –, che si inserisce all’interno di </w:t>
      </w:r>
      <w:r w:rsidR="00A73D5B" w:rsidRPr="00F2201A">
        <w:rPr>
          <w:rFonts w:ascii="Arial" w:hAnsi="Arial" w:cs="Arial"/>
          <w:b/>
          <w:bCs/>
          <w:sz w:val="24"/>
          <w:szCs w:val="24"/>
        </w:rPr>
        <w:t xml:space="preserve">un percorso </w:t>
      </w:r>
      <w:r w:rsidR="00670FC0" w:rsidRPr="00F2201A">
        <w:rPr>
          <w:rFonts w:ascii="Arial" w:hAnsi="Arial" w:cs="Arial"/>
          <w:b/>
          <w:bCs/>
          <w:sz w:val="24"/>
          <w:szCs w:val="24"/>
        </w:rPr>
        <w:t xml:space="preserve">istituzionale </w:t>
      </w:r>
      <w:r w:rsidR="00A73D5B" w:rsidRPr="00F2201A">
        <w:rPr>
          <w:rFonts w:ascii="Arial" w:hAnsi="Arial" w:cs="Arial"/>
          <w:b/>
          <w:bCs/>
          <w:sz w:val="24"/>
          <w:szCs w:val="24"/>
        </w:rPr>
        <w:t>con il Ministero della Giustizia</w:t>
      </w:r>
      <w:r w:rsidR="00A73D5B" w:rsidRPr="00501B79">
        <w:rPr>
          <w:rFonts w:ascii="Arial" w:hAnsi="Arial" w:cs="Arial"/>
          <w:sz w:val="24"/>
          <w:szCs w:val="24"/>
        </w:rPr>
        <w:t xml:space="preserve"> per la modifica d</w:t>
      </w:r>
      <w:r w:rsidR="006C729F" w:rsidRPr="00501B79">
        <w:rPr>
          <w:rFonts w:ascii="Arial" w:hAnsi="Arial" w:cs="Arial"/>
          <w:sz w:val="24"/>
          <w:szCs w:val="24"/>
        </w:rPr>
        <w:t xml:space="preserve">elle soglie di allerta. </w:t>
      </w:r>
      <w:r w:rsidR="006C729F" w:rsidRPr="00501B79">
        <w:rPr>
          <w:rFonts w:ascii="Arial" w:eastAsia="Calibri" w:hAnsi="Arial" w:cs="Arial"/>
          <w:sz w:val="24"/>
          <w:szCs w:val="24"/>
          <w:lang w:bidi="it-IT"/>
        </w:rPr>
        <w:t xml:space="preserve">Ancorché il complessivo assetto della norma appaia in linea con i principi espressi nella direttiva europea di incentivare anche le autorità fiscali e di sicurezza sociale a segnalare al debitore gli andamenti negativi, è necessaria </w:t>
      </w:r>
      <w:r w:rsidR="006C729F" w:rsidRPr="00F2201A">
        <w:rPr>
          <w:rFonts w:ascii="Arial" w:eastAsia="Calibri" w:hAnsi="Arial" w:cs="Arial"/>
          <w:b/>
          <w:bCs/>
          <w:sz w:val="24"/>
          <w:szCs w:val="24"/>
          <w:lang w:bidi="it-IT"/>
        </w:rPr>
        <w:t>una ulteriore rimodulazione</w:t>
      </w:r>
      <w:r w:rsidR="006C729F" w:rsidRPr="00501B79">
        <w:rPr>
          <w:rFonts w:ascii="Arial" w:eastAsia="Calibri" w:hAnsi="Arial" w:cs="Arial"/>
          <w:sz w:val="24"/>
          <w:szCs w:val="24"/>
          <w:lang w:bidi="it-IT"/>
        </w:rPr>
        <w:t xml:space="preserve"> in ragione della </w:t>
      </w:r>
      <w:r w:rsidR="006C729F" w:rsidRPr="00F2201A">
        <w:rPr>
          <w:rFonts w:ascii="Arial" w:eastAsia="Calibri" w:hAnsi="Arial" w:cs="Arial"/>
          <w:b/>
          <w:bCs/>
          <w:sz w:val="24"/>
          <w:szCs w:val="24"/>
          <w:lang w:bidi="it-IT"/>
        </w:rPr>
        <w:t>dimensione dell’azienda</w:t>
      </w:r>
      <w:r w:rsidR="006C729F" w:rsidRPr="00501B79">
        <w:rPr>
          <w:rFonts w:ascii="Arial" w:eastAsia="Calibri" w:hAnsi="Arial" w:cs="Arial"/>
          <w:sz w:val="24"/>
          <w:szCs w:val="24"/>
          <w:lang w:bidi="it-IT"/>
        </w:rPr>
        <w:t xml:space="preserve"> e del </w:t>
      </w:r>
      <w:r w:rsidR="000F69C0" w:rsidRPr="00501B79">
        <w:rPr>
          <w:rFonts w:ascii="Arial" w:eastAsia="Calibri" w:hAnsi="Arial" w:cs="Arial"/>
          <w:sz w:val="24"/>
          <w:szCs w:val="24"/>
          <w:lang w:bidi="it-IT"/>
        </w:rPr>
        <w:t xml:space="preserve">suo </w:t>
      </w:r>
      <w:r w:rsidR="006C729F" w:rsidRPr="00F2201A">
        <w:rPr>
          <w:rFonts w:ascii="Arial" w:eastAsia="Calibri" w:hAnsi="Arial" w:cs="Arial"/>
          <w:b/>
          <w:bCs/>
          <w:sz w:val="24"/>
          <w:szCs w:val="24"/>
          <w:lang w:bidi="it-IT"/>
        </w:rPr>
        <w:t>volume d’affari</w:t>
      </w:r>
      <w:r w:rsidR="00501B79" w:rsidRPr="00501B79">
        <w:rPr>
          <w:rFonts w:ascii="Arial" w:hAnsi="Arial" w:cs="Arial"/>
          <w:sz w:val="24"/>
          <w:szCs w:val="24"/>
          <w:lang w:bidi="it-IT"/>
        </w:rPr>
        <w:t xml:space="preserve"> ai fini della determinazione dell’importo relativo al debito scaduto e non versato inerente all’imposta sul valore aggiunto</w:t>
      </w:r>
      <w:r w:rsidR="006C729F" w:rsidRPr="00501B79">
        <w:rPr>
          <w:rFonts w:ascii="Arial" w:eastAsia="Calibri" w:hAnsi="Arial" w:cs="Arial"/>
          <w:sz w:val="24"/>
          <w:szCs w:val="24"/>
          <w:lang w:bidi="it-IT"/>
        </w:rPr>
        <w:t>”.</w:t>
      </w:r>
    </w:p>
    <w:sectPr w:rsidR="006C729F" w:rsidRPr="00501B7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2E5E4" w14:textId="77777777" w:rsidR="002A1DF0" w:rsidRDefault="002A1DF0" w:rsidP="000526D8">
      <w:pPr>
        <w:spacing w:after="0" w:line="240" w:lineRule="auto"/>
      </w:pPr>
      <w:r>
        <w:separator/>
      </w:r>
    </w:p>
  </w:endnote>
  <w:endnote w:type="continuationSeparator" w:id="0">
    <w:p w14:paraId="39CF27D1" w14:textId="77777777" w:rsidR="002A1DF0" w:rsidRDefault="002A1DF0" w:rsidP="0005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75D2" w14:textId="77777777" w:rsidR="00EF4FE0" w:rsidRPr="00EF4FE0" w:rsidRDefault="00EF4FE0" w:rsidP="00EF4FE0">
    <w:pPr>
      <w:spacing w:after="0" w:line="240" w:lineRule="auto"/>
      <w:rPr>
        <w:rFonts w:ascii="Arial" w:eastAsia="Times New Roman" w:hAnsi="Arial" w:cs="Arial"/>
        <w:b/>
        <w:sz w:val="20"/>
        <w:szCs w:val="20"/>
      </w:rPr>
    </w:pPr>
    <w:r w:rsidRPr="00EF4FE0">
      <w:rPr>
        <w:rFonts w:ascii="Arial" w:eastAsia="Times New Roman" w:hAnsi="Arial" w:cs="Arial"/>
        <w:b/>
        <w:sz w:val="20"/>
        <w:szCs w:val="20"/>
      </w:rPr>
      <w:t>Ufficio stampa Consiglio nazionale dei commercialisti</w:t>
    </w:r>
  </w:p>
  <w:p w14:paraId="3E8A0063" w14:textId="77777777" w:rsidR="00EF4FE0" w:rsidRPr="00EF4FE0" w:rsidRDefault="00EF4FE0" w:rsidP="00EF4FE0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EF4FE0">
      <w:rPr>
        <w:rFonts w:ascii="Arial" w:eastAsia="Times New Roman" w:hAnsi="Arial" w:cs="Arial"/>
        <w:sz w:val="20"/>
        <w:szCs w:val="20"/>
      </w:rPr>
      <w:t>Tiziana Mastrogiacomo</w:t>
    </w:r>
  </w:p>
  <w:p w14:paraId="4F3D9C9F" w14:textId="77777777" w:rsidR="00EF4FE0" w:rsidRPr="00EF4FE0" w:rsidRDefault="00EF4FE0" w:rsidP="00EF4FE0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EF4FE0">
      <w:rPr>
        <w:rFonts w:ascii="Arial" w:eastAsia="Times New Roman" w:hAnsi="Arial" w:cs="Arial"/>
        <w:sz w:val="20"/>
        <w:szCs w:val="20"/>
      </w:rPr>
      <w:t>mastrogiacomo@commercialisti.it</w:t>
    </w:r>
  </w:p>
  <w:p w14:paraId="09AE649E" w14:textId="77777777" w:rsidR="00EF4FE0" w:rsidRPr="00EF4FE0" w:rsidRDefault="00EF4FE0" w:rsidP="00EF4FE0">
    <w:pPr>
      <w:spacing w:after="0" w:line="240" w:lineRule="auto"/>
      <w:rPr>
        <w:rFonts w:ascii="Calibri" w:eastAsia="Times New Roman" w:hAnsi="Calibri" w:cs="Calibri"/>
        <w:iCs/>
        <w:bdr w:val="none" w:sz="0" w:space="0" w:color="auto" w:frame="1"/>
      </w:rPr>
    </w:pPr>
    <w:r w:rsidRPr="00EF4FE0">
      <w:rPr>
        <w:rFonts w:ascii="Arial" w:eastAsiaTheme="minorEastAsia" w:hAnsi="Arial" w:cs="Arial"/>
        <w:sz w:val="20"/>
        <w:szCs w:val="20"/>
        <w:lang w:eastAsia="it-IT"/>
      </w:rPr>
      <w:t>06.47863623</w:t>
    </w:r>
  </w:p>
  <w:p w14:paraId="5E1B2327" w14:textId="77777777" w:rsidR="00EF4FE0" w:rsidRDefault="00EF4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7C33" w14:textId="77777777" w:rsidR="002A1DF0" w:rsidRDefault="002A1DF0" w:rsidP="000526D8">
      <w:pPr>
        <w:spacing w:after="0" w:line="240" w:lineRule="auto"/>
      </w:pPr>
      <w:r>
        <w:separator/>
      </w:r>
    </w:p>
  </w:footnote>
  <w:footnote w:type="continuationSeparator" w:id="0">
    <w:p w14:paraId="1975DA1E" w14:textId="77777777" w:rsidR="002A1DF0" w:rsidRDefault="002A1DF0" w:rsidP="0005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8736" w14:textId="5784C24B" w:rsidR="000526D8" w:rsidRDefault="000526D8" w:rsidP="000526D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B1EA35F" wp14:editId="5FBE34F2">
          <wp:extent cx="2518076" cy="949960"/>
          <wp:effectExtent l="0" t="0" r="0" b="2540"/>
          <wp:docPr id="3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0985" cy="951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20"/>
    <w:rsid w:val="00001AFD"/>
    <w:rsid w:val="000140A2"/>
    <w:rsid w:val="000526D8"/>
    <w:rsid w:val="000C5D9E"/>
    <w:rsid w:val="000C76A7"/>
    <w:rsid w:val="000E61B1"/>
    <w:rsid w:val="000F69C0"/>
    <w:rsid w:val="001A57AC"/>
    <w:rsid w:val="001E764B"/>
    <w:rsid w:val="002579D5"/>
    <w:rsid w:val="00292119"/>
    <w:rsid w:val="00296A37"/>
    <w:rsid w:val="002A1DF0"/>
    <w:rsid w:val="002D4B66"/>
    <w:rsid w:val="00443A3C"/>
    <w:rsid w:val="00472D4D"/>
    <w:rsid w:val="004C50A7"/>
    <w:rsid w:val="00501B79"/>
    <w:rsid w:val="00561CD4"/>
    <w:rsid w:val="005A38AC"/>
    <w:rsid w:val="005E3220"/>
    <w:rsid w:val="00646034"/>
    <w:rsid w:val="00670FC0"/>
    <w:rsid w:val="00675D11"/>
    <w:rsid w:val="006C729F"/>
    <w:rsid w:val="006E0751"/>
    <w:rsid w:val="00704327"/>
    <w:rsid w:val="007F1C14"/>
    <w:rsid w:val="00894064"/>
    <w:rsid w:val="00945DFF"/>
    <w:rsid w:val="0099620F"/>
    <w:rsid w:val="00A20672"/>
    <w:rsid w:val="00A52489"/>
    <w:rsid w:val="00A73D5B"/>
    <w:rsid w:val="00AB4B56"/>
    <w:rsid w:val="00B14114"/>
    <w:rsid w:val="00B621FA"/>
    <w:rsid w:val="00B74811"/>
    <w:rsid w:val="00C21BD5"/>
    <w:rsid w:val="00C27C88"/>
    <w:rsid w:val="00C63678"/>
    <w:rsid w:val="00EE6602"/>
    <w:rsid w:val="00EF4FE0"/>
    <w:rsid w:val="00F210BE"/>
    <w:rsid w:val="00F2201A"/>
    <w:rsid w:val="00F26F6A"/>
    <w:rsid w:val="00F9431E"/>
    <w:rsid w:val="00FD7573"/>
    <w:rsid w:val="00F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2344"/>
  <w15:chartTrackingRefBased/>
  <w15:docId w15:val="{0B2C0A79-596B-428C-A4E7-6646C948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2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6D8"/>
  </w:style>
  <w:style w:type="paragraph" w:styleId="Pidipagina">
    <w:name w:val="footer"/>
    <w:basedOn w:val="Normale"/>
    <w:link w:val="PidipaginaCarattere"/>
    <w:uiPriority w:val="99"/>
    <w:unhideWhenUsed/>
    <w:rsid w:val="00052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34</cp:revision>
  <dcterms:created xsi:type="dcterms:W3CDTF">2022-07-28T14:25:00Z</dcterms:created>
  <dcterms:modified xsi:type="dcterms:W3CDTF">2022-08-01T10:50:00Z</dcterms:modified>
</cp:coreProperties>
</file>