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C774" w14:textId="77777777" w:rsidR="00CE7066" w:rsidRPr="00FD0BB3" w:rsidRDefault="00CE7066" w:rsidP="00636782">
      <w:pPr>
        <w:spacing w:after="0" w:line="240" w:lineRule="auto"/>
        <w:jc w:val="center"/>
        <w:rPr>
          <w:rFonts w:ascii="Arial" w:hAnsi="Arial" w:cs="Arial"/>
          <w:sz w:val="23"/>
          <w:szCs w:val="23"/>
          <w:u w:val="single"/>
        </w:rPr>
      </w:pPr>
    </w:p>
    <w:p w14:paraId="0F76069E" w14:textId="77777777" w:rsidR="006B185D" w:rsidRPr="00FD0BB3" w:rsidRDefault="006B185D" w:rsidP="00636782">
      <w:pPr>
        <w:spacing w:after="0" w:line="240" w:lineRule="auto"/>
        <w:jc w:val="center"/>
        <w:rPr>
          <w:rFonts w:ascii="Arial" w:hAnsi="Arial" w:cs="Arial"/>
          <w:sz w:val="23"/>
          <w:szCs w:val="23"/>
          <w:u w:val="single"/>
        </w:rPr>
      </w:pPr>
    </w:p>
    <w:p w14:paraId="544F2143" w14:textId="579BB0CA" w:rsidR="00D76572" w:rsidRPr="00636782" w:rsidRDefault="00D76572" w:rsidP="00636782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636782">
        <w:rPr>
          <w:rFonts w:ascii="Arial" w:hAnsi="Arial" w:cs="Arial"/>
          <w:b/>
          <w:bCs/>
          <w:sz w:val="23"/>
          <w:szCs w:val="23"/>
        </w:rPr>
        <w:t>Comunicato stampa</w:t>
      </w:r>
    </w:p>
    <w:p w14:paraId="17C57EB9" w14:textId="77777777" w:rsidR="00D76572" w:rsidRPr="00636782" w:rsidRDefault="00D76572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749C353" w14:textId="1E09360A" w:rsidR="00D76572" w:rsidRPr="00636782" w:rsidRDefault="00CE7066" w:rsidP="00636782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636782">
        <w:rPr>
          <w:rFonts w:ascii="Arial" w:hAnsi="Arial" w:cs="Arial"/>
          <w:b/>
          <w:bCs/>
          <w:sz w:val="23"/>
          <w:szCs w:val="23"/>
        </w:rPr>
        <w:t>CRISI DA SOVRAINDEBITAMENTO: LINEE GUIDA DEI COMMERCIALISTI SUI COMPENSI DEL GESTORE NELLE PROCEDURE DI COMPOSIZIONE</w:t>
      </w:r>
    </w:p>
    <w:p w14:paraId="496F478E" w14:textId="77777777" w:rsidR="00CE7066" w:rsidRPr="00636782" w:rsidRDefault="00CE7066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DC594B8" w14:textId="6F2D7619" w:rsidR="004F248D" w:rsidRDefault="004F248D" w:rsidP="00636782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636782">
        <w:rPr>
          <w:rFonts w:ascii="Arial" w:hAnsi="Arial" w:cs="Arial"/>
          <w:b/>
          <w:bCs/>
          <w:sz w:val="23"/>
          <w:szCs w:val="23"/>
        </w:rPr>
        <w:t>Il fine del documento è</w:t>
      </w:r>
      <w:r w:rsidR="006B185D" w:rsidRPr="00636782">
        <w:rPr>
          <w:rFonts w:ascii="Arial" w:hAnsi="Arial" w:cs="Arial"/>
          <w:b/>
          <w:bCs/>
          <w:sz w:val="23"/>
          <w:szCs w:val="23"/>
        </w:rPr>
        <w:t xml:space="preserve"> uniformare i comportamenti degli OCC dei diversi Ordini locali e</w:t>
      </w:r>
      <w:r w:rsidRPr="00636782">
        <w:rPr>
          <w:rFonts w:ascii="Arial" w:hAnsi="Arial" w:cs="Arial"/>
          <w:b/>
          <w:bCs/>
          <w:sz w:val="23"/>
          <w:szCs w:val="23"/>
        </w:rPr>
        <w:t xml:space="preserve"> dirimere le problematiche legate alla determinazione degli onorari</w:t>
      </w:r>
    </w:p>
    <w:p w14:paraId="67755CD1" w14:textId="77777777" w:rsidR="00636782" w:rsidRPr="00636782" w:rsidRDefault="00636782" w:rsidP="00636782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F00E62A" w14:textId="77777777" w:rsidR="006B185D" w:rsidRPr="00636782" w:rsidRDefault="006B185D" w:rsidP="0063678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BA62690" w14:textId="4FEAF2D5" w:rsidR="009301DD" w:rsidRPr="00636782" w:rsidRDefault="00D76572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36782">
        <w:rPr>
          <w:rFonts w:ascii="Arial" w:hAnsi="Arial" w:cs="Arial"/>
          <w:i/>
          <w:iCs/>
          <w:sz w:val="23"/>
          <w:szCs w:val="23"/>
        </w:rPr>
        <w:t>Roma, 29 maggio</w:t>
      </w:r>
      <w:r w:rsidRPr="00636782">
        <w:rPr>
          <w:rFonts w:ascii="Arial" w:hAnsi="Arial" w:cs="Arial"/>
          <w:sz w:val="23"/>
          <w:szCs w:val="23"/>
        </w:rPr>
        <w:t xml:space="preserve"> 2023 – </w:t>
      </w:r>
      <w:r w:rsidR="009301DD" w:rsidRPr="00636782">
        <w:rPr>
          <w:rFonts w:ascii="Arial" w:hAnsi="Arial" w:cs="Arial"/>
          <w:sz w:val="23"/>
          <w:szCs w:val="23"/>
        </w:rPr>
        <w:t>Il Consiglio nazionale dei commercialisti e la Fondazione ADR Commercialisti hanno pubblicato le “</w:t>
      </w:r>
      <w:r w:rsidR="009301DD" w:rsidRPr="00636782">
        <w:rPr>
          <w:rFonts w:ascii="Arial" w:hAnsi="Arial" w:cs="Arial"/>
          <w:b/>
          <w:bCs/>
          <w:sz w:val="23"/>
          <w:szCs w:val="23"/>
        </w:rPr>
        <w:t>Linee guida sui compensi del Gestore nelle procedure di composizione delle crisi da sovraindebitamento</w:t>
      </w:r>
      <w:r w:rsidR="009301DD" w:rsidRPr="00636782">
        <w:rPr>
          <w:rFonts w:ascii="Arial" w:hAnsi="Arial" w:cs="Arial"/>
          <w:sz w:val="23"/>
          <w:szCs w:val="23"/>
        </w:rPr>
        <w:t>”</w:t>
      </w:r>
      <w:r w:rsidRPr="00636782">
        <w:rPr>
          <w:rFonts w:ascii="Arial" w:hAnsi="Arial" w:cs="Arial"/>
          <w:sz w:val="23"/>
          <w:szCs w:val="23"/>
        </w:rPr>
        <w:t>.</w:t>
      </w:r>
    </w:p>
    <w:p w14:paraId="37FDE8CC" w14:textId="77777777" w:rsidR="009301DD" w:rsidRPr="00636782" w:rsidRDefault="009301DD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2B5D056" w14:textId="701B6DA5" w:rsidR="00056CCF" w:rsidRPr="00636782" w:rsidRDefault="009301DD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36782">
        <w:rPr>
          <w:rFonts w:ascii="Arial" w:hAnsi="Arial" w:cs="Arial"/>
          <w:sz w:val="23"/>
          <w:szCs w:val="23"/>
        </w:rPr>
        <w:t xml:space="preserve">Il documento </w:t>
      </w:r>
      <w:r w:rsidR="00C82226" w:rsidRPr="00636782">
        <w:rPr>
          <w:rFonts w:ascii="Arial" w:hAnsi="Arial" w:cs="Arial"/>
          <w:sz w:val="23"/>
          <w:szCs w:val="23"/>
        </w:rPr>
        <w:t>fornisce le l</w:t>
      </w:r>
      <w:r w:rsidRPr="00636782">
        <w:rPr>
          <w:rFonts w:ascii="Arial" w:hAnsi="Arial" w:cs="Arial"/>
          <w:sz w:val="23"/>
          <w:szCs w:val="23"/>
        </w:rPr>
        <w:t xml:space="preserve">inee guida sui compensi del Gestore nell’ambito delle procedure disciplinate dal nuovo Codice della Crisi </w:t>
      </w:r>
      <w:r w:rsidR="00C82226" w:rsidRPr="00636782">
        <w:rPr>
          <w:rFonts w:ascii="Arial" w:hAnsi="Arial" w:cs="Arial"/>
          <w:sz w:val="23"/>
          <w:szCs w:val="23"/>
        </w:rPr>
        <w:t>in c</w:t>
      </w:r>
      <w:r w:rsidRPr="00636782">
        <w:rPr>
          <w:rFonts w:ascii="Arial" w:hAnsi="Arial" w:cs="Arial"/>
          <w:sz w:val="23"/>
          <w:szCs w:val="23"/>
        </w:rPr>
        <w:t xml:space="preserve">onformità </w:t>
      </w:r>
      <w:r w:rsidR="00C82226" w:rsidRPr="00636782">
        <w:rPr>
          <w:rFonts w:ascii="Arial" w:hAnsi="Arial" w:cs="Arial"/>
          <w:sz w:val="23"/>
          <w:szCs w:val="23"/>
        </w:rPr>
        <w:t>alle disposizioni de</w:t>
      </w:r>
      <w:r w:rsidRPr="00636782">
        <w:rPr>
          <w:rFonts w:ascii="Arial" w:hAnsi="Arial" w:cs="Arial"/>
          <w:sz w:val="23"/>
          <w:szCs w:val="23"/>
        </w:rPr>
        <w:t>ll’articolo 22 “</w:t>
      </w:r>
      <w:r w:rsidRPr="00636782">
        <w:rPr>
          <w:rFonts w:ascii="Arial" w:hAnsi="Arial" w:cs="Arial"/>
          <w:i/>
          <w:iCs/>
          <w:sz w:val="23"/>
          <w:szCs w:val="23"/>
        </w:rPr>
        <w:t>Determinazione compensi e rimborsi spese dell’OCC</w:t>
      </w:r>
      <w:r w:rsidRPr="00636782">
        <w:rPr>
          <w:rFonts w:ascii="Arial" w:hAnsi="Arial" w:cs="Arial"/>
          <w:sz w:val="23"/>
          <w:szCs w:val="23"/>
        </w:rPr>
        <w:t>” delle “</w:t>
      </w:r>
      <w:hyperlink r:id="rId6" w:history="1">
        <w:r w:rsidRPr="00636782">
          <w:rPr>
            <w:rStyle w:val="Collegamentoipertestuale"/>
            <w:rFonts w:ascii="Arial" w:hAnsi="Arial" w:cs="Arial"/>
            <w:sz w:val="23"/>
            <w:szCs w:val="23"/>
          </w:rPr>
          <w:t>Linee guida per la redazione dei Regolamenti OCC dei commercialisti</w:t>
        </w:r>
      </w:hyperlink>
      <w:r w:rsidRPr="00636782">
        <w:rPr>
          <w:rFonts w:ascii="Arial" w:hAnsi="Arial" w:cs="Arial"/>
          <w:sz w:val="23"/>
          <w:szCs w:val="23"/>
        </w:rPr>
        <w:t>”</w:t>
      </w:r>
      <w:r w:rsidR="005E7E9A" w:rsidRPr="00636782">
        <w:rPr>
          <w:rFonts w:ascii="Arial" w:hAnsi="Arial" w:cs="Arial"/>
          <w:sz w:val="23"/>
          <w:szCs w:val="23"/>
        </w:rPr>
        <w:t>,</w:t>
      </w:r>
      <w:r w:rsidRPr="00636782">
        <w:rPr>
          <w:rFonts w:ascii="Arial" w:hAnsi="Arial" w:cs="Arial"/>
          <w:sz w:val="23"/>
          <w:szCs w:val="23"/>
        </w:rPr>
        <w:t xml:space="preserve"> pubblicato</w:t>
      </w:r>
      <w:r w:rsidR="00C82226" w:rsidRPr="00636782">
        <w:rPr>
          <w:rFonts w:ascii="Arial" w:hAnsi="Arial" w:cs="Arial"/>
          <w:sz w:val="23"/>
          <w:szCs w:val="23"/>
        </w:rPr>
        <w:t xml:space="preserve"> lo scorso </w:t>
      </w:r>
      <w:r w:rsidRPr="00636782">
        <w:rPr>
          <w:rFonts w:ascii="Arial" w:hAnsi="Arial" w:cs="Arial"/>
          <w:sz w:val="23"/>
          <w:szCs w:val="23"/>
        </w:rPr>
        <w:t>29 marzo</w:t>
      </w:r>
      <w:r w:rsidR="00C82226" w:rsidRPr="00636782">
        <w:rPr>
          <w:rFonts w:ascii="Arial" w:hAnsi="Arial" w:cs="Arial"/>
          <w:sz w:val="23"/>
          <w:szCs w:val="23"/>
        </w:rPr>
        <w:t xml:space="preserve"> d</w:t>
      </w:r>
      <w:r w:rsidRPr="00636782">
        <w:rPr>
          <w:rFonts w:ascii="Arial" w:hAnsi="Arial" w:cs="Arial"/>
          <w:sz w:val="23"/>
          <w:szCs w:val="23"/>
        </w:rPr>
        <w:t>alla Fondazione ADR Commercialisti</w:t>
      </w:r>
      <w:r w:rsidR="005E7E9A" w:rsidRPr="00636782">
        <w:rPr>
          <w:rFonts w:ascii="Arial" w:hAnsi="Arial" w:cs="Arial"/>
          <w:sz w:val="23"/>
          <w:szCs w:val="23"/>
        </w:rPr>
        <w:t>,</w:t>
      </w:r>
      <w:r w:rsidR="00357D28" w:rsidRPr="00636782">
        <w:rPr>
          <w:rFonts w:ascii="Arial" w:hAnsi="Arial" w:cs="Arial"/>
          <w:sz w:val="23"/>
          <w:szCs w:val="23"/>
        </w:rPr>
        <w:t xml:space="preserve"> con il fine </w:t>
      </w:r>
      <w:r w:rsidRPr="00636782">
        <w:rPr>
          <w:rFonts w:ascii="Arial" w:hAnsi="Arial" w:cs="Arial"/>
          <w:sz w:val="23"/>
          <w:szCs w:val="23"/>
        </w:rPr>
        <w:t xml:space="preserve">di </w:t>
      </w:r>
      <w:r w:rsidRPr="00636782">
        <w:rPr>
          <w:rFonts w:ascii="Arial" w:hAnsi="Arial" w:cs="Arial"/>
          <w:b/>
          <w:bCs/>
          <w:sz w:val="23"/>
          <w:szCs w:val="23"/>
        </w:rPr>
        <w:t>uniformare i comportamenti degli O</w:t>
      </w:r>
      <w:r w:rsidR="00357D28" w:rsidRPr="00636782">
        <w:rPr>
          <w:rFonts w:ascii="Arial" w:hAnsi="Arial" w:cs="Arial"/>
          <w:b/>
          <w:bCs/>
          <w:sz w:val="23"/>
          <w:szCs w:val="23"/>
        </w:rPr>
        <w:t>CC</w:t>
      </w:r>
      <w:r w:rsidR="00357D28" w:rsidRPr="00636782">
        <w:rPr>
          <w:rFonts w:ascii="Arial" w:hAnsi="Arial" w:cs="Arial"/>
          <w:sz w:val="23"/>
          <w:szCs w:val="23"/>
        </w:rPr>
        <w:t xml:space="preserve"> (O</w:t>
      </w:r>
      <w:r w:rsidRPr="00636782">
        <w:rPr>
          <w:rFonts w:ascii="Arial" w:hAnsi="Arial" w:cs="Arial"/>
          <w:sz w:val="23"/>
          <w:szCs w:val="23"/>
        </w:rPr>
        <w:t>rganismi di Composizione della Crisi</w:t>
      </w:r>
      <w:r w:rsidR="00357D28" w:rsidRPr="00636782">
        <w:rPr>
          <w:rFonts w:ascii="Arial" w:hAnsi="Arial" w:cs="Arial"/>
          <w:sz w:val="23"/>
          <w:szCs w:val="23"/>
        </w:rPr>
        <w:t>)</w:t>
      </w:r>
      <w:r w:rsidRPr="00636782">
        <w:rPr>
          <w:rFonts w:ascii="Arial" w:hAnsi="Arial" w:cs="Arial"/>
          <w:sz w:val="23"/>
          <w:szCs w:val="23"/>
        </w:rPr>
        <w:t xml:space="preserve"> appartenenti ai diversi Ordini territoriali relativamente alle regole che disciplinano la corresponsione dei compensi contenute nel </w:t>
      </w:r>
      <w:hyperlink r:id="rId7" w:history="1">
        <w:r w:rsidRPr="00636782">
          <w:rPr>
            <w:rStyle w:val="Collegamentoipertestuale"/>
            <w:rFonts w:ascii="Arial" w:hAnsi="Arial" w:cs="Arial"/>
            <w:sz w:val="23"/>
            <w:szCs w:val="23"/>
          </w:rPr>
          <w:t>decreto ministeriale 24 settembre 2014, n. 202</w:t>
        </w:r>
      </w:hyperlink>
      <w:r w:rsidRPr="00636782">
        <w:rPr>
          <w:rFonts w:ascii="Arial" w:hAnsi="Arial" w:cs="Arial"/>
          <w:sz w:val="23"/>
          <w:szCs w:val="23"/>
        </w:rPr>
        <w:t xml:space="preserve">. </w:t>
      </w:r>
    </w:p>
    <w:p w14:paraId="2223C0A8" w14:textId="77777777" w:rsidR="00056CCF" w:rsidRPr="00636782" w:rsidRDefault="00056CCF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0B7CDA2" w14:textId="77777777" w:rsidR="00590900" w:rsidRPr="00636782" w:rsidRDefault="009301DD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36782">
        <w:rPr>
          <w:rFonts w:ascii="Arial" w:hAnsi="Arial" w:cs="Arial"/>
          <w:sz w:val="23"/>
          <w:szCs w:val="23"/>
        </w:rPr>
        <w:t xml:space="preserve">Il documento si propone di </w:t>
      </w:r>
      <w:r w:rsidRPr="00636782">
        <w:rPr>
          <w:rFonts w:ascii="Arial" w:hAnsi="Arial" w:cs="Arial"/>
          <w:b/>
          <w:bCs/>
          <w:sz w:val="23"/>
          <w:szCs w:val="23"/>
        </w:rPr>
        <w:t>dirimere le variegate problematiche legate alla determinazione dei compensi</w:t>
      </w:r>
      <w:r w:rsidRPr="00636782">
        <w:rPr>
          <w:rFonts w:ascii="Arial" w:hAnsi="Arial" w:cs="Arial"/>
          <w:sz w:val="23"/>
          <w:szCs w:val="23"/>
        </w:rPr>
        <w:t xml:space="preserve"> spettanti agli OCC e, in particolar modo, quelle afferenti alla percezione di acconti in talune ipotesi ed alla liquidazione dei compensi al termine della fase esecutiva delle procedure.</w:t>
      </w:r>
    </w:p>
    <w:p w14:paraId="4E2442F5" w14:textId="77777777" w:rsidR="00590900" w:rsidRPr="00636782" w:rsidRDefault="00590900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1AA1EA0" w14:textId="5E287DA2" w:rsidR="00B87EEF" w:rsidRPr="00636782" w:rsidRDefault="00B87EEF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36782">
        <w:rPr>
          <w:rFonts w:ascii="Arial" w:hAnsi="Arial" w:cs="Arial"/>
          <w:sz w:val="23"/>
          <w:szCs w:val="23"/>
        </w:rPr>
        <w:t xml:space="preserve">Per </w:t>
      </w:r>
      <w:r w:rsidR="009301DD" w:rsidRPr="00636782">
        <w:rPr>
          <w:rFonts w:ascii="Arial" w:hAnsi="Arial" w:cs="Arial"/>
          <w:sz w:val="23"/>
          <w:szCs w:val="23"/>
        </w:rPr>
        <w:t xml:space="preserve">la predisposizione e </w:t>
      </w:r>
      <w:r w:rsidRPr="00636782">
        <w:rPr>
          <w:rFonts w:ascii="Arial" w:hAnsi="Arial" w:cs="Arial"/>
          <w:sz w:val="23"/>
          <w:szCs w:val="23"/>
        </w:rPr>
        <w:t xml:space="preserve">la </w:t>
      </w:r>
      <w:r w:rsidR="009301DD" w:rsidRPr="00636782">
        <w:rPr>
          <w:rFonts w:ascii="Arial" w:hAnsi="Arial" w:cs="Arial"/>
          <w:sz w:val="23"/>
          <w:szCs w:val="23"/>
        </w:rPr>
        <w:t>stesura del</w:t>
      </w:r>
      <w:r w:rsidR="00590900" w:rsidRPr="00636782">
        <w:rPr>
          <w:rFonts w:ascii="Arial" w:hAnsi="Arial" w:cs="Arial"/>
          <w:sz w:val="23"/>
          <w:szCs w:val="23"/>
        </w:rPr>
        <w:t xml:space="preserve">le Linee guida </w:t>
      </w:r>
      <w:r w:rsidR="009301DD" w:rsidRPr="00636782">
        <w:rPr>
          <w:rFonts w:ascii="Arial" w:hAnsi="Arial" w:cs="Arial"/>
          <w:sz w:val="23"/>
          <w:szCs w:val="23"/>
        </w:rPr>
        <w:t xml:space="preserve">si è tenuto conto, in quanto condivisibili, delle </w:t>
      </w:r>
      <w:r w:rsidR="009301DD" w:rsidRPr="00636782">
        <w:rPr>
          <w:rFonts w:ascii="Arial" w:hAnsi="Arial" w:cs="Arial"/>
          <w:b/>
          <w:bCs/>
          <w:sz w:val="23"/>
          <w:szCs w:val="23"/>
        </w:rPr>
        <w:t>più recenti pronunce giurisprudenziali</w:t>
      </w:r>
      <w:r w:rsidR="009301DD" w:rsidRPr="00636782">
        <w:rPr>
          <w:rFonts w:ascii="Arial" w:hAnsi="Arial" w:cs="Arial"/>
          <w:sz w:val="23"/>
          <w:szCs w:val="23"/>
        </w:rPr>
        <w:t xml:space="preserve"> che hanno già affrontato la questione e che sono concordi nel dare prevalenza alla pattuizione tra le parti rispetto ogni altro criterio di liquidazione dei compensi.</w:t>
      </w:r>
    </w:p>
    <w:p w14:paraId="183FE309" w14:textId="77777777" w:rsidR="00B87EEF" w:rsidRPr="00636782" w:rsidRDefault="00B87EEF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CDC90AF" w14:textId="46E158E8" w:rsidR="004F248D" w:rsidRPr="00636782" w:rsidRDefault="004F248D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36782">
        <w:rPr>
          <w:rFonts w:ascii="Arial" w:hAnsi="Arial" w:cs="Arial"/>
          <w:sz w:val="23"/>
          <w:szCs w:val="23"/>
        </w:rPr>
        <w:t xml:space="preserve">Le tematiche affrontate riguardano: compensi e spese; quantificazione del compenso e comunicazione del preventivo/contratto; ripartizione degli acconti sul compenso e saldo finale; obblighi del debitore; i rapporti tra OCC e gestore; ripartizione proporzionale del compenso; </w:t>
      </w:r>
      <w:proofErr w:type="spellStart"/>
      <w:r w:rsidRPr="00636782">
        <w:rPr>
          <w:rFonts w:ascii="Arial" w:hAnsi="Arial" w:cs="Arial"/>
          <w:sz w:val="23"/>
          <w:szCs w:val="23"/>
        </w:rPr>
        <w:t>prededucibilità</w:t>
      </w:r>
      <w:proofErr w:type="spellEnd"/>
      <w:r w:rsidRPr="00636782">
        <w:rPr>
          <w:rFonts w:ascii="Arial" w:hAnsi="Arial" w:cs="Arial"/>
          <w:sz w:val="23"/>
          <w:szCs w:val="23"/>
        </w:rPr>
        <w:t xml:space="preserve"> dei crediti OCC.</w:t>
      </w:r>
      <w:r w:rsidR="00643E97" w:rsidRPr="00636782">
        <w:rPr>
          <w:rFonts w:ascii="Arial" w:hAnsi="Arial" w:cs="Arial"/>
          <w:sz w:val="23"/>
          <w:szCs w:val="23"/>
        </w:rPr>
        <w:t xml:space="preserve"> Sono presenti </w:t>
      </w:r>
      <w:r w:rsidRPr="00636782">
        <w:rPr>
          <w:rFonts w:ascii="Arial" w:hAnsi="Arial" w:cs="Arial"/>
          <w:sz w:val="23"/>
          <w:szCs w:val="23"/>
        </w:rPr>
        <w:t>anche due allegati: il modello “</w:t>
      </w:r>
      <w:r w:rsidRPr="00636782">
        <w:rPr>
          <w:rFonts w:ascii="Arial" w:hAnsi="Arial" w:cs="Arial"/>
          <w:b/>
          <w:bCs/>
          <w:sz w:val="23"/>
          <w:szCs w:val="23"/>
        </w:rPr>
        <w:t>Comunicazione preventivo compensi e spese</w:t>
      </w:r>
      <w:r w:rsidRPr="00636782">
        <w:rPr>
          <w:rFonts w:ascii="Arial" w:hAnsi="Arial" w:cs="Arial"/>
          <w:sz w:val="23"/>
          <w:szCs w:val="23"/>
        </w:rPr>
        <w:t>” (Allegato A) e il modello “</w:t>
      </w:r>
      <w:r w:rsidRPr="00636782">
        <w:rPr>
          <w:rFonts w:ascii="Arial" w:hAnsi="Arial" w:cs="Arial"/>
          <w:b/>
          <w:bCs/>
          <w:sz w:val="23"/>
          <w:szCs w:val="23"/>
        </w:rPr>
        <w:t>Lettera di incarico professionale</w:t>
      </w:r>
      <w:r w:rsidRPr="00636782">
        <w:rPr>
          <w:rFonts w:ascii="Arial" w:hAnsi="Arial" w:cs="Arial"/>
          <w:sz w:val="23"/>
          <w:szCs w:val="23"/>
        </w:rPr>
        <w:t>” (Allegato B).</w:t>
      </w:r>
    </w:p>
    <w:p w14:paraId="62DCFFEA" w14:textId="74616F63" w:rsidR="00590900" w:rsidRPr="00636782" w:rsidRDefault="00590900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3C0F069" w14:textId="2BCA3552" w:rsidR="00643E97" w:rsidRPr="00636782" w:rsidRDefault="00643E97" w:rsidP="0063678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36782">
        <w:rPr>
          <w:rFonts w:ascii="Arial" w:hAnsi="Arial" w:cs="Arial"/>
          <w:sz w:val="23"/>
          <w:szCs w:val="23"/>
        </w:rPr>
        <w:t>Il documento è stato realizzato dal gruppo di lavoro “</w:t>
      </w:r>
      <w:r w:rsidRPr="00636782">
        <w:rPr>
          <w:rFonts w:ascii="Arial" w:hAnsi="Arial" w:cs="Arial"/>
          <w:b/>
          <w:bCs/>
          <w:sz w:val="23"/>
          <w:szCs w:val="23"/>
        </w:rPr>
        <w:t>Metodi ADR</w:t>
      </w:r>
      <w:r w:rsidRPr="00636782">
        <w:rPr>
          <w:rFonts w:ascii="Arial" w:hAnsi="Arial" w:cs="Arial"/>
          <w:sz w:val="23"/>
          <w:szCs w:val="23"/>
        </w:rPr>
        <w:t xml:space="preserve">” del Consiglio nazionale composto da </w:t>
      </w:r>
      <w:r w:rsidRPr="00636782">
        <w:rPr>
          <w:rFonts w:ascii="Arial" w:hAnsi="Arial" w:cs="Arial"/>
          <w:b/>
          <w:bCs/>
          <w:sz w:val="23"/>
          <w:szCs w:val="23"/>
        </w:rPr>
        <w:t>Giovanna Greco</w:t>
      </w:r>
      <w:r w:rsidRPr="00636782">
        <w:rPr>
          <w:rFonts w:ascii="Arial" w:hAnsi="Arial" w:cs="Arial"/>
          <w:sz w:val="23"/>
          <w:szCs w:val="23"/>
        </w:rPr>
        <w:t xml:space="preserve">, segretario </w:t>
      </w:r>
      <w:r w:rsidR="00FD0BB3" w:rsidRPr="00636782">
        <w:rPr>
          <w:rFonts w:ascii="Arial" w:hAnsi="Arial" w:cs="Arial"/>
          <w:sz w:val="23"/>
          <w:szCs w:val="23"/>
        </w:rPr>
        <w:t xml:space="preserve">e </w:t>
      </w:r>
      <w:r w:rsidRPr="00636782">
        <w:rPr>
          <w:rFonts w:ascii="Arial" w:hAnsi="Arial" w:cs="Arial"/>
          <w:sz w:val="23"/>
          <w:szCs w:val="23"/>
        </w:rPr>
        <w:t xml:space="preserve">consigliere delegato all’area “Funzioni giudiziarie e ADR”; </w:t>
      </w:r>
      <w:r w:rsidRPr="00636782">
        <w:rPr>
          <w:rFonts w:ascii="Arial" w:hAnsi="Arial" w:cs="Arial"/>
          <w:b/>
          <w:bCs/>
          <w:sz w:val="23"/>
          <w:szCs w:val="23"/>
        </w:rPr>
        <w:t xml:space="preserve">Antonino </w:t>
      </w:r>
      <w:proofErr w:type="spellStart"/>
      <w:r w:rsidRPr="00636782">
        <w:rPr>
          <w:rFonts w:ascii="Arial" w:hAnsi="Arial" w:cs="Arial"/>
          <w:b/>
          <w:bCs/>
          <w:sz w:val="23"/>
          <w:szCs w:val="23"/>
        </w:rPr>
        <w:t>Trommino</w:t>
      </w:r>
      <w:proofErr w:type="spellEnd"/>
      <w:r w:rsidRPr="00636782">
        <w:rPr>
          <w:rFonts w:ascii="Arial" w:hAnsi="Arial" w:cs="Arial"/>
          <w:sz w:val="23"/>
          <w:szCs w:val="23"/>
        </w:rPr>
        <w:t xml:space="preserve"> e </w:t>
      </w:r>
      <w:r w:rsidRPr="00636782">
        <w:rPr>
          <w:rFonts w:ascii="Arial" w:hAnsi="Arial" w:cs="Arial"/>
          <w:b/>
          <w:bCs/>
          <w:sz w:val="23"/>
          <w:szCs w:val="23"/>
        </w:rPr>
        <w:t>Maria Lucetta Russotto</w:t>
      </w:r>
      <w:r w:rsidRPr="00636782">
        <w:rPr>
          <w:rFonts w:ascii="Arial" w:hAnsi="Arial" w:cs="Arial"/>
          <w:sz w:val="23"/>
          <w:szCs w:val="23"/>
        </w:rPr>
        <w:t xml:space="preserve">, rispettivamente presidente e vicepresidente della Fondazione ADR Commercialisti; dai componenti del Comitato scientifico ADR Commercialisti: </w:t>
      </w:r>
      <w:r w:rsidRPr="00636782">
        <w:rPr>
          <w:rFonts w:ascii="Arial" w:hAnsi="Arial" w:cs="Arial"/>
          <w:b/>
          <w:bCs/>
          <w:sz w:val="23"/>
          <w:szCs w:val="23"/>
        </w:rPr>
        <w:t>Lorenzo De Luca</w:t>
      </w:r>
      <w:r w:rsidRPr="00636782">
        <w:rPr>
          <w:rFonts w:ascii="Arial" w:hAnsi="Arial" w:cs="Arial"/>
          <w:sz w:val="23"/>
          <w:szCs w:val="23"/>
        </w:rPr>
        <w:t xml:space="preserve"> (Odcec Teramo); </w:t>
      </w:r>
      <w:r w:rsidRPr="00636782">
        <w:rPr>
          <w:rFonts w:ascii="Arial" w:hAnsi="Arial" w:cs="Arial"/>
          <w:b/>
          <w:bCs/>
          <w:sz w:val="23"/>
          <w:szCs w:val="23"/>
        </w:rPr>
        <w:t>Lisa Lombardi</w:t>
      </w:r>
      <w:r w:rsidRPr="00636782">
        <w:rPr>
          <w:rFonts w:ascii="Arial" w:hAnsi="Arial" w:cs="Arial"/>
          <w:sz w:val="23"/>
          <w:szCs w:val="23"/>
        </w:rPr>
        <w:t xml:space="preserve"> (Odcec Forlì); </w:t>
      </w:r>
      <w:r w:rsidR="00FD0BB3" w:rsidRPr="00636782">
        <w:rPr>
          <w:rFonts w:ascii="Arial" w:hAnsi="Arial" w:cs="Arial"/>
          <w:b/>
          <w:bCs/>
          <w:sz w:val="23"/>
          <w:szCs w:val="23"/>
        </w:rPr>
        <w:t>Aspro Mondadori</w:t>
      </w:r>
      <w:r w:rsidR="00FD0BB3" w:rsidRPr="00636782">
        <w:rPr>
          <w:rFonts w:ascii="Arial" w:hAnsi="Arial" w:cs="Arial"/>
          <w:sz w:val="23"/>
          <w:szCs w:val="23"/>
        </w:rPr>
        <w:t xml:space="preserve"> (Odcec Reggio Emilia); </w:t>
      </w:r>
      <w:r w:rsidRPr="00636782">
        <w:rPr>
          <w:rFonts w:ascii="Arial" w:hAnsi="Arial" w:cs="Arial"/>
          <w:b/>
          <w:bCs/>
          <w:sz w:val="23"/>
          <w:szCs w:val="23"/>
        </w:rPr>
        <w:t>Monica Peta</w:t>
      </w:r>
      <w:r w:rsidRPr="00636782">
        <w:rPr>
          <w:rFonts w:ascii="Arial" w:hAnsi="Arial" w:cs="Arial"/>
          <w:sz w:val="23"/>
          <w:szCs w:val="23"/>
        </w:rPr>
        <w:t xml:space="preserve"> (Odcec Roma); </w:t>
      </w:r>
      <w:r w:rsidRPr="00636782">
        <w:rPr>
          <w:rFonts w:ascii="Arial" w:hAnsi="Arial" w:cs="Arial"/>
          <w:b/>
          <w:bCs/>
          <w:sz w:val="23"/>
          <w:szCs w:val="23"/>
        </w:rPr>
        <w:t>Marisa Pezzella</w:t>
      </w:r>
      <w:r w:rsidRPr="00636782">
        <w:rPr>
          <w:rFonts w:ascii="Arial" w:hAnsi="Arial" w:cs="Arial"/>
          <w:sz w:val="23"/>
          <w:szCs w:val="23"/>
        </w:rPr>
        <w:t xml:space="preserve"> (Odcec Lanciano); </w:t>
      </w:r>
      <w:r w:rsidR="00FD0BB3" w:rsidRPr="00636782">
        <w:rPr>
          <w:rFonts w:ascii="Arial" w:hAnsi="Arial" w:cs="Arial"/>
          <w:b/>
          <w:bCs/>
          <w:sz w:val="23"/>
          <w:szCs w:val="23"/>
        </w:rPr>
        <w:t>Stefano Maria Poeta</w:t>
      </w:r>
      <w:r w:rsidR="00FD0BB3" w:rsidRPr="00636782">
        <w:rPr>
          <w:rFonts w:ascii="Arial" w:hAnsi="Arial" w:cs="Arial"/>
          <w:sz w:val="23"/>
          <w:szCs w:val="23"/>
        </w:rPr>
        <w:t xml:space="preserve"> (Odcec Reggio Calabria); </w:t>
      </w:r>
      <w:r w:rsidRPr="00636782">
        <w:rPr>
          <w:rFonts w:ascii="Arial" w:hAnsi="Arial" w:cs="Arial"/>
          <w:b/>
          <w:bCs/>
          <w:sz w:val="23"/>
          <w:szCs w:val="23"/>
        </w:rPr>
        <w:t>Carlo Regis</w:t>
      </w:r>
      <w:r w:rsidRPr="00636782">
        <w:rPr>
          <w:rFonts w:ascii="Arial" w:hAnsi="Arial" w:cs="Arial"/>
          <w:sz w:val="23"/>
          <w:szCs w:val="23"/>
        </w:rPr>
        <w:t xml:space="preserve"> (Odcec Torino); </w:t>
      </w:r>
      <w:r w:rsidR="00FD0BB3" w:rsidRPr="00636782">
        <w:rPr>
          <w:rFonts w:ascii="Arial" w:hAnsi="Arial" w:cs="Arial"/>
          <w:b/>
          <w:bCs/>
          <w:sz w:val="23"/>
          <w:szCs w:val="23"/>
        </w:rPr>
        <w:t xml:space="preserve">Enrico Terzani </w:t>
      </w:r>
      <w:r w:rsidR="00FD0BB3" w:rsidRPr="00636782">
        <w:rPr>
          <w:rFonts w:ascii="Arial" w:hAnsi="Arial" w:cs="Arial"/>
          <w:sz w:val="23"/>
          <w:szCs w:val="23"/>
        </w:rPr>
        <w:t xml:space="preserve">(Odcec Firenze); </w:t>
      </w:r>
      <w:r w:rsidR="00FD0BB3" w:rsidRPr="00636782">
        <w:rPr>
          <w:rFonts w:ascii="Arial" w:hAnsi="Arial" w:cs="Arial"/>
          <w:b/>
          <w:bCs/>
          <w:sz w:val="23"/>
          <w:szCs w:val="23"/>
        </w:rPr>
        <w:t>Alberto Vacca</w:t>
      </w:r>
      <w:r w:rsidR="00FD0BB3" w:rsidRPr="00636782">
        <w:rPr>
          <w:rFonts w:ascii="Arial" w:hAnsi="Arial" w:cs="Arial"/>
          <w:sz w:val="23"/>
          <w:szCs w:val="23"/>
        </w:rPr>
        <w:t xml:space="preserve"> (Odcec Cagliari); </w:t>
      </w:r>
      <w:r w:rsidRPr="00636782">
        <w:rPr>
          <w:rFonts w:ascii="Arial" w:hAnsi="Arial" w:cs="Arial"/>
          <w:b/>
          <w:bCs/>
          <w:sz w:val="23"/>
          <w:szCs w:val="23"/>
        </w:rPr>
        <w:t>Paola Valentini</w:t>
      </w:r>
      <w:r w:rsidRPr="00636782">
        <w:rPr>
          <w:rFonts w:ascii="Arial" w:hAnsi="Arial" w:cs="Arial"/>
          <w:sz w:val="23"/>
          <w:szCs w:val="23"/>
        </w:rPr>
        <w:t xml:space="preserve"> (Odcec Vasto); </w:t>
      </w:r>
      <w:r w:rsidRPr="00636782">
        <w:rPr>
          <w:rFonts w:ascii="Arial" w:hAnsi="Arial" w:cs="Arial"/>
          <w:b/>
          <w:bCs/>
          <w:sz w:val="23"/>
          <w:szCs w:val="23"/>
        </w:rPr>
        <w:t xml:space="preserve">Cristina </w:t>
      </w:r>
      <w:proofErr w:type="spellStart"/>
      <w:r w:rsidRPr="00636782">
        <w:rPr>
          <w:rFonts w:ascii="Arial" w:hAnsi="Arial" w:cs="Arial"/>
          <w:b/>
          <w:bCs/>
          <w:sz w:val="23"/>
          <w:szCs w:val="23"/>
        </w:rPr>
        <w:t>Zicari</w:t>
      </w:r>
      <w:proofErr w:type="spellEnd"/>
      <w:r w:rsidRPr="00636782">
        <w:rPr>
          <w:rFonts w:ascii="Arial" w:hAnsi="Arial" w:cs="Arial"/>
          <w:sz w:val="23"/>
          <w:szCs w:val="23"/>
        </w:rPr>
        <w:t xml:space="preserve"> (Odcec Agrigento).</w:t>
      </w:r>
    </w:p>
    <w:sectPr w:rsidR="00643E97" w:rsidRPr="0063678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F5E3" w14:textId="77777777" w:rsidR="003749FD" w:rsidRDefault="003749FD" w:rsidP="005E7E9A">
      <w:pPr>
        <w:spacing w:after="0" w:line="240" w:lineRule="auto"/>
      </w:pPr>
      <w:r>
        <w:separator/>
      </w:r>
    </w:p>
  </w:endnote>
  <w:endnote w:type="continuationSeparator" w:id="0">
    <w:p w14:paraId="3ECEF3F0" w14:textId="77777777" w:rsidR="003749FD" w:rsidRDefault="003749FD" w:rsidP="005E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1B6A" w14:textId="77777777" w:rsidR="003749FD" w:rsidRDefault="003749FD" w:rsidP="005E7E9A">
      <w:pPr>
        <w:spacing w:after="0" w:line="240" w:lineRule="auto"/>
      </w:pPr>
      <w:r>
        <w:separator/>
      </w:r>
    </w:p>
  </w:footnote>
  <w:footnote w:type="continuationSeparator" w:id="0">
    <w:p w14:paraId="74977F93" w14:textId="77777777" w:rsidR="003749FD" w:rsidRDefault="003749FD" w:rsidP="005E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E2CC" w14:textId="5A091074" w:rsidR="005E7E9A" w:rsidRDefault="005E7E9A" w:rsidP="005E7E9A">
    <w:pPr>
      <w:pStyle w:val="Intestazione"/>
      <w:jc w:val="center"/>
    </w:pPr>
    <w:r>
      <w:rPr>
        <w:noProof/>
      </w:rPr>
      <w:drawing>
        <wp:inline distT="0" distB="0" distL="0" distR="0" wp14:anchorId="28C918B8" wp14:editId="42297F9B">
          <wp:extent cx="3124200" cy="1061209"/>
          <wp:effectExtent l="0" t="0" r="0" b="5715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411" cy="106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D"/>
    <w:rsid w:val="00056CCF"/>
    <w:rsid w:val="00357D28"/>
    <w:rsid w:val="003749FD"/>
    <w:rsid w:val="003A4CF5"/>
    <w:rsid w:val="004C7C3C"/>
    <w:rsid w:val="004F248D"/>
    <w:rsid w:val="00510C60"/>
    <w:rsid w:val="00590900"/>
    <w:rsid w:val="005E7E9A"/>
    <w:rsid w:val="00636782"/>
    <w:rsid w:val="00643E97"/>
    <w:rsid w:val="006B185D"/>
    <w:rsid w:val="009301DD"/>
    <w:rsid w:val="00A14967"/>
    <w:rsid w:val="00B87EEF"/>
    <w:rsid w:val="00C261A2"/>
    <w:rsid w:val="00C82226"/>
    <w:rsid w:val="00CE7066"/>
    <w:rsid w:val="00D76572"/>
    <w:rsid w:val="00DF614C"/>
    <w:rsid w:val="00ED0DE0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FC6"/>
  <w15:chartTrackingRefBased/>
  <w15:docId w15:val="{2A501EE5-182E-4FFB-819C-221C24D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7D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D2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E7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E9A"/>
  </w:style>
  <w:style w:type="paragraph" w:styleId="Pidipagina">
    <w:name w:val="footer"/>
    <w:basedOn w:val="Normale"/>
    <w:link w:val="PidipaginaCarattere"/>
    <w:uiPriority w:val="99"/>
    <w:unhideWhenUsed/>
    <w:rsid w:val="005E7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iustizia.it/giustizia/it/mg_1_8_1.page?facetNode_1=0_32&amp;contentId=SDC1117237&amp;previsiousPage=mg_1_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-magazine.it/pubblicate-le-linee-guida-per-la-redazione-dei-regolamenti-degli-occ-dei-commercialist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14</cp:revision>
  <dcterms:created xsi:type="dcterms:W3CDTF">2023-05-29T07:14:00Z</dcterms:created>
  <dcterms:modified xsi:type="dcterms:W3CDTF">2023-05-29T11:17:00Z</dcterms:modified>
</cp:coreProperties>
</file>