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C774" w14:textId="77777777" w:rsidR="00CE7066" w:rsidRPr="0055424F" w:rsidRDefault="00CE7066" w:rsidP="00D76572">
      <w:pPr>
        <w:spacing w:after="0" w:line="240" w:lineRule="auto"/>
        <w:jc w:val="center"/>
        <w:rPr>
          <w:rFonts w:ascii="Arial" w:hAnsi="Arial" w:cs="Arial"/>
          <w:sz w:val="23"/>
          <w:szCs w:val="23"/>
          <w:u w:val="single"/>
        </w:rPr>
      </w:pPr>
    </w:p>
    <w:p w14:paraId="0F76069E" w14:textId="77777777" w:rsidR="006B185D" w:rsidRPr="0055424F" w:rsidRDefault="006B185D" w:rsidP="00D76572">
      <w:pPr>
        <w:spacing w:after="0" w:line="240" w:lineRule="auto"/>
        <w:jc w:val="center"/>
        <w:rPr>
          <w:rFonts w:ascii="Arial" w:hAnsi="Arial" w:cs="Arial"/>
          <w:sz w:val="23"/>
          <w:szCs w:val="23"/>
          <w:u w:val="single"/>
        </w:rPr>
      </w:pPr>
    </w:p>
    <w:p w14:paraId="544F2143" w14:textId="579BB0CA" w:rsidR="00D76572" w:rsidRPr="00930846" w:rsidRDefault="00D76572" w:rsidP="00EC7BEB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930846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51CF1498" w14:textId="77777777" w:rsidR="0092300C" w:rsidRPr="000956FB" w:rsidRDefault="0092300C" w:rsidP="00EC7BEB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66B0FE2" w14:textId="4178B29C" w:rsidR="00EC7BEB" w:rsidRPr="000956FB" w:rsidRDefault="00EC7BEB" w:rsidP="00EC7BEB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956FB">
        <w:rPr>
          <w:rFonts w:ascii="Arial" w:hAnsi="Arial" w:cs="Arial"/>
          <w:b/>
          <w:bCs/>
          <w:sz w:val="23"/>
          <w:szCs w:val="23"/>
        </w:rPr>
        <w:t>COMMERCIALISTI, SOLUZIONI IN VISTA PER LA RIFORMA DELLO SPORT</w:t>
      </w:r>
    </w:p>
    <w:p w14:paraId="4871F61E" w14:textId="77777777" w:rsidR="00EC7BEB" w:rsidRPr="000956FB" w:rsidRDefault="00EC7BEB" w:rsidP="00EC7BEB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8D324E6" w14:textId="77777777" w:rsidR="00EC7BEB" w:rsidRPr="000956FB" w:rsidRDefault="00EC7BEB" w:rsidP="00EC7BEB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956FB">
        <w:rPr>
          <w:rFonts w:ascii="Arial" w:hAnsi="Arial" w:cs="Arial"/>
          <w:b/>
          <w:bCs/>
          <w:sz w:val="23"/>
          <w:szCs w:val="23"/>
        </w:rPr>
        <w:t xml:space="preserve">Il vicepresidente de </w:t>
      </w:r>
      <w:proofErr w:type="spellStart"/>
      <w:r w:rsidRPr="000956FB">
        <w:rPr>
          <w:rFonts w:ascii="Arial" w:hAnsi="Arial" w:cs="Arial"/>
          <w:b/>
          <w:bCs/>
          <w:sz w:val="23"/>
          <w:szCs w:val="23"/>
        </w:rPr>
        <w:t>Tavonatti</w:t>
      </w:r>
      <w:proofErr w:type="spellEnd"/>
      <w:r w:rsidRPr="000956FB">
        <w:rPr>
          <w:rFonts w:ascii="Arial" w:hAnsi="Arial" w:cs="Arial"/>
          <w:b/>
          <w:bCs/>
          <w:sz w:val="23"/>
          <w:szCs w:val="23"/>
        </w:rPr>
        <w:t xml:space="preserve"> e il consigliere Moro al convegno “La Riforma dello Sport e del Terzo settore” presso il CONI.</w:t>
      </w:r>
    </w:p>
    <w:p w14:paraId="044D4060" w14:textId="62D88E2C" w:rsidR="00EC7BEB" w:rsidRPr="000956FB" w:rsidRDefault="00EC7BEB" w:rsidP="00EC7BEB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956FB">
        <w:rPr>
          <w:rFonts w:ascii="Arial" w:hAnsi="Arial" w:cs="Arial"/>
          <w:b/>
          <w:bCs/>
          <w:sz w:val="23"/>
          <w:szCs w:val="23"/>
        </w:rPr>
        <w:t xml:space="preserve">Consiglio nazionale, </w:t>
      </w:r>
      <w:proofErr w:type="spellStart"/>
      <w:r w:rsidRPr="000956FB">
        <w:rPr>
          <w:rFonts w:ascii="Arial" w:hAnsi="Arial" w:cs="Arial"/>
          <w:b/>
          <w:bCs/>
          <w:sz w:val="23"/>
          <w:szCs w:val="23"/>
        </w:rPr>
        <w:t>Terzjus</w:t>
      </w:r>
      <w:proofErr w:type="spellEnd"/>
      <w:r w:rsidRPr="000956FB">
        <w:rPr>
          <w:rFonts w:ascii="Arial" w:hAnsi="Arial" w:cs="Arial"/>
          <w:b/>
          <w:bCs/>
          <w:sz w:val="23"/>
          <w:szCs w:val="23"/>
        </w:rPr>
        <w:t xml:space="preserve"> e Notariato hanno preparato un pacchetto di proposte emendative</w:t>
      </w:r>
    </w:p>
    <w:p w14:paraId="22AB4C50" w14:textId="77777777" w:rsidR="00EC7BEB" w:rsidRPr="000956FB" w:rsidRDefault="00EC7BEB" w:rsidP="00EC7BEB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09B5DB3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4E0348BA" w14:textId="0DF15D99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956FB">
        <w:rPr>
          <w:rFonts w:ascii="Arial" w:hAnsi="Arial" w:cs="Arial"/>
          <w:i/>
          <w:iCs/>
          <w:sz w:val="23"/>
          <w:szCs w:val="23"/>
        </w:rPr>
        <w:t>Roma, 29 maggio 2023</w:t>
      </w:r>
      <w:r w:rsidRPr="000956FB">
        <w:rPr>
          <w:rFonts w:ascii="Arial" w:hAnsi="Arial" w:cs="Arial"/>
          <w:sz w:val="23"/>
          <w:szCs w:val="23"/>
        </w:rPr>
        <w:t xml:space="preserve"> – Il Consiglio Nazionale dei Dottori Commercialisti e degli Esperti Contabili è fortemente impegnato a </w:t>
      </w:r>
      <w:r w:rsidRPr="000956FB">
        <w:rPr>
          <w:rFonts w:ascii="Arial" w:hAnsi="Arial" w:cs="Arial"/>
          <w:b/>
          <w:bCs/>
          <w:sz w:val="23"/>
          <w:szCs w:val="23"/>
        </w:rPr>
        <w:t>monitorare i progressi e le evoluzioni della Riforma del Terzo e della Riforma dello Sport</w:t>
      </w:r>
      <w:r w:rsidRPr="000956FB">
        <w:rPr>
          <w:rFonts w:ascii="Arial" w:hAnsi="Arial" w:cs="Arial"/>
          <w:sz w:val="23"/>
          <w:szCs w:val="23"/>
        </w:rPr>
        <w:t xml:space="preserve">, così da ricercare soluzioni tecniche ed operative in grado di </w:t>
      </w:r>
      <w:r w:rsidRPr="000956FB">
        <w:rPr>
          <w:rFonts w:ascii="Arial" w:hAnsi="Arial" w:cs="Arial"/>
          <w:b/>
          <w:bCs/>
          <w:sz w:val="23"/>
          <w:szCs w:val="23"/>
        </w:rPr>
        <w:t>supportare al meglio l’attività degli iscritti</w:t>
      </w:r>
      <w:r w:rsidRPr="000956FB">
        <w:rPr>
          <w:rFonts w:ascii="Arial" w:hAnsi="Arial" w:cs="Arial"/>
          <w:sz w:val="23"/>
          <w:szCs w:val="23"/>
        </w:rPr>
        <w:t xml:space="preserve"> e, contestualmente, degli enti che operano in tali ambiti.</w:t>
      </w:r>
      <w:r w:rsidR="000956FB">
        <w:rPr>
          <w:rFonts w:ascii="Arial" w:hAnsi="Arial" w:cs="Arial"/>
          <w:sz w:val="23"/>
          <w:szCs w:val="23"/>
        </w:rPr>
        <w:t xml:space="preserve"> </w:t>
      </w:r>
      <w:r w:rsidRPr="000956FB">
        <w:rPr>
          <w:rFonts w:ascii="Arial" w:hAnsi="Arial" w:cs="Arial"/>
          <w:sz w:val="23"/>
          <w:szCs w:val="23"/>
        </w:rPr>
        <w:t xml:space="preserve">In questa prospettiva, è intendimento del Consiglio nazionale </w:t>
      </w:r>
      <w:r w:rsidRPr="000956FB">
        <w:rPr>
          <w:rFonts w:ascii="Arial" w:hAnsi="Arial" w:cs="Arial"/>
          <w:b/>
          <w:bCs/>
          <w:sz w:val="23"/>
          <w:szCs w:val="23"/>
        </w:rPr>
        <w:t>co-operare con i soggetti istituzionali, professionali e scientifici</w:t>
      </w:r>
      <w:r w:rsidRPr="000956FB">
        <w:rPr>
          <w:rFonts w:ascii="Arial" w:hAnsi="Arial" w:cs="Arial"/>
          <w:sz w:val="23"/>
          <w:szCs w:val="23"/>
        </w:rPr>
        <w:t xml:space="preserve"> per identificare preliminarmente eventuali criticità e sviluppare percorsi interpretativi generalmente condivisi.</w:t>
      </w:r>
    </w:p>
    <w:p w14:paraId="6F09F8DC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6C9D0256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956FB">
        <w:rPr>
          <w:rFonts w:ascii="Arial" w:hAnsi="Arial" w:cs="Arial"/>
          <w:sz w:val="23"/>
          <w:szCs w:val="23"/>
        </w:rPr>
        <w:t>La partecipazione odierna al convegno “</w:t>
      </w:r>
      <w:r w:rsidRPr="000956FB">
        <w:rPr>
          <w:rFonts w:ascii="Arial" w:hAnsi="Arial" w:cs="Arial"/>
          <w:b/>
          <w:bCs/>
          <w:sz w:val="23"/>
          <w:szCs w:val="23"/>
        </w:rPr>
        <w:t>Riforma dello Sport e del Terzo settore. Novità e criticità alla vigilia dell’entrata in vigore del D.lgs. 36/2021</w:t>
      </w:r>
      <w:r w:rsidRPr="000956FB">
        <w:rPr>
          <w:rFonts w:ascii="Arial" w:hAnsi="Arial" w:cs="Arial"/>
          <w:sz w:val="23"/>
          <w:szCs w:val="23"/>
        </w:rPr>
        <w:t xml:space="preserve">”, organizzato da </w:t>
      </w:r>
      <w:proofErr w:type="spellStart"/>
      <w:r w:rsidRPr="000956FB">
        <w:rPr>
          <w:rFonts w:ascii="Arial" w:hAnsi="Arial" w:cs="Arial"/>
          <w:sz w:val="23"/>
          <w:szCs w:val="23"/>
        </w:rPr>
        <w:t>Terzjus</w:t>
      </w:r>
      <w:proofErr w:type="spellEnd"/>
      <w:r w:rsidRPr="000956FB">
        <w:rPr>
          <w:rFonts w:ascii="Arial" w:hAnsi="Arial" w:cs="Arial"/>
          <w:sz w:val="23"/>
          <w:szCs w:val="23"/>
        </w:rPr>
        <w:t xml:space="preserve"> presso il Salone d’Onore del CONI, in collaborazione con il Consiglio nazionale che ha anche patrocinato l’evento, volge in questa direzione, rappresentando un’occasione ideale per scambiare opinioni e riflettere su una Riforma che, seppur entrata parzialmente in vigore, potrebbe ancora subire dei cambiamenti.</w:t>
      </w:r>
    </w:p>
    <w:p w14:paraId="5E6F852B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7549A0F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956FB">
        <w:rPr>
          <w:rFonts w:ascii="Arial" w:hAnsi="Arial" w:cs="Arial"/>
          <w:sz w:val="23"/>
          <w:szCs w:val="23"/>
        </w:rPr>
        <w:t>La gran parte del decreto legislativo n. 36 del febbraio 2021 entrerà in vigore a partire dal 1° luglio 2023, stante il differimento - rispetto all’antecedente data del 1° gennaio 2023 - disposto dal Decreto Milleproroghe (D.L. n. 198 del 29 dicembre 2022), convertito poi con modifiche dalla Legge n. 14 del 24 febbraio 2023.</w:t>
      </w:r>
    </w:p>
    <w:p w14:paraId="03A730AE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003472C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956FB">
        <w:rPr>
          <w:rFonts w:ascii="Arial" w:hAnsi="Arial" w:cs="Arial"/>
          <w:sz w:val="23"/>
          <w:szCs w:val="23"/>
        </w:rPr>
        <w:t xml:space="preserve">Molte sono le </w:t>
      </w:r>
      <w:r w:rsidRPr="000956FB">
        <w:rPr>
          <w:rFonts w:ascii="Arial" w:hAnsi="Arial" w:cs="Arial"/>
          <w:b/>
          <w:bCs/>
          <w:sz w:val="23"/>
          <w:szCs w:val="23"/>
        </w:rPr>
        <w:t>novità anche per i professionisti</w:t>
      </w:r>
      <w:r w:rsidRPr="000956FB">
        <w:rPr>
          <w:rFonts w:ascii="Arial" w:hAnsi="Arial" w:cs="Arial"/>
          <w:sz w:val="23"/>
          <w:szCs w:val="23"/>
        </w:rPr>
        <w:t>, in particolare con riferimento al mondo del lavoro sportivo. “</w:t>
      </w:r>
      <w:r w:rsidRPr="000956FB">
        <w:rPr>
          <w:rFonts w:ascii="Arial" w:hAnsi="Arial" w:cs="Arial"/>
          <w:caps/>
          <w:sz w:val="23"/>
          <w:szCs w:val="23"/>
        </w:rPr>
        <w:t>è</w:t>
      </w:r>
      <w:r w:rsidRPr="000956FB">
        <w:rPr>
          <w:rFonts w:ascii="Arial" w:hAnsi="Arial" w:cs="Arial"/>
          <w:sz w:val="23"/>
          <w:szCs w:val="23"/>
        </w:rPr>
        <w:t xml:space="preserve"> di tutto interesse per il Consiglio nazionale – ha affermato il suo vicepresidente </w:t>
      </w:r>
      <w:r w:rsidRPr="000956FB">
        <w:rPr>
          <w:rFonts w:ascii="Arial" w:hAnsi="Arial" w:cs="Arial"/>
          <w:b/>
          <w:bCs/>
          <w:sz w:val="23"/>
          <w:szCs w:val="23"/>
        </w:rPr>
        <w:t xml:space="preserve">Michele de </w:t>
      </w:r>
      <w:proofErr w:type="spellStart"/>
      <w:r w:rsidRPr="000956FB">
        <w:rPr>
          <w:rFonts w:ascii="Arial" w:hAnsi="Arial" w:cs="Arial"/>
          <w:b/>
          <w:bCs/>
          <w:sz w:val="23"/>
          <w:szCs w:val="23"/>
        </w:rPr>
        <w:t>Tavonatti</w:t>
      </w:r>
      <w:proofErr w:type="spellEnd"/>
      <w:r w:rsidRPr="000956FB">
        <w:rPr>
          <w:rFonts w:ascii="Arial" w:hAnsi="Arial" w:cs="Arial"/>
          <w:sz w:val="23"/>
          <w:szCs w:val="23"/>
        </w:rPr>
        <w:t xml:space="preserve"> – proporre alcuni accorgimenti all’attuale disposto normativo, sfruttando anche l’emanazione del prossimo decreto correttivo annunciato nel corso di questo convegno con il fine di </w:t>
      </w:r>
      <w:r w:rsidRPr="000956FB">
        <w:rPr>
          <w:rFonts w:ascii="Arial" w:hAnsi="Arial" w:cs="Arial"/>
          <w:b/>
          <w:bCs/>
          <w:sz w:val="23"/>
          <w:szCs w:val="23"/>
        </w:rPr>
        <w:t>correggere quelle previsioni che potrebbero risultare di difficile applicazione per gli enti sportivi dilettantistici</w:t>
      </w:r>
      <w:r w:rsidRPr="000956FB">
        <w:rPr>
          <w:rFonts w:ascii="Arial" w:hAnsi="Arial" w:cs="Arial"/>
          <w:sz w:val="23"/>
          <w:szCs w:val="23"/>
        </w:rPr>
        <w:t xml:space="preserve">. Con questo fine, insieme a </w:t>
      </w:r>
      <w:proofErr w:type="spellStart"/>
      <w:r w:rsidRPr="000956FB">
        <w:rPr>
          <w:rFonts w:ascii="Arial" w:hAnsi="Arial" w:cs="Arial"/>
          <w:sz w:val="23"/>
          <w:szCs w:val="23"/>
        </w:rPr>
        <w:t>Terzjus</w:t>
      </w:r>
      <w:proofErr w:type="spellEnd"/>
      <w:r w:rsidRPr="000956FB">
        <w:rPr>
          <w:rFonts w:ascii="Arial" w:hAnsi="Arial" w:cs="Arial"/>
          <w:sz w:val="23"/>
          <w:szCs w:val="23"/>
        </w:rPr>
        <w:t xml:space="preserve"> e al Consiglio nazionale del Notariato, abbiamo preparato </w:t>
      </w:r>
      <w:r w:rsidRPr="000956FB">
        <w:rPr>
          <w:rFonts w:ascii="Arial" w:hAnsi="Arial" w:cs="Arial"/>
          <w:b/>
          <w:bCs/>
          <w:sz w:val="23"/>
          <w:szCs w:val="23"/>
        </w:rPr>
        <w:t>un pacchetto di proposte emendative</w:t>
      </w:r>
      <w:r w:rsidRPr="000956FB">
        <w:rPr>
          <w:rFonts w:ascii="Arial" w:hAnsi="Arial" w:cs="Arial"/>
          <w:sz w:val="23"/>
          <w:szCs w:val="23"/>
        </w:rPr>
        <w:t>, affinché il legislatore possa prendere atto dei miglioramenti che potrebbero realizzarsi con un limitato intervento normativo”.</w:t>
      </w:r>
    </w:p>
    <w:p w14:paraId="58CE3328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98D6D01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956FB">
        <w:rPr>
          <w:rFonts w:ascii="Arial" w:hAnsi="Arial" w:cs="Arial"/>
          <w:sz w:val="23"/>
          <w:szCs w:val="23"/>
        </w:rPr>
        <w:t xml:space="preserve">Il convegno ha rappresentato anche l’occasione per esaminare altri temi rilevanti per la Riforma. Nei mesi scorsi, il viceministro dell’Economia Maurizio Leo ha avviato con il Consiglio nazionale, sempre unitamente a </w:t>
      </w:r>
      <w:proofErr w:type="spellStart"/>
      <w:r w:rsidRPr="000956FB">
        <w:rPr>
          <w:rFonts w:ascii="Arial" w:hAnsi="Arial" w:cs="Arial"/>
          <w:sz w:val="23"/>
          <w:szCs w:val="23"/>
        </w:rPr>
        <w:t>Terzjus</w:t>
      </w:r>
      <w:proofErr w:type="spellEnd"/>
      <w:r w:rsidRPr="000956FB">
        <w:rPr>
          <w:rFonts w:ascii="Arial" w:hAnsi="Arial" w:cs="Arial"/>
          <w:sz w:val="23"/>
          <w:szCs w:val="23"/>
        </w:rPr>
        <w:t xml:space="preserve"> e al Consiglio Nazionale del Notariato, l’istituzione di un </w:t>
      </w:r>
      <w:r w:rsidRPr="000956FB">
        <w:rPr>
          <w:rFonts w:ascii="Arial" w:hAnsi="Arial" w:cs="Arial"/>
          <w:b/>
          <w:bCs/>
          <w:sz w:val="23"/>
          <w:szCs w:val="23"/>
        </w:rPr>
        <w:t>Tavolo tecnico di lavoro sulla riforma fiscale degli enti del Terzo settore e dilettantistici</w:t>
      </w:r>
      <w:r w:rsidRPr="000956FB">
        <w:rPr>
          <w:rFonts w:ascii="Arial" w:hAnsi="Arial" w:cs="Arial"/>
          <w:sz w:val="23"/>
          <w:szCs w:val="23"/>
        </w:rPr>
        <w:t xml:space="preserve"> per risolvere talune problematiche di natura fiscale e coordinare, come indicato dalla legge delega della Riforma fiscale, la disciplina della Riforma dello Sport con le altre norme dell’ordinamento tributario.</w:t>
      </w:r>
    </w:p>
    <w:p w14:paraId="419BB9A5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E2DD991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956FB">
        <w:rPr>
          <w:rFonts w:ascii="Arial" w:hAnsi="Arial" w:cs="Arial"/>
          <w:sz w:val="23"/>
          <w:szCs w:val="23"/>
        </w:rPr>
        <w:lastRenderedPageBreak/>
        <w:t xml:space="preserve">Per i commercialisti è stato designato come componente del Tavolo </w:t>
      </w:r>
      <w:r w:rsidRPr="000956FB">
        <w:rPr>
          <w:rFonts w:ascii="Arial" w:hAnsi="Arial" w:cs="Arial"/>
          <w:b/>
          <w:bCs/>
          <w:sz w:val="23"/>
          <w:szCs w:val="23"/>
        </w:rPr>
        <w:t>David Moro</w:t>
      </w:r>
      <w:r w:rsidRPr="000956FB">
        <w:rPr>
          <w:rFonts w:ascii="Arial" w:hAnsi="Arial" w:cs="Arial"/>
          <w:sz w:val="23"/>
          <w:szCs w:val="23"/>
        </w:rPr>
        <w:t>, consigliere nazionale dei commercialisti co-delegato al Terzo settore e presente al convegno odierno, per il quale “</w:t>
      </w:r>
      <w:r w:rsidRPr="000956FB">
        <w:rPr>
          <w:rFonts w:ascii="Arial" w:hAnsi="Arial" w:cs="Arial"/>
          <w:b/>
          <w:bCs/>
          <w:sz w:val="23"/>
          <w:szCs w:val="23"/>
        </w:rPr>
        <w:t>la gestione degli enti sportivi dilettantistici deve essere quanto possibile semplificata</w:t>
      </w:r>
      <w:r w:rsidRPr="000956FB">
        <w:rPr>
          <w:rFonts w:ascii="Arial" w:hAnsi="Arial" w:cs="Arial"/>
          <w:sz w:val="23"/>
          <w:szCs w:val="23"/>
        </w:rPr>
        <w:t xml:space="preserve"> anche alla luce del fatto che molto spesso le organizzazioni basano la loro esistenza sulla presenza e sull’attività di volontari. Occorre, peraltro, monitorare il funzionamento e il coordinamento delle disposizioni contenute nella Riforma con le altre norme vigenti, onde evitare un corto circuito che complicherebbe l’attività svolta da un comparto che è fondamentale per il benessere sociale dei nostri ragazzi”.</w:t>
      </w:r>
    </w:p>
    <w:p w14:paraId="1000555D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7D78169" w14:textId="77777777" w:rsidR="00EC7BEB" w:rsidRPr="000956FB" w:rsidRDefault="00EC7BEB" w:rsidP="00EC7BE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956FB">
        <w:rPr>
          <w:rFonts w:ascii="Arial" w:hAnsi="Arial" w:cs="Arial"/>
          <w:sz w:val="23"/>
          <w:szCs w:val="23"/>
        </w:rPr>
        <w:t>Il convegno si è soffermato anche sull’</w:t>
      </w:r>
      <w:r w:rsidRPr="000956FB">
        <w:rPr>
          <w:rFonts w:ascii="Arial" w:hAnsi="Arial" w:cs="Arial"/>
          <w:b/>
          <w:bCs/>
          <w:sz w:val="23"/>
          <w:szCs w:val="23"/>
        </w:rPr>
        <w:t>interazione tra Riforma dello Sport e Riforma del Terzo settore</w:t>
      </w:r>
      <w:r w:rsidRPr="000956FB">
        <w:rPr>
          <w:rFonts w:ascii="Arial" w:hAnsi="Arial" w:cs="Arial"/>
          <w:sz w:val="23"/>
          <w:szCs w:val="23"/>
        </w:rPr>
        <w:t>, evidenziando punti di contatto e di distinzione. Sicuramente un’analisi propedeutica che anche i commercialisti coinvolti a vario livello nella gestione degli enti sportivi dilettantistici devono svolgere per poter consentire agli enti sportivi una serena e funzionale attività gestionale.</w:t>
      </w:r>
    </w:p>
    <w:p w14:paraId="218C94EE" w14:textId="77777777" w:rsidR="00EC7BEB" w:rsidRPr="000956FB" w:rsidRDefault="00EC7BEB" w:rsidP="00EC7BEB">
      <w:pPr>
        <w:spacing w:after="0" w:line="240" w:lineRule="auto"/>
        <w:rPr>
          <w:sz w:val="23"/>
          <w:szCs w:val="23"/>
        </w:rPr>
      </w:pPr>
    </w:p>
    <w:p w14:paraId="293A24A3" w14:textId="77777777" w:rsidR="00EC7BEB" w:rsidRPr="00EC7BEB" w:rsidRDefault="00EC7BEB" w:rsidP="00EC7BEB">
      <w:pPr>
        <w:spacing w:after="0" w:line="240" w:lineRule="auto"/>
      </w:pPr>
    </w:p>
    <w:p w14:paraId="094D4DD9" w14:textId="77777777" w:rsidR="0055424F" w:rsidRPr="00EC7BEB" w:rsidRDefault="0055424F" w:rsidP="00EC7BEB">
      <w:pPr>
        <w:spacing w:after="0" w:line="240" w:lineRule="auto"/>
        <w:jc w:val="both"/>
        <w:rPr>
          <w:rFonts w:ascii="Arial" w:hAnsi="Arial" w:cs="Arial"/>
        </w:rPr>
      </w:pPr>
    </w:p>
    <w:p w14:paraId="0343B6AB" w14:textId="77777777" w:rsidR="0055424F" w:rsidRPr="00EC7BEB" w:rsidRDefault="0055424F" w:rsidP="00EC7BEB">
      <w:pPr>
        <w:spacing w:after="0" w:line="240" w:lineRule="auto"/>
        <w:jc w:val="both"/>
        <w:rPr>
          <w:rFonts w:ascii="Arial" w:hAnsi="Arial" w:cs="Arial"/>
        </w:rPr>
      </w:pPr>
    </w:p>
    <w:p w14:paraId="65E4CACC" w14:textId="77777777" w:rsidR="0055424F" w:rsidRPr="00EC7BEB" w:rsidRDefault="0055424F" w:rsidP="00EC7BEB">
      <w:pPr>
        <w:spacing w:after="0" w:line="240" w:lineRule="auto"/>
        <w:jc w:val="both"/>
        <w:rPr>
          <w:rFonts w:ascii="Arial" w:hAnsi="Arial" w:cs="Arial"/>
        </w:rPr>
      </w:pPr>
    </w:p>
    <w:p w14:paraId="1737C08F" w14:textId="77777777" w:rsidR="0055424F" w:rsidRPr="00EC7BEB" w:rsidRDefault="0055424F" w:rsidP="00EC7BEB">
      <w:pPr>
        <w:spacing w:after="0" w:line="240" w:lineRule="auto"/>
        <w:jc w:val="both"/>
        <w:rPr>
          <w:rFonts w:ascii="Arial" w:hAnsi="Arial" w:cs="Arial"/>
        </w:rPr>
      </w:pPr>
    </w:p>
    <w:p w14:paraId="2E169FEE" w14:textId="77777777" w:rsidR="0055424F" w:rsidRPr="00EC7BEB" w:rsidRDefault="0055424F" w:rsidP="00EC7BEB">
      <w:pPr>
        <w:spacing w:after="0" w:line="240" w:lineRule="auto"/>
        <w:jc w:val="both"/>
        <w:rPr>
          <w:rFonts w:ascii="Arial" w:hAnsi="Arial" w:cs="Arial"/>
        </w:rPr>
      </w:pPr>
    </w:p>
    <w:sectPr w:rsidR="0055424F" w:rsidRPr="00EC7BE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F552" w14:textId="77777777" w:rsidR="00EB5C28" w:rsidRDefault="00EB5C28" w:rsidP="005E7E9A">
      <w:pPr>
        <w:spacing w:after="0" w:line="240" w:lineRule="auto"/>
      </w:pPr>
      <w:r>
        <w:separator/>
      </w:r>
    </w:p>
  </w:endnote>
  <w:endnote w:type="continuationSeparator" w:id="0">
    <w:p w14:paraId="781FA3A7" w14:textId="77777777" w:rsidR="00EB5C28" w:rsidRDefault="00EB5C28" w:rsidP="005E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CABB" w14:textId="77777777" w:rsidR="00EB5C28" w:rsidRDefault="00EB5C28" w:rsidP="005E7E9A">
      <w:pPr>
        <w:spacing w:after="0" w:line="240" w:lineRule="auto"/>
      </w:pPr>
      <w:r>
        <w:separator/>
      </w:r>
    </w:p>
  </w:footnote>
  <w:footnote w:type="continuationSeparator" w:id="0">
    <w:p w14:paraId="3178C5A7" w14:textId="77777777" w:rsidR="00EB5C28" w:rsidRDefault="00EB5C28" w:rsidP="005E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E2CC" w14:textId="5A091074" w:rsidR="005E7E9A" w:rsidRDefault="005E7E9A" w:rsidP="005E7E9A">
    <w:pPr>
      <w:pStyle w:val="Intestazione"/>
      <w:jc w:val="center"/>
    </w:pPr>
    <w:r>
      <w:rPr>
        <w:noProof/>
      </w:rPr>
      <w:drawing>
        <wp:inline distT="0" distB="0" distL="0" distR="0" wp14:anchorId="28C918B8" wp14:editId="42297F9B">
          <wp:extent cx="3124200" cy="1061209"/>
          <wp:effectExtent l="0" t="0" r="0" b="5715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9411" cy="1062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DD"/>
    <w:rsid w:val="00056CCF"/>
    <w:rsid w:val="00071B76"/>
    <w:rsid w:val="000956FB"/>
    <w:rsid w:val="001848E2"/>
    <w:rsid w:val="00357D28"/>
    <w:rsid w:val="003A4CF5"/>
    <w:rsid w:val="004C7C3C"/>
    <w:rsid w:val="004F248D"/>
    <w:rsid w:val="00510C60"/>
    <w:rsid w:val="00550469"/>
    <w:rsid w:val="0055424F"/>
    <w:rsid w:val="00590900"/>
    <w:rsid w:val="005E7E9A"/>
    <w:rsid w:val="00643E97"/>
    <w:rsid w:val="006B185D"/>
    <w:rsid w:val="0092300C"/>
    <w:rsid w:val="009301DD"/>
    <w:rsid w:val="00930846"/>
    <w:rsid w:val="00933FD0"/>
    <w:rsid w:val="00982C52"/>
    <w:rsid w:val="00A14967"/>
    <w:rsid w:val="00B03584"/>
    <w:rsid w:val="00B87EEF"/>
    <w:rsid w:val="00C261A2"/>
    <w:rsid w:val="00C82226"/>
    <w:rsid w:val="00CE7066"/>
    <w:rsid w:val="00D55EBE"/>
    <w:rsid w:val="00D76572"/>
    <w:rsid w:val="00DD2395"/>
    <w:rsid w:val="00DF614C"/>
    <w:rsid w:val="00EB5C28"/>
    <w:rsid w:val="00EC7BEB"/>
    <w:rsid w:val="00EF324A"/>
    <w:rsid w:val="00F25B6C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FC6"/>
  <w15:chartTrackingRefBased/>
  <w15:docId w15:val="{2A501EE5-182E-4FFB-819C-221C24D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7D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D2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E7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E9A"/>
  </w:style>
  <w:style w:type="paragraph" w:styleId="Pidipagina">
    <w:name w:val="footer"/>
    <w:basedOn w:val="Normale"/>
    <w:link w:val="PidipaginaCarattere"/>
    <w:uiPriority w:val="99"/>
    <w:unhideWhenUsed/>
    <w:rsid w:val="005E7E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10</cp:revision>
  <dcterms:created xsi:type="dcterms:W3CDTF">2023-05-29T10:26:00Z</dcterms:created>
  <dcterms:modified xsi:type="dcterms:W3CDTF">2023-05-29T14:23:00Z</dcterms:modified>
</cp:coreProperties>
</file>