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45ED" w14:textId="4DC000D4" w:rsidR="00D80C01" w:rsidRDefault="00D80C01" w:rsidP="00D80C01">
      <w:pPr>
        <w:spacing w:after="0" w:line="240" w:lineRule="auto"/>
        <w:jc w:val="center"/>
        <w:rPr>
          <w:rFonts w:ascii="Arial" w:hAnsi="Arial" w:cs="Arial"/>
          <w:b/>
          <w:bCs/>
          <w:sz w:val="23"/>
          <w:szCs w:val="23"/>
        </w:rPr>
      </w:pPr>
    </w:p>
    <w:p w14:paraId="59EC9FE7" w14:textId="77777777" w:rsidR="000F4850" w:rsidRPr="00845AE4" w:rsidRDefault="000F4850" w:rsidP="00845AE4">
      <w:pPr>
        <w:spacing w:after="0" w:line="240" w:lineRule="auto"/>
        <w:jc w:val="center"/>
        <w:rPr>
          <w:rFonts w:ascii="Arial" w:hAnsi="Arial" w:cs="Arial"/>
          <w:b/>
          <w:bCs/>
        </w:rPr>
      </w:pPr>
    </w:p>
    <w:p w14:paraId="7DEDC702" w14:textId="04679437" w:rsidR="00D80C01" w:rsidRPr="00845AE4" w:rsidRDefault="00D80C01" w:rsidP="00845AE4">
      <w:pPr>
        <w:spacing w:after="0" w:line="240" w:lineRule="auto"/>
        <w:jc w:val="center"/>
        <w:rPr>
          <w:rFonts w:ascii="Arial" w:hAnsi="Arial" w:cs="Arial"/>
          <w:b/>
          <w:bCs/>
          <w:u w:val="single"/>
        </w:rPr>
      </w:pPr>
      <w:r w:rsidRPr="00845AE4">
        <w:rPr>
          <w:rFonts w:ascii="Arial" w:hAnsi="Arial" w:cs="Arial"/>
          <w:b/>
          <w:bCs/>
          <w:u w:val="single"/>
        </w:rPr>
        <w:t>Comunicato stampa</w:t>
      </w:r>
    </w:p>
    <w:p w14:paraId="49295217" w14:textId="77777777" w:rsidR="001E2C28" w:rsidRPr="00845AE4" w:rsidRDefault="001E2C28" w:rsidP="00845AE4">
      <w:pPr>
        <w:spacing w:after="0" w:line="240" w:lineRule="auto"/>
        <w:jc w:val="center"/>
        <w:rPr>
          <w:rFonts w:ascii="Arial" w:hAnsi="Arial" w:cs="Arial"/>
          <w:b/>
          <w:bCs/>
        </w:rPr>
      </w:pPr>
    </w:p>
    <w:p w14:paraId="784DD2EF" w14:textId="1E510D72" w:rsidR="00F727E3" w:rsidRPr="00845AE4" w:rsidRDefault="006F6E85" w:rsidP="00845AE4">
      <w:pPr>
        <w:spacing w:after="0" w:line="240" w:lineRule="auto"/>
        <w:jc w:val="center"/>
        <w:rPr>
          <w:rFonts w:ascii="Arial" w:hAnsi="Arial" w:cs="Arial"/>
          <w:b/>
          <w:bCs/>
          <w:color w:val="000000"/>
        </w:rPr>
      </w:pPr>
      <w:r w:rsidRPr="00845AE4">
        <w:rPr>
          <w:rFonts w:ascii="Arial" w:hAnsi="Arial" w:cs="Arial"/>
          <w:b/>
          <w:bCs/>
          <w:color w:val="000000"/>
        </w:rPr>
        <w:t>COLLEGIO SINDACALE, DAL CONSIGLIO NAZIONALE I NUOVO MODELLI DI RELAZIONE SUI BILANCI 2022</w:t>
      </w:r>
    </w:p>
    <w:p w14:paraId="267DA1BC" w14:textId="77777777" w:rsidR="006F6E85" w:rsidRPr="00845AE4" w:rsidRDefault="006F6E85" w:rsidP="00845AE4">
      <w:pPr>
        <w:spacing w:after="0" w:line="240" w:lineRule="auto"/>
        <w:jc w:val="center"/>
        <w:rPr>
          <w:rFonts w:ascii="Arial" w:hAnsi="Arial" w:cs="Arial"/>
          <w:b/>
          <w:bCs/>
        </w:rPr>
      </w:pPr>
    </w:p>
    <w:p w14:paraId="76F6B5E0" w14:textId="4B657190" w:rsidR="00845AE4" w:rsidRDefault="006F6E85" w:rsidP="00845AE4">
      <w:pPr>
        <w:shd w:val="clear" w:color="auto" w:fill="FFFFFF"/>
        <w:spacing w:after="0" w:line="240" w:lineRule="auto"/>
        <w:jc w:val="center"/>
        <w:rPr>
          <w:rFonts w:ascii="Arial" w:hAnsi="Arial" w:cs="Arial"/>
          <w:b/>
          <w:bCs/>
          <w:color w:val="000000"/>
        </w:rPr>
      </w:pPr>
      <w:r w:rsidRPr="00845AE4">
        <w:rPr>
          <w:rFonts w:ascii="Arial" w:hAnsi="Arial" w:cs="Arial"/>
          <w:b/>
          <w:bCs/>
          <w:color w:val="000000"/>
        </w:rPr>
        <w:t>Pubblicata anche la versione aggiornata del verbale di presa d’atto della proposta di applicazione della disciplina temporanea di cui all’art. 6 D.L. n. 23/2020 in caso di riduzione del capitale in conseguenza di perdite ai sensi degli artt. 2446, 2447, 2482-bis e 2482-ter, c.c. e osservazioni del collegio sindacale</w:t>
      </w:r>
    </w:p>
    <w:p w14:paraId="7A4D907E" w14:textId="77777777" w:rsidR="00845AE4" w:rsidRPr="00845AE4" w:rsidRDefault="00845AE4" w:rsidP="00845AE4">
      <w:pPr>
        <w:shd w:val="clear" w:color="auto" w:fill="FFFFFF"/>
        <w:spacing w:after="0" w:line="240" w:lineRule="auto"/>
        <w:jc w:val="center"/>
        <w:rPr>
          <w:rFonts w:ascii="Times New Roman" w:hAnsi="Times New Roman" w:cs="Times New Roman"/>
          <w:color w:val="000000"/>
        </w:rPr>
      </w:pPr>
    </w:p>
    <w:p w14:paraId="2173304F" w14:textId="232D921C" w:rsidR="008147E4" w:rsidRPr="00845AE4" w:rsidRDefault="00D80C01" w:rsidP="00845AE4">
      <w:pPr>
        <w:shd w:val="clear" w:color="auto" w:fill="FFFFFF"/>
        <w:spacing w:after="0" w:line="240" w:lineRule="auto"/>
        <w:jc w:val="both"/>
        <w:rPr>
          <w:rFonts w:ascii="Times New Roman" w:hAnsi="Times New Roman" w:cs="Times New Roman"/>
          <w:color w:val="000000"/>
        </w:rPr>
      </w:pPr>
      <w:r w:rsidRPr="00845AE4">
        <w:rPr>
          <w:rFonts w:ascii="Arial" w:hAnsi="Arial" w:cs="Arial"/>
          <w:i/>
          <w:iCs/>
        </w:rPr>
        <w:t>Roma, 29 marzo 2023</w:t>
      </w:r>
      <w:r w:rsidRPr="00845AE4">
        <w:rPr>
          <w:rFonts w:ascii="Arial" w:hAnsi="Arial" w:cs="Arial"/>
        </w:rPr>
        <w:t xml:space="preserve"> – </w:t>
      </w:r>
      <w:r w:rsidR="008147E4" w:rsidRPr="00845AE4">
        <w:rPr>
          <w:rFonts w:ascii="Arial" w:hAnsi="Arial" w:cs="Arial"/>
          <w:color w:val="000000"/>
        </w:rPr>
        <w:t>Il Consiglio nazionale dei commercialisti ha pubblicato le versioni aggiornate dei documenti sulla “</w:t>
      </w:r>
      <w:hyperlink r:id="rId6" w:history="1">
        <w:r w:rsidR="008147E4" w:rsidRPr="00845AE4">
          <w:rPr>
            <w:rStyle w:val="Collegamentoipertestuale"/>
            <w:rFonts w:ascii="Arial" w:hAnsi="Arial" w:cs="Arial"/>
            <w:b/>
            <w:bCs/>
          </w:rPr>
          <w:t>Relazione unitaria di controllo societario del collegio sindacale incaricato della revisione legale dei conti</w:t>
        </w:r>
      </w:hyperlink>
      <w:r w:rsidR="008147E4" w:rsidRPr="00845AE4">
        <w:rPr>
          <w:rFonts w:ascii="Arial" w:hAnsi="Arial" w:cs="Arial"/>
          <w:color w:val="000000"/>
        </w:rPr>
        <w:t>” e sulla “</w:t>
      </w:r>
      <w:hyperlink r:id="rId7" w:history="1">
        <w:r w:rsidR="008147E4" w:rsidRPr="00845AE4">
          <w:rPr>
            <w:rStyle w:val="Collegamentoipertestuale"/>
            <w:rFonts w:ascii="Arial" w:hAnsi="Arial" w:cs="Arial"/>
            <w:b/>
            <w:bCs/>
          </w:rPr>
          <w:t>Relazione del collegio sindacale all’assemblea dei soci in occasione dell’approvazione del bilancio di esercizio chiuso al 31 dicembre 2022</w:t>
        </w:r>
      </w:hyperlink>
      <w:r w:rsidR="008147E4" w:rsidRPr="00845AE4">
        <w:rPr>
          <w:rFonts w:ascii="Arial" w:hAnsi="Arial" w:cs="Arial"/>
          <w:color w:val="000000"/>
        </w:rPr>
        <w:t xml:space="preserve">”. Entrambi i lavori rientrano nell’attività dell’area di delega dei Consiglieri nazionali </w:t>
      </w:r>
      <w:r w:rsidR="008147E4" w:rsidRPr="00845AE4">
        <w:rPr>
          <w:rFonts w:ascii="Arial" w:hAnsi="Arial" w:cs="Arial"/>
          <w:b/>
          <w:bCs/>
          <w:color w:val="000000"/>
        </w:rPr>
        <w:t>Gianluca Ancarani</w:t>
      </w:r>
      <w:r w:rsidR="008147E4" w:rsidRPr="00845AE4">
        <w:rPr>
          <w:rFonts w:ascii="Arial" w:hAnsi="Arial" w:cs="Arial"/>
          <w:color w:val="000000"/>
        </w:rPr>
        <w:t xml:space="preserve"> e </w:t>
      </w:r>
      <w:r w:rsidR="008147E4" w:rsidRPr="00845AE4">
        <w:rPr>
          <w:rFonts w:ascii="Arial" w:hAnsi="Arial" w:cs="Arial"/>
          <w:b/>
          <w:bCs/>
          <w:color w:val="000000"/>
        </w:rPr>
        <w:t>Maurizio Masini. </w:t>
      </w:r>
    </w:p>
    <w:p w14:paraId="604E6C43" w14:textId="77777777" w:rsidR="008147E4" w:rsidRPr="00845AE4" w:rsidRDefault="008147E4" w:rsidP="00845AE4">
      <w:pPr>
        <w:pStyle w:val="NormaleWeb"/>
        <w:shd w:val="clear" w:color="auto" w:fill="FFFFFF"/>
        <w:jc w:val="both"/>
        <w:rPr>
          <w:rFonts w:ascii="Arial" w:hAnsi="Arial" w:cs="Arial"/>
          <w:color w:val="000000"/>
        </w:rPr>
      </w:pPr>
      <w:r w:rsidRPr="00845AE4">
        <w:rPr>
          <w:rFonts w:ascii="Arial" w:hAnsi="Arial" w:cs="Arial"/>
          <w:color w:val="000000"/>
        </w:rPr>
        <w:t xml:space="preserve">Il documento sulla </w:t>
      </w:r>
      <w:r w:rsidRPr="00845AE4">
        <w:rPr>
          <w:rFonts w:ascii="Arial" w:hAnsi="Arial" w:cs="Arial"/>
          <w:b/>
          <w:bCs/>
          <w:color w:val="000000"/>
        </w:rPr>
        <w:t>relazione unitaria</w:t>
      </w:r>
      <w:r w:rsidRPr="00845AE4">
        <w:rPr>
          <w:rFonts w:ascii="Arial" w:hAnsi="Arial" w:cs="Arial"/>
          <w:color w:val="000000"/>
        </w:rPr>
        <w:t xml:space="preserve"> - a cura della Commissione del Consiglio nazionale “</w:t>
      </w:r>
      <w:r w:rsidRPr="00845AE4">
        <w:rPr>
          <w:rFonts w:ascii="Arial" w:hAnsi="Arial" w:cs="Arial"/>
          <w:b/>
          <w:bCs/>
          <w:color w:val="000000"/>
        </w:rPr>
        <w:t>Sfida Qualità</w:t>
      </w:r>
      <w:r w:rsidRPr="00845AE4">
        <w:rPr>
          <w:rFonts w:ascii="Arial" w:hAnsi="Arial" w:cs="Arial"/>
          <w:color w:val="000000"/>
        </w:rPr>
        <w:t xml:space="preserve">”, presieduta da </w:t>
      </w:r>
      <w:r w:rsidRPr="00845AE4">
        <w:rPr>
          <w:rFonts w:ascii="Arial" w:hAnsi="Arial" w:cs="Arial"/>
          <w:b/>
          <w:bCs/>
          <w:color w:val="000000"/>
        </w:rPr>
        <w:t>Ermando Bozza</w:t>
      </w:r>
      <w:r w:rsidRPr="00845AE4">
        <w:rPr>
          <w:rFonts w:ascii="Arial" w:hAnsi="Arial" w:cs="Arial"/>
          <w:color w:val="000000"/>
        </w:rPr>
        <w:t xml:space="preserve"> -, giunto all’ottava edizione, nell’ottica di fornire uno </w:t>
      </w:r>
      <w:r w:rsidRPr="00845AE4">
        <w:rPr>
          <w:rFonts w:ascii="Arial" w:hAnsi="Arial" w:cs="Arial"/>
          <w:b/>
          <w:bCs/>
          <w:color w:val="000000"/>
        </w:rPr>
        <w:t>strumento tecnico e operativo</w:t>
      </w:r>
      <w:r w:rsidRPr="00845AE4">
        <w:rPr>
          <w:rFonts w:ascii="Arial" w:hAnsi="Arial" w:cs="Arial"/>
          <w:color w:val="000000"/>
        </w:rPr>
        <w:t xml:space="preserve"> ai sindaci-revisori, propone una disamina delle </w:t>
      </w:r>
      <w:r w:rsidRPr="00845AE4">
        <w:rPr>
          <w:rFonts w:ascii="Arial" w:hAnsi="Arial" w:cs="Arial"/>
          <w:b/>
          <w:bCs/>
          <w:color w:val="000000"/>
        </w:rPr>
        <w:t>principali novità</w:t>
      </w:r>
      <w:r w:rsidRPr="00845AE4">
        <w:rPr>
          <w:rFonts w:ascii="Arial" w:hAnsi="Arial" w:cs="Arial"/>
          <w:color w:val="000000"/>
        </w:rPr>
        <w:t xml:space="preserve"> caratterizzanti il </w:t>
      </w:r>
      <w:r w:rsidRPr="00845AE4">
        <w:rPr>
          <w:rFonts w:ascii="Arial" w:hAnsi="Arial" w:cs="Arial"/>
          <w:b/>
          <w:bCs/>
          <w:color w:val="000000"/>
        </w:rPr>
        <w:t>bilancio d’esercizio 2022</w:t>
      </w:r>
      <w:r w:rsidRPr="00845AE4">
        <w:rPr>
          <w:rFonts w:ascii="Arial" w:hAnsi="Arial" w:cs="Arial"/>
          <w:color w:val="000000"/>
        </w:rPr>
        <w:t xml:space="preserve"> e dei conseguenti riflessi sulla relazione unitaria dei sindaci-revisori. Le casistiche che si possono presentare sono molteplici e non standardizzabili, per cui il documento si prefigge di fornire utili indicazioni nella delicata fase di </w:t>
      </w:r>
      <w:r w:rsidRPr="00845AE4">
        <w:rPr>
          <w:rFonts w:ascii="Arial" w:hAnsi="Arial" w:cs="Arial"/>
          <w:b/>
          <w:bCs/>
          <w:color w:val="000000"/>
        </w:rPr>
        <w:t>reporting ai soci</w:t>
      </w:r>
      <w:r w:rsidRPr="00845AE4">
        <w:rPr>
          <w:rFonts w:ascii="Arial" w:hAnsi="Arial" w:cs="Arial"/>
          <w:color w:val="000000"/>
        </w:rPr>
        <w:t>, senza avere pretesa di esaustività. La relazione unitaria dei sindaci-revisori è, infatti, la sintesi finale dell’</w:t>
      </w:r>
      <w:r w:rsidRPr="00845AE4">
        <w:rPr>
          <w:rFonts w:ascii="Arial" w:hAnsi="Arial" w:cs="Arial"/>
          <w:b/>
          <w:bCs/>
          <w:color w:val="000000"/>
        </w:rPr>
        <w:t xml:space="preserve">attività di vigilanza </w:t>
      </w:r>
      <w:r w:rsidRPr="00845AE4">
        <w:rPr>
          <w:rFonts w:ascii="Arial" w:hAnsi="Arial" w:cs="Arial"/>
          <w:color w:val="000000"/>
        </w:rPr>
        <w:t xml:space="preserve">svolta nel corso dell’esercizio sociale e delle procedure di revisione svolte in risposta ai </w:t>
      </w:r>
      <w:r w:rsidRPr="00845AE4">
        <w:rPr>
          <w:rFonts w:ascii="Arial" w:hAnsi="Arial" w:cs="Arial"/>
          <w:b/>
          <w:bCs/>
          <w:color w:val="000000"/>
        </w:rPr>
        <w:t>rischi di errori significati identificati e valutati</w:t>
      </w:r>
      <w:r w:rsidRPr="00845AE4">
        <w:rPr>
          <w:rFonts w:ascii="Arial" w:hAnsi="Arial" w:cs="Arial"/>
          <w:color w:val="000000"/>
        </w:rPr>
        <w:t>.</w:t>
      </w:r>
    </w:p>
    <w:p w14:paraId="716E40A7" w14:textId="77777777" w:rsidR="008147E4" w:rsidRPr="00845AE4" w:rsidRDefault="008147E4" w:rsidP="00845AE4">
      <w:pPr>
        <w:pStyle w:val="NormaleWeb"/>
        <w:shd w:val="clear" w:color="auto" w:fill="FFFFFF"/>
        <w:jc w:val="both"/>
        <w:rPr>
          <w:rFonts w:ascii="Arial" w:hAnsi="Arial" w:cs="Arial"/>
          <w:color w:val="000000"/>
        </w:rPr>
      </w:pPr>
    </w:p>
    <w:p w14:paraId="5B111AB1" w14:textId="3B9C2CC4" w:rsidR="008147E4" w:rsidRPr="00845AE4" w:rsidRDefault="008147E4" w:rsidP="00845AE4">
      <w:pPr>
        <w:pStyle w:val="NormaleWeb"/>
        <w:shd w:val="clear" w:color="auto" w:fill="FFFFFF"/>
        <w:jc w:val="both"/>
        <w:rPr>
          <w:rFonts w:ascii="Times New Roman" w:hAnsi="Times New Roman" w:cs="Times New Roman"/>
          <w:color w:val="000000"/>
        </w:rPr>
      </w:pPr>
      <w:r w:rsidRPr="00845AE4">
        <w:rPr>
          <w:rFonts w:ascii="Arial" w:hAnsi="Arial" w:cs="Arial"/>
          <w:color w:val="000000"/>
        </w:rPr>
        <w:t xml:space="preserve">Le attività dell’organo di controllo e quelle di revisione, seppur caratterizzati da evidenti differenze, presentano aspetti sinergici che trovano la migliore capacità informativa laddove si opti per una relazione unitaria che esponga in modo </w:t>
      </w:r>
      <w:r w:rsidRPr="00845AE4">
        <w:rPr>
          <w:rFonts w:ascii="Arial" w:hAnsi="Arial" w:cs="Arial"/>
          <w:b/>
          <w:bCs/>
          <w:color w:val="000000"/>
        </w:rPr>
        <w:t>coordinato e sistemico</w:t>
      </w:r>
      <w:r w:rsidRPr="00845AE4">
        <w:rPr>
          <w:rFonts w:ascii="Arial" w:hAnsi="Arial" w:cs="Arial"/>
          <w:color w:val="000000"/>
        </w:rPr>
        <w:t xml:space="preserve"> le risultanze dell’attività di vigilanza e di revisione. Il documento comprende anche le ipotesi di coordinamento delle osservazioni e proposte che l’organo di controllo, ai sensi dell’art. 2429 c.c., deve fare ai soci al fine dell’approvazione del bilancio, con i diversi </w:t>
      </w:r>
      <w:r w:rsidRPr="00845AE4">
        <w:rPr>
          <w:rFonts w:ascii="Arial" w:hAnsi="Arial" w:cs="Arial"/>
          <w:b/>
          <w:bCs/>
          <w:color w:val="000000"/>
        </w:rPr>
        <w:t>casi di giudizio di revisione con modifica</w:t>
      </w:r>
      <w:r w:rsidRPr="00845AE4">
        <w:rPr>
          <w:rFonts w:ascii="Arial" w:hAnsi="Arial" w:cs="Arial"/>
          <w:color w:val="000000"/>
        </w:rPr>
        <w:t>. Vengono inoltre fornite nella sezione “</w:t>
      </w:r>
      <w:r w:rsidRPr="00845AE4">
        <w:rPr>
          <w:rFonts w:ascii="Arial" w:hAnsi="Arial" w:cs="Arial"/>
          <w:b/>
          <w:bCs/>
          <w:color w:val="000000"/>
        </w:rPr>
        <w:t>Allegati</w:t>
      </w:r>
      <w:r w:rsidRPr="00845AE4">
        <w:rPr>
          <w:rFonts w:ascii="Arial" w:hAnsi="Arial" w:cs="Arial"/>
          <w:color w:val="000000"/>
        </w:rPr>
        <w:t>” due modelli di relazione unitaria, rispettivamente, in assenza o in presenza di esercizio di deroghe straordinarie quali quelle relative alla sospensione degli ammortamenti (misura prorogata con L. n. 25/2022, ai bilanci dell’esercizio 2022) e al rinvio dell’obbligo “ricapitalizza o liquida” delle perdite rilevanti ai sensi degli artt. 2446 e 2447 c.c. (ovvero degli artt. 2482-bis e 2482-ter per le S.r.l.), misura estesa, con legge 24 febbraio 2013, n. 14, anche alle perdite 2022. Completa il set degli allegati il modello di rinuncia ai termini concessi ai soci dall’art. 2429, co. 3, c.c. </w:t>
      </w:r>
    </w:p>
    <w:p w14:paraId="3A39E9E5" w14:textId="0F15B7A0" w:rsidR="008147E4" w:rsidRPr="00845AE4" w:rsidRDefault="008147E4" w:rsidP="00845AE4">
      <w:pPr>
        <w:pStyle w:val="NormaleWeb"/>
        <w:shd w:val="clear" w:color="auto" w:fill="FFFFFF"/>
        <w:jc w:val="both"/>
        <w:rPr>
          <w:rFonts w:ascii="Times New Roman" w:hAnsi="Times New Roman" w:cs="Times New Roman"/>
          <w:color w:val="000000"/>
        </w:rPr>
      </w:pPr>
    </w:p>
    <w:p w14:paraId="6B3AD760" w14:textId="77777777" w:rsidR="00845AE4" w:rsidRDefault="008147E4" w:rsidP="00845AE4">
      <w:pPr>
        <w:pStyle w:val="NormaleWeb"/>
        <w:shd w:val="clear" w:color="auto" w:fill="FFFFFF"/>
        <w:jc w:val="both"/>
        <w:rPr>
          <w:rFonts w:ascii="Arial" w:hAnsi="Arial" w:cs="Arial"/>
          <w:color w:val="000000"/>
        </w:rPr>
      </w:pPr>
      <w:r w:rsidRPr="00845AE4">
        <w:rPr>
          <w:rFonts w:ascii="Arial" w:hAnsi="Arial" w:cs="Arial"/>
          <w:color w:val="000000"/>
        </w:rPr>
        <w:t xml:space="preserve">Come di consueto, il Consiglio Nazionale ha pubblicato anche il </w:t>
      </w:r>
      <w:r w:rsidRPr="00845AE4">
        <w:rPr>
          <w:rFonts w:ascii="Arial" w:hAnsi="Arial" w:cs="Arial"/>
          <w:b/>
          <w:bCs/>
          <w:color w:val="000000"/>
        </w:rPr>
        <w:t>modello della relazione all’assemblea dei soci redatta dal collegio sindacale</w:t>
      </w:r>
      <w:r w:rsidRPr="00845AE4">
        <w:rPr>
          <w:rFonts w:ascii="Arial" w:hAnsi="Arial" w:cs="Arial"/>
          <w:color w:val="000000"/>
        </w:rPr>
        <w:t xml:space="preserve"> non incaricato della revisione legale della società. Si tratta del modello di relazione </w:t>
      </w:r>
      <w:r w:rsidRPr="00845AE4">
        <w:rPr>
          <w:rFonts w:ascii="Arial" w:hAnsi="Arial" w:cs="Arial"/>
          <w:i/>
          <w:iCs/>
          <w:color w:val="000000"/>
        </w:rPr>
        <w:t xml:space="preserve">ex </w:t>
      </w:r>
      <w:r w:rsidRPr="00845AE4">
        <w:rPr>
          <w:rFonts w:ascii="Arial" w:hAnsi="Arial" w:cs="Arial"/>
          <w:color w:val="000000"/>
        </w:rPr>
        <w:t xml:space="preserve">art. 2429, comma 2, c.c. che il collegio sindacale o il sindaco unico, quando nominato nelle s.r.l., redigono e depositano in occasione dell’approvazione del </w:t>
      </w:r>
      <w:r w:rsidRPr="00845AE4">
        <w:rPr>
          <w:rFonts w:ascii="Arial" w:hAnsi="Arial" w:cs="Arial"/>
          <w:b/>
          <w:bCs/>
          <w:color w:val="000000"/>
        </w:rPr>
        <w:t>bilancio d’esercizio chiuso al 31 dicembre 2022</w:t>
      </w:r>
      <w:r w:rsidRPr="00845AE4">
        <w:rPr>
          <w:rFonts w:ascii="Arial" w:hAnsi="Arial" w:cs="Arial"/>
          <w:color w:val="000000"/>
        </w:rPr>
        <w:t>. Il documento è stato curato dalla Commissione “</w:t>
      </w:r>
      <w:r w:rsidRPr="00845AE4">
        <w:rPr>
          <w:rFonts w:ascii="Arial" w:hAnsi="Arial" w:cs="Arial"/>
          <w:b/>
          <w:bCs/>
          <w:i/>
          <w:iCs/>
          <w:color w:val="000000"/>
        </w:rPr>
        <w:t>Principi di comportamento del collegio sindacale di società non quotate</w:t>
      </w:r>
      <w:r w:rsidRPr="00845AE4">
        <w:rPr>
          <w:rFonts w:ascii="Arial" w:hAnsi="Arial" w:cs="Arial"/>
          <w:color w:val="000000"/>
        </w:rPr>
        <w:t xml:space="preserve">, presieduta da </w:t>
      </w:r>
      <w:r w:rsidRPr="00845AE4">
        <w:rPr>
          <w:rFonts w:ascii="Arial" w:hAnsi="Arial" w:cs="Arial"/>
          <w:b/>
          <w:bCs/>
          <w:color w:val="000000"/>
        </w:rPr>
        <w:t>Nicola Cavalluzzo</w:t>
      </w:r>
      <w:r w:rsidRPr="00845AE4">
        <w:rPr>
          <w:rFonts w:ascii="Arial" w:hAnsi="Arial" w:cs="Arial"/>
          <w:color w:val="000000"/>
        </w:rPr>
        <w:t xml:space="preserve">. Tutta l’attività svolta nel corso dell’esercizio dall’organo di controllo trova la sua sintesi nel “rapporto” annuale ai soci. Pertanto, anche quest’anno si è proceduto ad aggiornare il modello della relazione all’assemblea dei soci, rivedendo e approfondendo quello dello scorso anno, alla luce delle significative novità normative intervenute nel </w:t>
      </w:r>
    </w:p>
    <w:p w14:paraId="7B963AD5" w14:textId="77777777" w:rsidR="00845AE4" w:rsidRDefault="00845AE4" w:rsidP="00845AE4">
      <w:pPr>
        <w:pStyle w:val="NormaleWeb"/>
        <w:shd w:val="clear" w:color="auto" w:fill="FFFFFF"/>
        <w:jc w:val="both"/>
        <w:rPr>
          <w:rFonts w:ascii="Arial" w:hAnsi="Arial" w:cs="Arial"/>
          <w:color w:val="000000"/>
        </w:rPr>
      </w:pPr>
    </w:p>
    <w:p w14:paraId="5D7DCA7A" w14:textId="77777777" w:rsidR="00845AE4" w:rsidRDefault="00845AE4" w:rsidP="00845AE4">
      <w:pPr>
        <w:pStyle w:val="NormaleWeb"/>
        <w:shd w:val="clear" w:color="auto" w:fill="FFFFFF"/>
        <w:jc w:val="both"/>
        <w:rPr>
          <w:rFonts w:ascii="Arial" w:hAnsi="Arial" w:cs="Arial"/>
          <w:color w:val="000000"/>
        </w:rPr>
      </w:pPr>
    </w:p>
    <w:p w14:paraId="0EB56BA9" w14:textId="4D5C0021" w:rsidR="008147E4" w:rsidRPr="00845AE4" w:rsidRDefault="008147E4" w:rsidP="00845AE4">
      <w:pPr>
        <w:pStyle w:val="NormaleWeb"/>
        <w:shd w:val="clear" w:color="auto" w:fill="FFFFFF"/>
        <w:jc w:val="both"/>
        <w:rPr>
          <w:rFonts w:ascii="Arial" w:hAnsi="Arial" w:cs="Arial"/>
          <w:color w:val="000000"/>
        </w:rPr>
      </w:pPr>
      <w:r w:rsidRPr="00845AE4">
        <w:rPr>
          <w:rFonts w:ascii="Arial" w:hAnsi="Arial" w:cs="Arial"/>
          <w:color w:val="000000"/>
        </w:rPr>
        <w:t xml:space="preserve">frattempo. Il modello di relazione si ispira alle indicazioni contenute nelle </w:t>
      </w:r>
      <w:r w:rsidRPr="00845AE4">
        <w:rPr>
          <w:rFonts w:ascii="Arial" w:hAnsi="Arial" w:cs="Arial"/>
          <w:b/>
          <w:bCs/>
          <w:color w:val="000000"/>
        </w:rPr>
        <w:t>Norme di comportamento del collegio sindacale di società non quotate</w:t>
      </w:r>
      <w:r w:rsidRPr="00845AE4">
        <w:rPr>
          <w:rFonts w:ascii="Arial" w:hAnsi="Arial" w:cs="Arial"/>
          <w:color w:val="000000"/>
        </w:rPr>
        <w:t>, pubblicate da questo Consiglio nazionale nel 2020 e aggiornate a gennaio 2021 e, più specificatamente, alle raccomandazioni contenute nella Norma 7.1. “Struttura e contenuto della relazione dei sindaci”.</w:t>
      </w:r>
    </w:p>
    <w:p w14:paraId="75468E43" w14:textId="77777777" w:rsidR="008147E4" w:rsidRPr="00845AE4" w:rsidRDefault="008147E4" w:rsidP="00845AE4">
      <w:pPr>
        <w:pStyle w:val="NormaleWeb"/>
        <w:shd w:val="clear" w:color="auto" w:fill="FFFFFF"/>
        <w:jc w:val="both"/>
        <w:rPr>
          <w:rFonts w:ascii="Arial" w:hAnsi="Arial" w:cs="Arial"/>
          <w:color w:val="000000"/>
        </w:rPr>
      </w:pPr>
    </w:p>
    <w:p w14:paraId="5A4EC9AC" w14:textId="681D020A" w:rsidR="008147E4" w:rsidRPr="00845AE4" w:rsidRDefault="008147E4" w:rsidP="00845AE4">
      <w:pPr>
        <w:pStyle w:val="NormaleWeb"/>
        <w:shd w:val="clear" w:color="auto" w:fill="FFFFFF"/>
        <w:jc w:val="both"/>
        <w:rPr>
          <w:rFonts w:ascii="Times New Roman" w:hAnsi="Times New Roman" w:cs="Times New Roman"/>
          <w:color w:val="000000"/>
        </w:rPr>
      </w:pPr>
      <w:r w:rsidRPr="00845AE4">
        <w:rPr>
          <w:rFonts w:ascii="Arial" w:hAnsi="Arial" w:cs="Arial"/>
          <w:color w:val="000000"/>
        </w:rPr>
        <w:t>Per quanto sopra, e considerate le disposizioni del c.d. decreto Milleproroghe in ordine alla possibilità di “sterilizzare” le perdite</w:t>
      </w:r>
      <w:r w:rsidRPr="00845AE4">
        <w:rPr>
          <w:rFonts w:ascii="Times New Roman" w:hAnsi="Times New Roman" w:cs="Times New Roman"/>
          <w:color w:val="000000"/>
        </w:rPr>
        <w:t xml:space="preserve"> </w:t>
      </w:r>
      <w:r w:rsidRPr="00845AE4">
        <w:rPr>
          <w:rFonts w:ascii="Arial" w:hAnsi="Arial" w:cs="Arial"/>
          <w:color w:val="000000"/>
        </w:rPr>
        <w:t>emerse nell'esercizio in corso alla data del 31 dicembre 2022, al fine di fornire un utile strumento di lavoro per i Professionisti il Consiglio nazionale ha messo a disposizione anche l’aggiornamento del “</w:t>
      </w:r>
      <w:hyperlink r:id="rId8" w:history="1">
        <w:r w:rsidRPr="00845AE4">
          <w:rPr>
            <w:rStyle w:val="Collegamentoipertestuale"/>
            <w:rFonts w:ascii="Arial" w:hAnsi="Arial" w:cs="Arial"/>
            <w:b/>
            <w:bCs/>
          </w:rPr>
          <w:t>Verbale di presa d’atto della proposta di applicazione della disciplina temporanea di cui all’art. 6 D.L. n. 23/2020 in caso di riduzione del capitale in conseguenza di perdite ai sensi degli artt. 2446, 2447, 2482-bis e 2482-ter, c.c. e osservazioni del collegio sindacale</w:t>
        </w:r>
      </w:hyperlink>
      <w:r w:rsidRPr="00845AE4">
        <w:rPr>
          <w:rFonts w:ascii="Arial" w:hAnsi="Arial" w:cs="Arial"/>
          <w:color w:val="000000"/>
        </w:rPr>
        <w:t>”.</w:t>
      </w:r>
    </w:p>
    <w:p w14:paraId="1B9BBEBA" w14:textId="77777777" w:rsidR="008147E4" w:rsidRDefault="008147E4" w:rsidP="008147E4">
      <w:pPr>
        <w:pStyle w:val="elementtoproof"/>
        <w:shd w:val="clear" w:color="auto" w:fill="FFFFFF"/>
        <w:jc w:val="both"/>
        <w:rPr>
          <w:rFonts w:ascii="Times New Roman" w:hAnsi="Times New Roman" w:cs="Times New Roman"/>
          <w:color w:val="000000"/>
          <w:sz w:val="24"/>
          <w:szCs w:val="24"/>
        </w:rPr>
      </w:pPr>
    </w:p>
    <w:p w14:paraId="6B42DAF9" w14:textId="77777777" w:rsidR="008147E4" w:rsidRDefault="008147E4" w:rsidP="008147E4">
      <w:pPr>
        <w:pStyle w:val="elementtoproof"/>
        <w:shd w:val="clear" w:color="auto" w:fill="FFFFFF"/>
        <w:jc w:val="both"/>
        <w:rPr>
          <w:rFonts w:ascii="Times New Roman" w:hAnsi="Times New Roman" w:cs="Times New Roman"/>
          <w:color w:val="000000"/>
          <w:sz w:val="24"/>
          <w:szCs w:val="24"/>
        </w:rPr>
      </w:pPr>
    </w:p>
    <w:p w14:paraId="2CC7DEA0" w14:textId="77777777" w:rsidR="008147E4" w:rsidRDefault="008147E4" w:rsidP="008147E4">
      <w:pPr>
        <w:pStyle w:val="NormaleWeb"/>
        <w:shd w:val="clear" w:color="auto" w:fill="FFFFFF"/>
        <w:jc w:val="both"/>
        <w:rPr>
          <w:color w:val="000000"/>
        </w:rPr>
      </w:pPr>
      <w:r>
        <w:rPr>
          <w:color w:val="000000"/>
        </w:rPr>
        <w:t> </w:t>
      </w:r>
    </w:p>
    <w:p w14:paraId="0BF0ECFA" w14:textId="473C5B79" w:rsidR="008235CD" w:rsidRPr="001E2C28" w:rsidRDefault="008235CD" w:rsidP="008147E4">
      <w:pPr>
        <w:spacing w:after="0" w:line="240" w:lineRule="auto"/>
        <w:jc w:val="both"/>
        <w:rPr>
          <w:rFonts w:ascii="Arial" w:hAnsi="Arial" w:cs="Arial"/>
          <w:sz w:val="23"/>
          <w:szCs w:val="23"/>
        </w:rPr>
      </w:pPr>
    </w:p>
    <w:sectPr w:rsidR="008235CD" w:rsidRPr="001E2C28">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F72D" w14:textId="77777777" w:rsidR="00683066" w:rsidRDefault="00683066" w:rsidP="00D80C01">
      <w:pPr>
        <w:spacing w:after="0" w:line="240" w:lineRule="auto"/>
      </w:pPr>
      <w:r>
        <w:separator/>
      </w:r>
    </w:p>
  </w:endnote>
  <w:endnote w:type="continuationSeparator" w:id="0">
    <w:p w14:paraId="32E178BE" w14:textId="77777777" w:rsidR="00683066" w:rsidRDefault="00683066" w:rsidP="00D8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292E" w14:textId="77777777" w:rsidR="00683066" w:rsidRDefault="00683066" w:rsidP="00D80C01">
      <w:pPr>
        <w:spacing w:after="0" w:line="240" w:lineRule="auto"/>
      </w:pPr>
      <w:r>
        <w:separator/>
      </w:r>
    </w:p>
  </w:footnote>
  <w:footnote w:type="continuationSeparator" w:id="0">
    <w:p w14:paraId="55385AB5" w14:textId="77777777" w:rsidR="00683066" w:rsidRDefault="00683066" w:rsidP="00D80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FF40" w14:textId="1219F621" w:rsidR="00D80C01" w:rsidRDefault="00D80C01" w:rsidP="00D80C01">
    <w:pPr>
      <w:pStyle w:val="Intestazione"/>
      <w:jc w:val="center"/>
    </w:pPr>
    <w:r>
      <w:rPr>
        <w:noProof/>
      </w:rPr>
      <w:drawing>
        <wp:inline distT="0" distB="0" distL="0" distR="0" wp14:anchorId="09041587" wp14:editId="067560C3">
          <wp:extent cx="2857500" cy="970618"/>
          <wp:effectExtent l="0" t="0" r="0" b="127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552" cy="97573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01"/>
    <w:rsid w:val="00024666"/>
    <w:rsid w:val="00075903"/>
    <w:rsid w:val="000A5981"/>
    <w:rsid w:val="000F4850"/>
    <w:rsid w:val="000F74EE"/>
    <w:rsid w:val="00107223"/>
    <w:rsid w:val="00136829"/>
    <w:rsid w:val="001557C6"/>
    <w:rsid w:val="001B0754"/>
    <w:rsid w:val="001D5315"/>
    <w:rsid w:val="001E19DA"/>
    <w:rsid w:val="001E2C28"/>
    <w:rsid w:val="002012A7"/>
    <w:rsid w:val="00264A04"/>
    <w:rsid w:val="00295EC7"/>
    <w:rsid w:val="00321497"/>
    <w:rsid w:val="00323CA8"/>
    <w:rsid w:val="00370F20"/>
    <w:rsid w:val="003724BE"/>
    <w:rsid w:val="003C66D5"/>
    <w:rsid w:val="003D784C"/>
    <w:rsid w:val="003E6425"/>
    <w:rsid w:val="00465526"/>
    <w:rsid w:val="004D220B"/>
    <w:rsid w:val="004E525B"/>
    <w:rsid w:val="004E5862"/>
    <w:rsid w:val="005D16C2"/>
    <w:rsid w:val="005E0361"/>
    <w:rsid w:val="00631684"/>
    <w:rsid w:val="00681C62"/>
    <w:rsid w:val="00683066"/>
    <w:rsid w:val="006C643F"/>
    <w:rsid w:val="006F6E85"/>
    <w:rsid w:val="00705582"/>
    <w:rsid w:val="00712620"/>
    <w:rsid w:val="00773509"/>
    <w:rsid w:val="007A3515"/>
    <w:rsid w:val="007C3EB7"/>
    <w:rsid w:val="007D62A5"/>
    <w:rsid w:val="008147E4"/>
    <w:rsid w:val="008235CD"/>
    <w:rsid w:val="00845AE4"/>
    <w:rsid w:val="008579C5"/>
    <w:rsid w:val="00880CF7"/>
    <w:rsid w:val="0088252C"/>
    <w:rsid w:val="008A2057"/>
    <w:rsid w:val="008A5876"/>
    <w:rsid w:val="008C00FE"/>
    <w:rsid w:val="00910C20"/>
    <w:rsid w:val="00911F91"/>
    <w:rsid w:val="009B43A9"/>
    <w:rsid w:val="00A337E5"/>
    <w:rsid w:val="00A505FB"/>
    <w:rsid w:val="00AA5B49"/>
    <w:rsid w:val="00AE653F"/>
    <w:rsid w:val="00AF1ADB"/>
    <w:rsid w:val="00AF7044"/>
    <w:rsid w:val="00B83E87"/>
    <w:rsid w:val="00C03469"/>
    <w:rsid w:val="00C14888"/>
    <w:rsid w:val="00C8160B"/>
    <w:rsid w:val="00CA0116"/>
    <w:rsid w:val="00D80C01"/>
    <w:rsid w:val="00EC7CA8"/>
    <w:rsid w:val="00F727E3"/>
    <w:rsid w:val="00F8624D"/>
    <w:rsid w:val="00F90EE7"/>
    <w:rsid w:val="00FB3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5F3"/>
  <w15:chartTrackingRefBased/>
  <w15:docId w15:val="{28833542-D274-4302-A77A-99D83A4E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80C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0C01"/>
  </w:style>
  <w:style w:type="paragraph" w:styleId="Pidipagina">
    <w:name w:val="footer"/>
    <w:basedOn w:val="Normale"/>
    <w:link w:val="PidipaginaCarattere"/>
    <w:uiPriority w:val="99"/>
    <w:unhideWhenUsed/>
    <w:rsid w:val="00D80C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0C01"/>
  </w:style>
  <w:style w:type="character" w:styleId="Collegamentoipertestuale">
    <w:name w:val="Hyperlink"/>
    <w:basedOn w:val="Carpredefinitoparagrafo"/>
    <w:uiPriority w:val="99"/>
    <w:unhideWhenUsed/>
    <w:rsid w:val="008235CD"/>
    <w:rPr>
      <w:color w:val="0563C1" w:themeColor="hyperlink"/>
      <w:u w:val="single"/>
    </w:rPr>
  </w:style>
  <w:style w:type="character" w:styleId="Menzionenonrisolta">
    <w:name w:val="Unresolved Mention"/>
    <w:basedOn w:val="Carpredefinitoparagrafo"/>
    <w:uiPriority w:val="99"/>
    <w:semiHidden/>
    <w:unhideWhenUsed/>
    <w:rsid w:val="008235CD"/>
    <w:rPr>
      <w:color w:val="605E5C"/>
      <w:shd w:val="clear" w:color="auto" w:fill="E1DFDD"/>
    </w:rPr>
  </w:style>
  <w:style w:type="paragraph" w:styleId="NormaleWeb">
    <w:name w:val="Normal (Web)"/>
    <w:basedOn w:val="Normale"/>
    <w:uiPriority w:val="99"/>
    <w:unhideWhenUsed/>
    <w:rsid w:val="008147E4"/>
    <w:pPr>
      <w:spacing w:after="0" w:line="240" w:lineRule="auto"/>
    </w:pPr>
    <w:rPr>
      <w:rFonts w:ascii="Calibri" w:hAnsi="Calibri" w:cs="Calibri"/>
      <w:kern w:val="0"/>
      <w:lang w:eastAsia="it-IT"/>
      <w14:ligatures w14:val="none"/>
    </w:rPr>
  </w:style>
  <w:style w:type="paragraph" w:customStyle="1" w:styleId="elementtoproof">
    <w:name w:val="elementtoproof"/>
    <w:basedOn w:val="Normale"/>
    <w:uiPriority w:val="99"/>
    <w:semiHidden/>
    <w:rsid w:val="008147E4"/>
    <w:pPr>
      <w:spacing w:after="0" w:line="240" w:lineRule="auto"/>
    </w:pPr>
    <w:rPr>
      <w:rFonts w:ascii="Calibri" w:hAnsi="Calibri" w:cs="Calibri"/>
      <w:kern w:val="0"/>
      <w:lang w:eastAsia="it-IT"/>
      <w14:ligatures w14:val="none"/>
    </w:rPr>
  </w:style>
  <w:style w:type="character" w:customStyle="1" w:styleId="contentpasted0">
    <w:name w:val="contentpasted0"/>
    <w:basedOn w:val="Carpredefinitoparagrafo"/>
    <w:rsid w:val="0081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504020">
      <w:bodyDiv w:val="1"/>
      <w:marLeft w:val="0"/>
      <w:marRight w:val="0"/>
      <w:marTop w:val="0"/>
      <w:marBottom w:val="0"/>
      <w:divBdr>
        <w:top w:val="none" w:sz="0" w:space="0" w:color="auto"/>
        <w:left w:val="none" w:sz="0" w:space="0" w:color="auto"/>
        <w:bottom w:val="none" w:sz="0" w:space="0" w:color="auto"/>
        <w:right w:val="none" w:sz="0" w:space="0" w:color="auto"/>
      </w:divBdr>
    </w:div>
    <w:div w:id="21009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ercialisti.it/documents/20182/1236821/DEF.verbale+sospensioni+20230329.docx/33419d6d-15dd-4f9d-adfa-19a74ca493bb" TargetMode="External"/><Relationship Id="rId3" Type="http://schemas.openxmlformats.org/officeDocument/2006/relationships/webSettings" Target="webSettings.xml"/><Relationship Id="rId7" Type="http://schemas.openxmlformats.org/officeDocument/2006/relationships/hyperlink" Target="https://commercialisti.it/documents/20182/1236821/20230429Relazione+collegio+sindacale_def+1.docx/643b05c2-bcd9-4fb5-a7b6-498b74d2bde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ercialisti.it/visualizzatore-articolo?_articleId=150283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4549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cp:revision>
  <cp:lastPrinted>2023-03-29T12:53:00Z</cp:lastPrinted>
  <dcterms:created xsi:type="dcterms:W3CDTF">2023-03-29T15:36:00Z</dcterms:created>
  <dcterms:modified xsi:type="dcterms:W3CDTF">2023-03-29T16:27:00Z</dcterms:modified>
</cp:coreProperties>
</file>