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B700" w14:textId="77777777" w:rsidR="006743D8" w:rsidRPr="00D067F2" w:rsidRDefault="006743D8" w:rsidP="00D067F2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148A347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A282FBC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066DA7D6" w14:textId="77777777" w:rsidR="0098187A" w:rsidRDefault="0098187A" w:rsidP="0098187A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</w:p>
    <w:p w14:paraId="37CC6B80" w14:textId="77777777" w:rsidR="0098187A" w:rsidRDefault="0098187A" w:rsidP="0098187A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</w:p>
    <w:p w14:paraId="3844CE2A" w14:textId="77777777" w:rsidR="0098187A" w:rsidRDefault="0098187A" w:rsidP="0098187A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AIUTI QUATER: COMMERCIALISTI, PER LO SBLOCCO DEI CREDITITI DA BONUS EDILIZI OCCORRONO MISURE PIU’ EFFICACI ED È NECESSARIO FARE CHIAREZZA</w:t>
      </w:r>
    </w:p>
    <w:p w14:paraId="42A5F1BB" w14:textId="77777777" w:rsidR="0098187A" w:rsidRDefault="0098187A" w:rsidP="009818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 categoria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audita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in Senato. Regalbuto: “Estendere anche ai professionisti il credito di imposta per le bollette del quarto trimestre 2022”</w:t>
      </w:r>
    </w:p>
    <w:p w14:paraId="73376FEB" w14:textId="77777777" w:rsidR="0098187A" w:rsidRDefault="0098187A" w:rsidP="009818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CD742C" w14:textId="77777777" w:rsidR="0098187A" w:rsidRDefault="0098187A" w:rsidP="009818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Roma, 28 novembre 2022 – </w:t>
      </w:r>
      <w:r>
        <w:rPr>
          <w:rFonts w:ascii="Arial" w:hAnsi="Arial" w:cs="Arial"/>
          <w:sz w:val="24"/>
          <w:szCs w:val="24"/>
        </w:rPr>
        <w:t xml:space="preserve">Una misura che consenta alle </w:t>
      </w:r>
      <w:r>
        <w:rPr>
          <w:rFonts w:ascii="Arial" w:hAnsi="Arial" w:cs="Arial"/>
          <w:b/>
          <w:bCs/>
          <w:sz w:val="24"/>
          <w:szCs w:val="24"/>
        </w:rPr>
        <w:t>banche</w:t>
      </w:r>
      <w:r>
        <w:rPr>
          <w:rFonts w:ascii="Arial" w:hAnsi="Arial" w:cs="Arial"/>
          <w:sz w:val="24"/>
          <w:szCs w:val="24"/>
        </w:rPr>
        <w:t xml:space="preserve"> di liberare una parte del </w:t>
      </w:r>
      <w:r>
        <w:rPr>
          <w:rFonts w:ascii="Arial" w:hAnsi="Arial" w:cs="Arial"/>
          <w:b/>
          <w:bCs/>
          <w:sz w:val="24"/>
          <w:szCs w:val="24"/>
        </w:rPr>
        <w:t>plafond</w:t>
      </w:r>
      <w:r>
        <w:rPr>
          <w:rFonts w:ascii="Arial" w:hAnsi="Arial" w:cs="Arial"/>
          <w:sz w:val="24"/>
          <w:szCs w:val="24"/>
        </w:rPr>
        <w:t xml:space="preserve"> che hanno ancora disponibile per </w:t>
      </w:r>
      <w:r>
        <w:rPr>
          <w:rFonts w:ascii="Arial" w:hAnsi="Arial" w:cs="Arial"/>
          <w:b/>
          <w:bCs/>
          <w:sz w:val="24"/>
          <w:szCs w:val="24"/>
        </w:rPr>
        <w:t>l’acquisizione dei crediti da bonus fiscali</w:t>
      </w:r>
      <w:r>
        <w:rPr>
          <w:rFonts w:ascii="Arial" w:hAnsi="Arial" w:cs="Arial"/>
          <w:sz w:val="24"/>
          <w:szCs w:val="24"/>
        </w:rPr>
        <w:t xml:space="preserve">. È una delle proposte avanzate da </w:t>
      </w:r>
      <w:r>
        <w:rPr>
          <w:rFonts w:ascii="Arial" w:hAnsi="Arial" w:cs="Arial"/>
          <w:b/>
          <w:bCs/>
          <w:sz w:val="24"/>
          <w:szCs w:val="24"/>
        </w:rPr>
        <w:t>Salvatore Regalbuto</w:t>
      </w:r>
      <w:r>
        <w:rPr>
          <w:rFonts w:ascii="Arial" w:hAnsi="Arial" w:cs="Arial"/>
          <w:sz w:val="24"/>
          <w:szCs w:val="24"/>
        </w:rPr>
        <w:t xml:space="preserve">, Tesoriere del Consiglio nazionale dei commercialisti delegato all’area fiscale che, insieme a </w:t>
      </w:r>
      <w:r>
        <w:rPr>
          <w:rFonts w:ascii="Arial" w:hAnsi="Arial" w:cs="Arial"/>
          <w:b/>
          <w:bCs/>
          <w:sz w:val="24"/>
          <w:szCs w:val="24"/>
        </w:rPr>
        <w:t>Pasquale Saggese</w:t>
      </w:r>
      <w:r>
        <w:rPr>
          <w:rFonts w:ascii="Arial" w:hAnsi="Arial" w:cs="Arial"/>
          <w:sz w:val="24"/>
          <w:szCs w:val="24"/>
        </w:rPr>
        <w:t xml:space="preserve">, ricercatore della Fondazione Nazionale Commercialisti, ha rappresentato la Categoria nel corso dell’audizione sul decreto </w:t>
      </w:r>
      <w:r>
        <w:rPr>
          <w:rFonts w:ascii="Arial" w:hAnsi="Arial" w:cs="Arial"/>
          <w:b/>
          <w:bCs/>
          <w:sz w:val="24"/>
          <w:szCs w:val="24"/>
        </w:rPr>
        <w:t>Aiuti Quater</w:t>
      </w:r>
      <w:r>
        <w:rPr>
          <w:rFonts w:ascii="Arial" w:hAnsi="Arial" w:cs="Arial"/>
          <w:sz w:val="24"/>
          <w:szCs w:val="24"/>
        </w:rPr>
        <w:t xml:space="preserve"> tenutasi oggi presso la Commissione Bilancio del Senato.</w:t>
      </w:r>
    </w:p>
    <w:p w14:paraId="54EE81BE" w14:textId="77777777" w:rsidR="0098187A" w:rsidRDefault="0098187A" w:rsidP="0098187A">
      <w:pPr>
        <w:jc w:val="both"/>
        <w:rPr>
          <w:rFonts w:ascii="Arial" w:hAnsi="Arial" w:cs="Arial"/>
          <w:sz w:val="24"/>
          <w:szCs w:val="24"/>
        </w:rPr>
      </w:pPr>
    </w:p>
    <w:p w14:paraId="5CF433FB" w14:textId="77777777" w:rsidR="0098187A" w:rsidRDefault="0098187A" w:rsidP="009818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commercialisti propongono che i crediti d'imposta derivanti dagli interventi ammessi al superbonus relativi alle comunicazioni di cessione o di sconto in fattura inviate all’Agenzia delle Entrate entro il 31 ottobre 2022 e non ancora utilizzati, possano essere riportati, ai fini del loro utilizzo in compensazione, sino al </w:t>
      </w:r>
      <w:r>
        <w:rPr>
          <w:rFonts w:ascii="Arial" w:hAnsi="Arial" w:cs="Arial"/>
          <w:b/>
          <w:bCs/>
          <w:sz w:val="24"/>
          <w:szCs w:val="24"/>
        </w:rPr>
        <w:t>sesto periodo</w:t>
      </w:r>
      <w:r>
        <w:rPr>
          <w:rFonts w:ascii="Arial" w:hAnsi="Arial" w:cs="Arial"/>
          <w:sz w:val="24"/>
          <w:szCs w:val="24"/>
        </w:rPr>
        <w:t xml:space="preserve"> di imposta successivo a quello di competenza. “Questa soluzione operativa - ha spiegato Regalbuto - appare più idonea ad </w:t>
      </w:r>
      <w:r>
        <w:rPr>
          <w:rFonts w:ascii="Arial" w:hAnsi="Arial" w:cs="Arial"/>
          <w:b/>
          <w:bCs/>
          <w:sz w:val="24"/>
          <w:szCs w:val="24"/>
        </w:rPr>
        <w:t>agevolare lo sblocco degli acquisti</w:t>
      </w:r>
      <w:r>
        <w:rPr>
          <w:rFonts w:ascii="Arial" w:hAnsi="Arial" w:cs="Arial"/>
          <w:sz w:val="24"/>
          <w:szCs w:val="24"/>
        </w:rPr>
        <w:t xml:space="preserve"> dei crediti d’imposta da parte delle banche dando loro maggiore flessibilità nelle compensazioni e superando i limiti dell’attuale formulazione del decreto che prevede la rigida trasformazione dei crediti utilizzabili in 4-5 anni in crediti utilizzabili in 10 anni, situazione che difficilmente spingerà le banche a riprendere gli acquisti in quanto, implicitamente, comporta un dimezzamento dei proventi finanziari legati alle operazioni”</w:t>
      </w:r>
    </w:p>
    <w:p w14:paraId="1F7B1BD9" w14:textId="77777777" w:rsidR="0098187A" w:rsidRDefault="0098187A" w:rsidP="0098187A">
      <w:pPr>
        <w:jc w:val="both"/>
        <w:rPr>
          <w:rFonts w:ascii="Arial" w:hAnsi="Arial" w:cs="Arial"/>
          <w:sz w:val="24"/>
          <w:szCs w:val="24"/>
        </w:rPr>
      </w:pPr>
    </w:p>
    <w:p w14:paraId="50E80A61" w14:textId="77777777" w:rsidR="0098187A" w:rsidRDefault="0098187A" w:rsidP="009818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“Le banche – aggiunge Regalbuto – hanno comprensibilmente adottato un atteggiamento prudenziale nella determinazione dei plafond per non correre il rischio di non avere capienza nelle compensazioni: conferire loro la flessibilità proposta dovrebbe consentire </w:t>
      </w:r>
      <w:r>
        <w:rPr>
          <w:rFonts w:ascii="Arial" w:hAnsi="Arial" w:cs="Arial"/>
          <w:b/>
          <w:bCs/>
          <w:sz w:val="24"/>
          <w:szCs w:val="24"/>
        </w:rPr>
        <w:t>la ripresa degli acquisti in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quanto mitiga sensibilmente il rischio prospettico di incapienza e può spingerle a programmare nuovi acquisti senza correre il rischio di perdere definitivamente eventuali eccedenze relative a singole annualità</w:t>
      </w:r>
      <w:r>
        <w:rPr>
          <w:rFonts w:ascii="Arial" w:hAnsi="Arial" w:cs="Arial"/>
          <w:sz w:val="24"/>
          <w:szCs w:val="24"/>
        </w:rPr>
        <w:t>”.</w:t>
      </w:r>
    </w:p>
    <w:p w14:paraId="70E30E11" w14:textId="77777777" w:rsidR="0098187A" w:rsidRDefault="0098187A" w:rsidP="0098187A">
      <w:pPr>
        <w:jc w:val="both"/>
        <w:rPr>
          <w:rFonts w:ascii="Arial" w:hAnsi="Arial" w:cs="Arial"/>
          <w:sz w:val="24"/>
          <w:szCs w:val="24"/>
        </w:rPr>
      </w:pPr>
    </w:p>
    <w:p w14:paraId="519F926B" w14:textId="77777777" w:rsidR="0098187A" w:rsidRDefault="0098187A" w:rsidP="0098187A">
      <w:pPr>
        <w:pStyle w:val="Corpotesto"/>
        <w:spacing w:before="0" w:after="0"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 rappresentanti della Categoria hanno anche richiesto l’emanazione di una norma di </w:t>
      </w:r>
      <w:r>
        <w:rPr>
          <w:b/>
          <w:bCs/>
          <w:color w:val="000000"/>
          <w:sz w:val="24"/>
          <w:szCs w:val="24"/>
        </w:rPr>
        <w:t>interpretazione autentica</w:t>
      </w:r>
      <w:r>
        <w:rPr>
          <w:color w:val="000000"/>
          <w:sz w:val="24"/>
          <w:szCs w:val="24"/>
        </w:rPr>
        <w:t xml:space="preserve"> in tema di </w:t>
      </w:r>
      <w:r>
        <w:rPr>
          <w:b/>
          <w:bCs/>
          <w:color w:val="000000"/>
          <w:sz w:val="24"/>
          <w:szCs w:val="24"/>
        </w:rPr>
        <w:t>bonus fiscali diversi dai super bonus</w:t>
      </w:r>
      <w:r>
        <w:rPr>
          <w:color w:val="000000"/>
          <w:sz w:val="24"/>
          <w:szCs w:val="24"/>
        </w:rPr>
        <w:t xml:space="preserve"> che, a seguito delle recenti pronunce della Corte di cassazione, chiarisca definitivamente che per i bonus minori </w:t>
      </w:r>
      <w:r>
        <w:rPr>
          <w:b/>
          <w:bCs/>
          <w:color w:val="000000"/>
          <w:sz w:val="24"/>
          <w:szCs w:val="24"/>
        </w:rPr>
        <w:t>non è necessario il riscontro di stati avanzamento lavoro</w:t>
      </w:r>
      <w:r>
        <w:rPr>
          <w:color w:val="000000"/>
          <w:sz w:val="24"/>
          <w:szCs w:val="24"/>
        </w:rPr>
        <w:t xml:space="preserve">, così come più volte ribadito sia dal Ministero dell’Economia e delle Finanze che dall’Agenzia delle Entrate. Per Regalbuto “si tratta di un provvedimento assolutamente necessario per </w:t>
      </w:r>
      <w:r>
        <w:rPr>
          <w:b/>
          <w:bCs/>
          <w:color w:val="000000"/>
          <w:sz w:val="24"/>
          <w:szCs w:val="24"/>
        </w:rPr>
        <w:t>tutelare la buona fede e l’affidamento</w:t>
      </w:r>
      <w:r>
        <w:rPr>
          <w:color w:val="000000"/>
          <w:sz w:val="24"/>
          <w:szCs w:val="24"/>
        </w:rPr>
        <w:t xml:space="preserve"> degli operatori e dei loro professionisti, che hanno seguito le indicazione interpretative del MEF e dell’Agenzia delle Entrate che ora, a seguito delle pronunce della Suprema Corte, rischiano di essere messe in discussione aprendo squarci preoccupanti nella credibilità delle istituzioni interessate e alimentano nuove incertezze per le operazioni in corso”.</w:t>
      </w:r>
    </w:p>
    <w:p w14:paraId="71C0F09B" w14:textId="77777777" w:rsidR="0098187A" w:rsidRDefault="0098187A" w:rsidP="0098187A">
      <w:pPr>
        <w:pStyle w:val="Corpotesto"/>
        <w:spacing w:before="0" w:after="0" w:line="240" w:lineRule="auto"/>
        <w:ind w:firstLine="0"/>
        <w:rPr>
          <w:sz w:val="24"/>
          <w:szCs w:val="24"/>
        </w:rPr>
      </w:pPr>
    </w:p>
    <w:p w14:paraId="11DB4D11" w14:textId="77777777" w:rsidR="0098187A" w:rsidRDefault="0098187A" w:rsidP="0098187A">
      <w:pPr>
        <w:pStyle w:val="Corpotesto"/>
        <w:spacing w:before="0" w:after="0"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Necessaria, per i commercialisti, anche una norma che chiarisca la portata della </w:t>
      </w:r>
      <w:r>
        <w:rPr>
          <w:b/>
          <w:bCs/>
          <w:color w:val="000000"/>
          <w:sz w:val="24"/>
          <w:szCs w:val="24"/>
        </w:rPr>
        <w:t>proroga 31 dicembre del 2022</w:t>
      </w:r>
      <w:r>
        <w:rPr>
          <w:color w:val="000000"/>
          <w:sz w:val="24"/>
          <w:szCs w:val="24"/>
        </w:rPr>
        <w:t xml:space="preserve"> del </w:t>
      </w:r>
      <w:r>
        <w:rPr>
          <w:b/>
          <w:bCs/>
          <w:color w:val="000000"/>
          <w:sz w:val="24"/>
          <w:szCs w:val="24"/>
        </w:rPr>
        <w:t>sisma bonus acquisti</w:t>
      </w:r>
      <w:r>
        <w:rPr>
          <w:color w:val="000000"/>
          <w:sz w:val="24"/>
          <w:szCs w:val="24"/>
        </w:rPr>
        <w:t>.</w:t>
      </w:r>
    </w:p>
    <w:p w14:paraId="2528483D" w14:textId="77777777" w:rsidR="0098187A" w:rsidRDefault="0098187A" w:rsidP="0098187A">
      <w:pPr>
        <w:pStyle w:val="Corpotesto"/>
        <w:spacing w:before="0" w:after="0" w:line="240" w:lineRule="auto"/>
        <w:ind w:firstLine="0"/>
        <w:rPr>
          <w:sz w:val="24"/>
          <w:szCs w:val="24"/>
        </w:rPr>
      </w:pPr>
    </w:p>
    <w:p w14:paraId="15681571" w14:textId="77777777" w:rsidR="0098187A" w:rsidRDefault="0098187A" w:rsidP="0098187A">
      <w:pPr>
        <w:pStyle w:val="Corpotesto"/>
        <w:spacing w:before="0" w:after="0"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La categoria ha infine chiesto l’</w:t>
      </w:r>
      <w:r>
        <w:rPr>
          <w:b/>
          <w:bCs/>
          <w:color w:val="000000"/>
          <w:sz w:val="24"/>
          <w:szCs w:val="24"/>
        </w:rPr>
        <w:t xml:space="preserve">estensione </w:t>
      </w:r>
      <w:r>
        <w:rPr>
          <w:color w:val="000000"/>
          <w:sz w:val="24"/>
          <w:szCs w:val="24"/>
        </w:rPr>
        <w:t xml:space="preserve">anche ai </w:t>
      </w:r>
      <w:r>
        <w:rPr>
          <w:b/>
          <w:bCs/>
          <w:color w:val="000000"/>
          <w:sz w:val="24"/>
          <w:szCs w:val="24"/>
        </w:rPr>
        <w:t>professionisti</w:t>
      </w:r>
      <w:r>
        <w:rPr>
          <w:color w:val="000000"/>
          <w:sz w:val="24"/>
          <w:szCs w:val="24"/>
        </w:rPr>
        <w:t xml:space="preserve"> del credito d’imposta per le </w:t>
      </w:r>
      <w:r>
        <w:rPr>
          <w:b/>
          <w:bCs/>
          <w:color w:val="000000"/>
          <w:sz w:val="24"/>
          <w:szCs w:val="24"/>
        </w:rPr>
        <w:t>bollette del quarto trimestre di quest’anno</w:t>
      </w:r>
      <w:r>
        <w:rPr>
          <w:color w:val="000000"/>
          <w:sz w:val="24"/>
          <w:szCs w:val="24"/>
        </w:rPr>
        <w:t xml:space="preserve">. “Pur esprimendo apprezzamento per le misure volte a sostenere la ripresa economica e la produttività delle imprese – ha spiegato Regalbuto – il riconoscimento di questi crediti d’imposta alle sole “imprese”, ancorché non energivore, è suscettibile di provocare una </w:t>
      </w:r>
      <w:r>
        <w:rPr>
          <w:b/>
          <w:bCs/>
          <w:color w:val="000000"/>
          <w:sz w:val="24"/>
          <w:szCs w:val="24"/>
        </w:rPr>
        <w:t>rilevante disparità di trattamento</w:t>
      </w:r>
      <w:r>
        <w:rPr>
          <w:color w:val="000000"/>
          <w:sz w:val="24"/>
          <w:szCs w:val="24"/>
        </w:rPr>
        <w:t xml:space="preserve"> nei confronti del comparto delle professioni che, al pari di quello imprenditoriale, risulta </w:t>
      </w:r>
      <w:r>
        <w:rPr>
          <w:b/>
          <w:bCs/>
          <w:color w:val="000000"/>
          <w:sz w:val="24"/>
          <w:szCs w:val="24"/>
        </w:rPr>
        <w:t xml:space="preserve">fortemente penalizzato </w:t>
      </w:r>
      <w:r>
        <w:rPr>
          <w:color w:val="000000"/>
          <w:sz w:val="24"/>
          <w:szCs w:val="24"/>
        </w:rPr>
        <w:t xml:space="preserve">dai notevoli rincari dei costi dell’energia e del gas. Nel vasto e frammentato panorama degli incentivi economici introdotti dal legislatore negli ultimi anni, è spesso accaduto che i </w:t>
      </w:r>
      <w:r>
        <w:rPr>
          <w:b/>
          <w:bCs/>
          <w:color w:val="000000"/>
          <w:sz w:val="24"/>
          <w:szCs w:val="24"/>
        </w:rPr>
        <w:t>professionisti</w:t>
      </w:r>
      <w:r>
        <w:rPr>
          <w:color w:val="000000"/>
          <w:sz w:val="24"/>
          <w:szCs w:val="24"/>
        </w:rPr>
        <w:t xml:space="preserve"> e, più in generale, i lavoratori autonomi, siano rimasti </w:t>
      </w:r>
      <w:r>
        <w:rPr>
          <w:b/>
          <w:bCs/>
          <w:color w:val="000000"/>
          <w:sz w:val="24"/>
          <w:szCs w:val="24"/>
        </w:rPr>
        <w:t>impropriamente esclusi</w:t>
      </w:r>
      <w:r>
        <w:rPr>
          <w:color w:val="000000"/>
          <w:sz w:val="24"/>
          <w:szCs w:val="24"/>
        </w:rPr>
        <w:t xml:space="preserve"> dalle agevolazioni, creando squilibri e svantaggi competitivi nel mercato concorrenziale della prestazione di servizi. Pensiamo sia invece necessario stabilire il principio </w:t>
      </w:r>
      <w:r>
        <w:rPr>
          <w:b/>
          <w:bCs/>
          <w:color w:val="000000"/>
          <w:sz w:val="24"/>
          <w:szCs w:val="24"/>
        </w:rPr>
        <w:t>dell’uguaglianza tra imprese e professionisti</w:t>
      </w:r>
      <w:r>
        <w:rPr>
          <w:color w:val="000000"/>
          <w:sz w:val="24"/>
          <w:szCs w:val="24"/>
        </w:rPr>
        <w:t xml:space="preserve"> ai fini dell’accesso agli incentivi economici, in conformità ai principi del diritto europeo che sanciscono la piena equiparazione dei due comparti”. </w:t>
      </w:r>
    </w:p>
    <w:p w14:paraId="634443E1" w14:textId="05CCF4B4" w:rsidR="006E088E" w:rsidRPr="006E088E" w:rsidRDefault="006E088E" w:rsidP="0098187A">
      <w:pPr>
        <w:shd w:val="clear" w:color="auto" w:fill="FFFFFF"/>
        <w:jc w:val="center"/>
        <w:rPr>
          <w:rFonts w:ascii="Arial" w:hAnsi="Arial" w:cs="Arial"/>
        </w:rPr>
      </w:pPr>
    </w:p>
    <w:sectPr w:rsidR="006E088E" w:rsidRPr="006E088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EC96" w14:textId="77777777" w:rsidR="00EF5844" w:rsidRDefault="00EF5844" w:rsidP="006743D8">
      <w:r>
        <w:separator/>
      </w:r>
    </w:p>
  </w:endnote>
  <w:endnote w:type="continuationSeparator" w:id="0">
    <w:p w14:paraId="7EBF1400" w14:textId="77777777" w:rsidR="00EF5844" w:rsidRDefault="00EF5844" w:rsidP="0067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7E16" w14:textId="77777777" w:rsidR="00EF5844" w:rsidRDefault="00EF5844" w:rsidP="006743D8">
      <w:r>
        <w:separator/>
      </w:r>
    </w:p>
  </w:footnote>
  <w:footnote w:type="continuationSeparator" w:id="0">
    <w:p w14:paraId="2AC97891" w14:textId="77777777" w:rsidR="00EF5844" w:rsidRDefault="00EF5844" w:rsidP="0067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802E" w14:textId="744C0943" w:rsidR="006743D8" w:rsidRDefault="006743D8" w:rsidP="006743D8">
    <w:pPr>
      <w:pStyle w:val="Intestazione"/>
      <w:jc w:val="center"/>
    </w:pPr>
    <w:r>
      <w:rPr>
        <w:noProof/>
      </w:rPr>
      <w:drawing>
        <wp:inline distT="0" distB="0" distL="0" distR="0" wp14:anchorId="240C583C" wp14:editId="08A1CA3F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A5"/>
    <w:rsid w:val="000A1E03"/>
    <w:rsid w:val="000D2BC5"/>
    <w:rsid w:val="000F4551"/>
    <w:rsid w:val="000F62B7"/>
    <w:rsid w:val="001251F4"/>
    <w:rsid w:val="0015615C"/>
    <w:rsid w:val="00175B06"/>
    <w:rsid w:val="00193214"/>
    <w:rsid w:val="00223412"/>
    <w:rsid w:val="00265C53"/>
    <w:rsid w:val="002B01A5"/>
    <w:rsid w:val="002B3922"/>
    <w:rsid w:val="002C61F0"/>
    <w:rsid w:val="002D3359"/>
    <w:rsid w:val="002E74FE"/>
    <w:rsid w:val="00362E7B"/>
    <w:rsid w:val="003931F4"/>
    <w:rsid w:val="003C2DF8"/>
    <w:rsid w:val="0044757A"/>
    <w:rsid w:val="004A39DF"/>
    <w:rsid w:val="004B45D3"/>
    <w:rsid w:val="004D1F88"/>
    <w:rsid w:val="00526C85"/>
    <w:rsid w:val="00535906"/>
    <w:rsid w:val="00565C61"/>
    <w:rsid w:val="006743D8"/>
    <w:rsid w:val="006E088E"/>
    <w:rsid w:val="006E5E4E"/>
    <w:rsid w:val="007478D9"/>
    <w:rsid w:val="008772B8"/>
    <w:rsid w:val="0088687E"/>
    <w:rsid w:val="008935E2"/>
    <w:rsid w:val="009346DE"/>
    <w:rsid w:val="0098187A"/>
    <w:rsid w:val="009946E2"/>
    <w:rsid w:val="00A66191"/>
    <w:rsid w:val="00B01E2B"/>
    <w:rsid w:val="00B052B1"/>
    <w:rsid w:val="00BF1B3F"/>
    <w:rsid w:val="00C458EB"/>
    <w:rsid w:val="00C52CD5"/>
    <w:rsid w:val="00C702C8"/>
    <w:rsid w:val="00CD4340"/>
    <w:rsid w:val="00D067F2"/>
    <w:rsid w:val="00D860EF"/>
    <w:rsid w:val="00DF154E"/>
    <w:rsid w:val="00E55AB7"/>
    <w:rsid w:val="00E75CB0"/>
    <w:rsid w:val="00EF5844"/>
    <w:rsid w:val="00F43CC6"/>
    <w:rsid w:val="00F6513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ED76"/>
  <w15:chartTrackingRefBased/>
  <w15:docId w15:val="{04D5778C-344E-40E1-B594-6D2A586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DF8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01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32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21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321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3D8"/>
  </w:style>
  <w:style w:type="paragraph" w:styleId="Pidipagina">
    <w:name w:val="footer"/>
    <w:basedOn w:val="Normale"/>
    <w:link w:val="Pidipagina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3D8"/>
  </w:style>
  <w:style w:type="paragraph" w:styleId="NormaleWeb">
    <w:name w:val="Normal (Web)"/>
    <w:basedOn w:val="Normale"/>
    <w:uiPriority w:val="99"/>
    <w:semiHidden/>
    <w:unhideWhenUsed/>
    <w:rsid w:val="003C2DF8"/>
    <w:pPr>
      <w:spacing w:before="100" w:beforeAutospacing="1" w:after="100" w:afterAutospacing="1"/>
    </w:pPr>
  </w:style>
  <w:style w:type="paragraph" w:customStyle="1" w:styleId="xmsonormal">
    <w:name w:val="xmsonormal"/>
    <w:basedOn w:val="Normale"/>
    <w:rsid w:val="003C2DF8"/>
  </w:style>
  <w:style w:type="character" w:customStyle="1" w:styleId="contentpasted0">
    <w:name w:val="contentpasted0"/>
    <w:basedOn w:val="Carpredefinitoparagrafo"/>
    <w:rsid w:val="003C2DF8"/>
  </w:style>
  <w:style w:type="paragraph" w:styleId="Corpotesto">
    <w:name w:val="Body Text"/>
    <w:basedOn w:val="Normale"/>
    <w:link w:val="CorpotestoCarattere"/>
    <w:uiPriority w:val="99"/>
    <w:semiHidden/>
    <w:unhideWhenUsed/>
    <w:rsid w:val="0098187A"/>
    <w:pPr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187A"/>
    <w:rPr>
      <w:rFonts w:ascii="Arial" w:hAnsi="Arial" w:cs="Arial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cp:lastPrinted>2022-10-10T11:43:00Z</cp:lastPrinted>
  <dcterms:created xsi:type="dcterms:W3CDTF">2022-11-02T15:41:00Z</dcterms:created>
  <dcterms:modified xsi:type="dcterms:W3CDTF">2022-11-30T08:46:00Z</dcterms:modified>
</cp:coreProperties>
</file>