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ED68" w14:textId="77777777" w:rsidR="00AF7741" w:rsidRPr="00E26A59" w:rsidRDefault="00AF7741" w:rsidP="00E26A59">
      <w:pPr>
        <w:jc w:val="both"/>
        <w:rPr>
          <w:rFonts w:ascii="Arial" w:hAnsi="Arial" w:cs="Arial"/>
        </w:rPr>
      </w:pPr>
    </w:p>
    <w:p w14:paraId="31D15A2A" w14:textId="15A58C30" w:rsidR="00AF7741" w:rsidRDefault="00AF7741" w:rsidP="00E26A59">
      <w:pPr>
        <w:jc w:val="center"/>
        <w:rPr>
          <w:rFonts w:ascii="Arial" w:hAnsi="Arial" w:cs="Arial"/>
          <w:b/>
          <w:bCs/>
          <w:color w:val="000000"/>
        </w:rPr>
      </w:pPr>
      <w:r w:rsidRPr="00E26A59">
        <w:rPr>
          <w:rFonts w:ascii="Arial" w:hAnsi="Arial" w:cs="Arial"/>
          <w:b/>
          <w:bCs/>
          <w:color w:val="000000"/>
        </w:rPr>
        <w:t>Comunicato stampa</w:t>
      </w:r>
    </w:p>
    <w:p w14:paraId="0AFFC87C" w14:textId="77777777" w:rsidR="00760D47" w:rsidRDefault="00760D47" w:rsidP="00E26A59">
      <w:pPr>
        <w:jc w:val="center"/>
        <w:rPr>
          <w:rFonts w:ascii="Arial" w:hAnsi="Arial" w:cs="Arial"/>
          <w:b/>
          <w:bCs/>
          <w:color w:val="000000"/>
        </w:rPr>
      </w:pPr>
    </w:p>
    <w:p w14:paraId="4ADA706F" w14:textId="77777777" w:rsidR="0085039B" w:rsidRDefault="0085039B" w:rsidP="0085039B">
      <w:pPr>
        <w:widowControl w:val="0"/>
        <w:tabs>
          <w:tab w:val="right" w:pos="9638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MAGISTRATURA TRIBUTARIA: COMMERCIALISTI, APRIRE ANCHE AI LAUREATI IN ECONOMIA  </w:t>
      </w:r>
      <w:r>
        <w:rPr>
          <w:color w:val="000000"/>
        </w:rPr>
        <w:t> </w:t>
      </w:r>
    </w:p>
    <w:p w14:paraId="39182592" w14:textId="77777777" w:rsidR="0085039B" w:rsidRDefault="0085039B" w:rsidP="0085039B">
      <w:pPr>
        <w:widowControl w:val="0"/>
        <w:tabs>
          <w:tab w:val="right" w:pos="9638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  <w:r>
        <w:rPr>
          <w:color w:val="000000"/>
        </w:rPr>
        <w:t> </w:t>
      </w:r>
    </w:p>
    <w:p w14:paraId="6E66244F" w14:textId="6DF9F213" w:rsidR="0085039B" w:rsidRDefault="0085039B" w:rsidP="0085039B">
      <w:pPr>
        <w:widowControl w:val="0"/>
        <w:tabs>
          <w:tab w:val="right" w:pos="9638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Il Consiglio nazionale in audizione </w:t>
      </w:r>
      <w:r w:rsidR="00D04B7D">
        <w:rPr>
          <w:rFonts w:ascii="Arial" w:hAnsi="Arial" w:cs="Arial"/>
          <w:b/>
          <w:bCs/>
          <w:color w:val="000000"/>
        </w:rPr>
        <w:t>al</w:t>
      </w:r>
      <w:r>
        <w:rPr>
          <w:rFonts w:ascii="Arial" w:hAnsi="Arial" w:cs="Arial"/>
          <w:b/>
          <w:bCs/>
          <w:color w:val="000000"/>
        </w:rPr>
        <w:t xml:space="preserve"> Senato. D’Angiolella: “Riservare il concorso per la nomina di magistrato tributario ai soli laureati in giurisprudenza significa rinunciare alle competenze tecnico-professionali nelle materie fiscali, di contabilità aziendale e bilancio” </w:t>
      </w:r>
      <w:r>
        <w:rPr>
          <w:color w:val="000000"/>
        </w:rPr>
        <w:t> </w:t>
      </w:r>
    </w:p>
    <w:p w14:paraId="5F8BD578" w14:textId="77777777" w:rsidR="0085039B" w:rsidRDefault="0085039B" w:rsidP="0085039B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  </w:t>
      </w:r>
    </w:p>
    <w:p w14:paraId="128956A8" w14:textId="7FF5AA68" w:rsidR="0085039B" w:rsidRDefault="0085039B" w:rsidP="0085039B">
      <w:pPr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Roma, 28 giugno 2022 – </w:t>
      </w:r>
      <w:r>
        <w:rPr>
          <w:rFonts w:ascii="Arial" w:hAnsi="Arial" w:cs="Arial"/>
          <w:color w:val="000000"/>
        </w:rPr>
        <w:t xml:space="preserve">“Prevedere l’ammissione al concorso per la nomina a </w:t>
      </w:r>
      <w:r>
        <w:rPr>
          <w:rFonts w:ascii="Arial" w:hAnsi="Arial" w:cs="Arial"/>
          <w:b/>
          <w:bCs/>
          <w:color w:val="000000"/>
        </w:rPr>
        <w:t xml:space="preserve">magistrato tributario </w:t>
      </w:r>
      <w:r>
        <w:rPr>
          <w:rFonts w:ascii="Arial" w:hAnsi="Arial" w:cs="Arial"/>
          <w:color w:val="000000"/>
        </w:rPr>
        <w:t xml:space="preserve">per i soli </w:t>
      </w:r>
      <w:r>
        <w:rPr>
          <w:rFonts w:ascii="Arial" w:hAnsi="Arial" w:cs="Arial"/>
          <w:b/>
          <w:bCs/>
          <w:color w:val="000000"/>
        </w:rPr>
        <w:t>laureati in giurisprudenza,</w:t>
      </w:r>
      <w:r>
        <w:rPr>
          <w:rFonts w:ascii="Arial" w:hAnsi="Arial" w:cs="Arial"/>
          <w:color w:val="000000"/>
        </w:rPr>
        <w:t xml:space="preserve"> e non anche per quelli in </w:t>
      </w:r>
      <w:r>
        <w:rPr>
          <w:rFonts w:ascii="Arial" w:hAnsi="Arial" w:cs="Arial"/>
          <w:b/>
          <w:bCs/>
          <w:color w:val="000000"/>
        </w:rPr>
        <w:t>economia</w:t>
      </w:r>
      <w:r>
        <w:rPr>
          <w:rFonts w:ascii="Arial" w:hAnsi="Arial" w:cs="Arial"/>
          <w:color w:val="000000"/>
        </w:rPr>
        <w:t xml:space="preserve">, esclude </w:t>
      </w:r>
      <w:r>
        <w:rPr>
          <w:rFonts w:ascii="Arial" w:hAnsi="Arial" w:cs="Arial"/>
          <w:b/>
          <w:bCs/>
          <w:color w:val="000000"/>
        </w:rPr>
        <w:t>competenze tecnico</w:t>
      </w:r>
      <w:r w:rsidR="00D04B7D"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professionali</w:t>
      </w:r>
      <w:r>
        <w:rPr>
          <w:rFonts w:ascii="Arial" w:hAnsi="Arial" w:cs="Arial"/>
          <w:color w:val="000000"/>
        </w:rPr>
        <w:t xml:space="preserve"> imprescindibili e rischia di vanificare del tutto il dichiarato obiettivo di un rafforzamento della specializzazione del giudice tributario”. Lo ha affermato la Consigliera nazionale dei commercialisti </w:t>
      </w:r>
      <w:r>
        <w:rPr>
          <w:rFonts w:ascii="Arial" w:hAnsi="Arial" w:cs="Arial"/>
          <w:b/>
          <w:bCs/>
          <w:color w:val="000000"/>
        </w:rPr>
        <w:t>Rosa D’Angiolella</w:t>
      </w:r>
      <w:r>
        <w:rPr>
          <w:rFonts w:ascii="Arial" w:hAnsi="Arial" w:cs="Arial"/>
          <w:color w:val="000000"/>
        </w:rPr>
        <w:t>, nel corso di un’audizione informale sul disegno di legge di riforma della giustizia tributaria, svoltasi oggi presso l’ufficio di presidenza delle Commissioni Giustizia e Finanze del Senato.  </w:t>
      </w:r>
    </w:p>
    <w:p w14:paraId="39CE1A63" w14:textId="77777777" w:rsidR="0085039B" w:rsidRDefault="0085039B" w:rsidP="0085039B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2D71A03" w14:textId="77777777" w:rsidR="0085039B" w:rsidRDefault="0085039B" w:rsidP="0085039B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“Abbiamo ribadito oggi – spiega l’esponente della categoria – quanto affermato nelle scorse settimane in una lettera inviata alla Ministra della Giustizia, </w:t>
      </w:r>
      <w:r>
        <w:rPr>
          <w:rFonts w:ascii="Arial" w:hAnsi="Arial" w:cs="Arial"/>
          <w:b/>
          <w:bCs/>
          <w:color w:val="000000"/>
        </w:rPr>
        <w:t>Marta Cartabia</w:t>
      </w:r>
      <w:r>
        <w:rPr>
          <w:rFonts w:ascii="Arial" w:hAnsi="Arial" w:cs="Arial"/>
          <w:color w:val="000000"/>
        </w:rPr>
        <w:t xml:space="preserve">, al Ministro dell’Economia, </w:t>
      </w:r>
      <w:r>
        <w:rPr>
          <w:rFonts w:ascii="Arial" w:hAnsi="Arial" w:cs="Arial"/>
          <w:b/>
          <w:bCs/>
          <w:color w:val="000000"/>
        </w:rPr>
        <w:t>Daniele Franco</w:t>
      </w:r>
      <w:r>
        <w:rPr>
          <w:rFonts w:ascii="Arial" w:hAnsi="Arial" w:cs="Arial"/>
          <w:color w:val="000000"/>
        </w:rPr>
        <w:t xml:space="preserve"> e ai presidenti delle </w:t>
      </w:r>
      <w:r>
        <w:rPr>
          <w:rFonts w:ascii="Arial" w:hAnsi="Arial" w:cs="Arial"/>
          <w:b/>
          <w:bCs/>
          <w:color w:val="000000"/>
        </w:rPr>
        <w:t xml:space="preserve">Commissioni Finanza e Giustizia di Camera e Senato. </w:t>
      </w:r>
      <w:r>
        <w:rPr>
          <w:rFonts w:ascii="Arial" w:hAnsi="Arial" w:cs="Arial"/>
          <w:color w:val="000000"/>
        </w:rPr>
        <w:t xml:space="preserve">La nascita della quinta magistratura rappresenta certamente un </w:t>
      </w:r>
      <w:r>
        <w:rPr>
          <w:rFonts w:ascii="Arial" w:hAnsi="Arial" w:cs="Arial"/>
          <w:b/>
          <w:bCs/>
          <w:color w:val="000000"/>
        </w:rPr>
        <w:t>approdo fondamentale</w:t>
      </w:r>
      <w:r>
        <w:rPr>
          <w:rFonts w:ascii="Arial" w:hAnsi="Arial" w:cs="Arial"/>
          <w:color w:val="000000"/>
        </w:rPr>
        <w:t xml:space="preserve"> per quella riforma sistematica e strutturale che i cittadini e le imprese invocano ormai da tempo e che offre garanzie di </w:t>
      </w:r>
      <w:r>
        <w:rPr>
          <w:rFonts w:ascii="Arial" w:hAnsi="Arial" w:cs="Arial"/>
          <w:b/>
          <w:bCs/>
          <w:color w:val="000000"/>
        </w:rPr>
        <w:t>autonomia, terzietà e indipendenza</w:t>
      </w:r>
      <w:r>
        <w:rPr>
          <w:rFonts w:ascii="Arial" w:hAnsi="Arial" w:cs="Arial"/>
          <w:color w:val="000000"/>
        </w:rPr>
        <w:t xml:space="preserve"> della funzione giudicante e di maggiore qualità della risposta giudiziaria. L’istituzione dell’ordine giudiziario tributario, composto dal nuovo organico dei magistrati tributari di ruolo assunti mediante apposito concorso pubblico, è il </w:t>
      </w:r>
      <w:r>
        <w:rPr>
          <w:rFonts w:ascii="Arial" w:hAnsi="Arial" w:cs="Arial"/>
          <w:b/>
          <w:bCs/>
          <w:color w:val="000000"/>
        </w:rPr>
        <w:t>punto cardine</w:t>
      </w:r>
      <w:r>
        <w:rPr>
          <w:rFonts w:ascii="Arial" w:hAnsi="Arial" w:cs="Arial"/>
          <w:color w:val="000000"/>
        </w:rPr>
        <w:t xml:space="preserve"> della riforma. Si tratta di una scelta decisiva per l’effettivo rafforzamento della professionalizzazione e specializzazione dei giudici tributari da tempo auspicata da più parti ed anche dai commercialisti italiani”.  </w:t>
      </w:r>
    </w:p>
    <w:p w14:paraId="010DBAF6" w14:textId="77777777" w:rsidR="0085039B" w:rsidRDefault="0085039B" w:rsidP="0085039B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88F078B" w14:textId="7A7EBF3D" w:rsidR="00F5014E" w:rsidRPr="0085039B" w:rsidRDefault="0085039B" w:rsidP="0085039B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“La scelta di limitare ai soli laureati in giurisprudenza l’accesso al concorso – prosegue D’Angiolella – rischia però non solo di vanificare il processo di rafforzamento della specializzazione dei giudici tributari, ma anche di produrre una</w:t>
      </w:r>
      <w:r>
        <w:rPr>
          <w:rFonts w:ascii="Arial" w:hAnsi="Arial" w:cs="Arial"/>
          <w:b/>
          <w:bCs/>
          <w:color w:val="000000"/>
        </w:rPr>
        <w:t xml:space="preserve"> disparità </w:t>
      </w:r>
      <w:r>
        <w:rPr>
          <w:rFonts w:ascii="Arial" w:hAnsi="Arial" w:cs="Arial"/>
          <w:color w:val="000000"/>
        </w:rPr>
        <w:t xml:space="preserve">di trattamento a danno dei laureati in economia, specie se si considera che proprio le </w:t>
      </w:r>
      <w:r>
        <w:rPr>
          <w:rFonts w:ascii="Arial" w:hAnsi="Arial" w:cs="Arial"/>
          <w:b/>
          <w:bCs/>
          <w:color w:val="000000"/>
        </w:rPr>
        <w:t xml:space="preserve">competenze tecnico-professionali </w:t>
      </w:r>
      <w:r>
        <w:rPr>
          <w:rFonts w:ascii="Arial" w:hAnsi="Arial" w:cs="Arial"/>
          <w:color w:val="000000"/>
        </w:rPr>
        <w:t xml:space="preserve">dei Commercialisti hanno sinora assicurato la necessaria </w:t>
      </w:r>
      <w:r>
        <w:rPr>
          <w:rFonts w:ascii="Arial" w:hAnsi="Arial" w:cs="Arial"/>
          <w:b/>
          <w:bCs/>
          <w:color w:val="000000"/>
        </w:rPr>
        <w:t>interdisciplinarità</w:t>
      </w:r>
      <w:r>
        <w:rPr>
          <w:rFonts w:ascii="Arial" w:hAnsi="Arial" w:cs="Arial"/>
          <w:color w:val="000000"/>
        </w:rPr>
        <w:t xml:space="preserve"> delle attuali Commissioni tributarie. Le </w:t>
      </w:r>
      <w:r>
        <w:rPr>
          <w:rFonts w:ascii="Arial" w:hAnsi="Arial" w:cs="Arial"/>
          <w:b/>
          <w:bCs/>
          <w:color w:val="000000"/>
        </w:rPr>
        <w:t>materie di contabilità aziendale e bilancio</w:t>
      </w:r>
      <w:r>
        <w:rPr>
          <w:rFonts w:ascii="Arial" w:hAnsi="Arial" w:cs="Arial"/>
          <w:color w:val="000000"/>
        </w:rPr>
        <w:t xml:space="preserve">, fondamentali per il giudizio tributario di merito, non sono invece rinvenibili nei laureati in giurisprudenza”. “Il nostro auspicio – conclude l’esponente dei commercialisti – è che su questo fronte si possa intervenire, anche al fine di realizzare gli obiettivi </w:t>
      </w:r>
      <w:r>
        <w:rPr>
          <w:rFonts w:ascii="Arial" w:hAnsi="Arial" w:cs="Arial"/>
          <w:color w:val="000000"/>
          <w:shd w:val="clear" w:color="auto" w:fill="FFFFFF"/>
        </w:rPr>
        <w:t>posti dal PNRR, il cui raggiungimento sarebbe grave mettere a rischio”.</w:t>
      </w:r>
    </w:p>
    <w:sectPr w:rsidR="00F5014E" w:rsidRPr="0085039B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C550" w14:textId="77777777" w:rsidR="00EC6A42" w:rsidRDefault="00EC6A42" w:rsidP="00627996">
      <w:r>
        <w:separator/>
      </w:r>
    </w:p>
  </w:endnote>
  <w:endnote w:type="continuationSeparator" w:id="0">
    <w:p w14:paraId="72BFDFF3" w14:textId="77777777" w:rsidR="00EC6A42" w:rsidRDefault="00EC6A42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04E2" w14:textId="77777777" w:rsidR="00EC6A42" w:rsidRDefault="00EC6A42" w:rsidP="00627996">
      <w:r>
        <w:separator/>
      </w:r>
    </w:p>
  </w:footnote>
  <w:footnote w:type="continuationSeparator" w:id="0">
    <w:p w14:paraId="11237337" w14:textId="77777777" w:rsidR="00EC6A42" w:rsidRDefault="00EC6A42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E572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65EFA"/>
    <w:rsid w:val="000D4341"/>
    <w:rsid w:val="000F2092"/>
    <w:rsid w:val="00103A6A"/>
    <w:rsid w:val="0012750F"/>
    <w:rsid w:val="001777C2"/>
    <w:rsid w:val="00184319"/>
    <w:rsid w:val="001B3759"/>
    <w:rsid w:val="001C217E"/>
    <w:rsid w:val="001C3CCF"/>
    <w:rsid w:val="001D0C92"/>
    <w:rsid w:val="001D448A"/>
    <w:rsid w:val="00206248"/>
    <w:rsid w:val="00210D0F"/>
    <w:rsid w:val="00237BEE"/>
    <w:rsid w:val="002B1170"/>
    <w:rsid w:val="002B1507"/>
    <w:rsid w:val="002E31F2"/>
    <w:rsid w:val="003248FA"/>
    <w:rsid w:val="003367D1"/>
    <w:rsid w:val="00365A9B"/>
    <w:rsid w:val="003C2FC0"/>
    <w:rsid w:val="003D617D"/>
    <w:rsid w:val="003E0594"/>
    <w:rsid w:val="00433438"/>
    <w:rsid w:val="00475BF8"/>
    <w:rsid w:val="004E7923"/>
    <w:rsid w:val="0056619E"/>
    <w:rsid w:val="00595991"/>
    <w:rsid w:val="005B7271"/>
    <w:rsid w:val="005F6394"/>
    <w:rsid w:val="00612609"/>
    <w:rsid w:val="00627996"/>
    <w:rsid w:val="00656CC5"/>
    <w:rsid w:val="00667303"/>
    <w:rsid w:val="0071223C"/>
    <w:rsid w:val="00734687"/>
    <w:rsid w:val="007478E3"/>
    <w:rsid w:val="00760D47"/>
    <w:rsid w:val="00781D06"/>
    <w:rsid w:val="00787DC5"/>
    <w:rsid w:val="00795430"/>
    <w:rsid w:val="0085039B"/>
    <w:rsid w:val="008D2C7A"/>
    <w:rsid w:val="00986D90"/>
    <w:rsid w:val="009A3D78"/>
    <w:rsid w:val="009D1104"/>
    <w:rsid w:val="009F0F28"/>
    <w:rsid w:val="009F27EC"/>
    <w:rsid w:val="00A00101"/>
    <w:rsid w:val="00AC6BB0"/>
    <w:rsid w:val="00AE2556"/>
    <w:rsid w:val="00AF7741"/>
    <w:rsid w:val="00B70B11"/>
    <w:rsid w:val="00BD4233"/>
    <w:rsid w:val="00C32042"/>
    <w:rsid w:val="00C95C0A"/>
    <w:rsid w:val="00CB75EA"/>
    <w:rsid w:val="00CD5A5F"/>
    <w:rsid w:val="00CE681E"/>
    <w:rsid w:val="00CF0355"/>
    <w:rsid w:val="00D0285A"/>
    <w:rsid w:val="00D04B7D"/>
    <w:rsid w:val="00D41E98"/>
    <w:rsid w:val="00DB4B99"/>
    <w:rsid w:val="00E00239"/>
    <w:rsid w:val="00E26A59"/>
    <w:rsid w:val="00E36853"/>
    <w:rsid w:val="00EC6A42"/>
    <w:rsid w:val="00F4452F"/>
    <w:rsid w:val="00F5014E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3D617D"/>
    <w:rPr>
      <w:rFonts w:eastAsiaTheme="minorEastAsia"/>
      <w:sz w:val="22"/>
      <w:szCs w:val="22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3D617D"/>
    <w:rPr>
      <w:rFonts w:eastAsiaTheme="minorEastAsia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A00101"/>
    <w:rPr>
      <w:b/>
      <w:bCs/>
    </w:rPr>
  </w:style>
  <w:style w:type="paragraph" w:customStyle="1" w:styleId="paragraph">
    <w:name w:val="paragraph"/>
    <w:basedOn w:val="Normale"/>
    <w:rsid w:val="000D4341"/>
    <w:rPr>
      <w:rFonts w:ascii="Calibri" w:hAnsi="Calibri" w:cs="Calibri"/>
      <w:sz w:val="22"/>
      <w:szCs w:val="22"/>
      <w:lang w:eastAsia="it-IT"/>
    </w:rPr>
  </w:style>
  <w:style w:type="character" w:customStyle="1" w:styleId="normaltextrun">
    <w:name w:val="normaltextrun"/>
    <w:basedOn w:val="Carpredefinitoparagrafo"/>
    <w:rsid w:val="000D4341"/>
  </w:style>
  <w:style w:type="character" w:customStyle="1" w:styleId="eop">
    <w:name w:val="eop"/>
    <w:basedOn w:val="Carpredefinitoparagrafo"/>
    <w:rsid w:val="000D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17</cp:revision>
  <dcterms:created xsi:type="dcterms:W3CDTF">2022-05-31T13:32:00Z</dcterms:created>
  <dcterms:modified xsi:type="dcterms:W3CDTF">2022-06-28T15:27:00Z</dcterms:modified>
</cp:coreProperties>
</file>