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87D5" w14:textId="77777777" w:rsidR="006C3945" w:rsidRPr="00AB1E44" w:rsidRDefault="006C3945" w:rsidP="00AB1E44">
      <w:pPr>
        <w:rPr>
          <w:rFonts w:ascii="Arial" w:eastAsia="Times New Roman" w:hAnsi="Arial" w:cs="Arial"/>
          <w:sz w:val="23"/>
          <w:szCs w:val="23"/>
        </w:rPr>
      </w:pPr>
      <w:bookmarkStart w:id="0" w:name="_Hlk534887837"/>
      <w:bookmarkStart w:id="1" w:name="_Hlk29975925"/>
    </w:p>
    <w:bookmarkEnd w:id="0"/>
    <w:bookmarkEnd w:id="1"/>
    <w:p w14:paraId="016069B8" w14:textId="77CD6BB5" w:rsidR="00AB1E44" w:rsidRPr="00AB1E44" w:rsidRDefault="00AB1E44" w:rsidP="00AB1E44">
      <w:pPr>
        <w:jc w:val="center"/>
        <w:rPr>
          <w:rFonts w:ascii="Arial" w:eastAsia="Times New Roman" w:hAnsi="Arial" w:cs="Arial"/>
          <w:b/>
          <w:bCs/>
          <w:color w:val="000000"/>
          <w:sz w:val="23"/>
          <w:szCs w:val="23"/>
        </w:rPr>
      </w:pPr>
      <w:r w:rsidRPr="00AB1E44">
        <w:rPr>
          <w:rFonts w:ascii="Arial" w:eastAsia="Times New Roman" w:hAnsi="Arial" w:cs="Arial"/>
          <w:b/>
          <w:bCs/>
          <w:sz w:val="23"/>
          <w:szCs w:val="23"/>
        </w:rPr>
        <w:t>Comunicato stampa</w:t>
      </w:r>
    </w:p>
    <w:p w14:paraId="6AC45DAE" w14:textId="77777777" w:rsidR="00AB1E44" w:rsidRPr="00AB1E44" w:rsidRDefault="00AB1E44" w:rsidP="00AB1E44">
      <w:pPr>
        <w:jc w:val="center"/>
        <w:rPr>
          <w:rFonts w:ascii="Arial" w:eastAsia="Times New Roman" w:hAnsi="Arial" w:cs="Arial"/>
          <w:color w:val="000000"/>
          <w:sz w:val="23"/>
          <w:szCs w:val="23"/>
          <w:lang w:eastAsia="it-IT"/>
        </w:rPr>
      </w:pPr>
      <w:r w:rsidRPr="00AB1E44">
        <w:rPr>
          <w:rFonts w:ascii="Arial" w:eastAsia="Times New Roman" w:hAnsi="Arial" w:cs="Arial"/>
          <w:b/>
          <w:bCs/>
          <w:color w:val="000000"/>
          <w:sz w:val="23"/>
          <w:szCs w:val="23"/>
          <w:shd w:val="clear" w:color="auto" w:fill="FFFFFF"/>
          <w:lang w:eastAsia="it-IT"/>
        </w:rPr>
        <w:br/>
      </w:r>
      <w:r w:rsidRPr="00AB1E44">
        <w:rPr>
          <w:rFonts w:ascii="Arial" w:eastAsia="Times New Roman" w:hAnsi="Arial" w:cs="Arial"/>
          <w:b/>
          <w:bCs/>
          <w:color w:val="000000"/>
          <w:sz w:val="23"/>
          <w:szCs w:val="23"/>
          <w:lang w:eastAsia="it-IT"/>
        </w:rPr>
        <w:t>COMMERCIALISTI: ATTENZIONE PUNTATA SULLE NOVITA’ LEGISLATIVE E GIURISPRUDENZIALI RELATIVE ALL’INSOLVENZA IN AMBITO TRANSNAZIONALE</w:t>
      </w:r>
    </w:p>
    <w:p w14:paraId="73671DB1" w14:textId="5E4DC5A4" w:rsidR="00AB1E44" w:rsidRPr="00AB1E44" w:rsidRDefault="00AB1E44" w:rsidP="00AB1E44">
      <w:pPr>
        <w:shd w:val="clear" w:color="auto" w:fill="FFFFFF"/>
        <w:jc w:val="center"/>
        <w:rPr>
          <w:rFonts w:ascii="Arial" w:eastAsia="Times New Roman" w:hAnsi="Arial" w:cs="Arial"/>
          <w:color w:val="000000"/>
          <w:sz w:val="23"/>
          <w:szCs w:val="23"/>
          <w:lang w:eastAsia="it-IT"/>
        </w:rPr>
      </w:pPr>
      <w:r w:rsidRPr="00AB1E44">
        <w:rPr>
          <w:rFonts w:ascii="Arial" w:eastAsia="Times New Roman" w:hAnsi="Arial" w:cs="Arial"/>
          <w:b/>
          <w:bCs/>
          <w:color w:val="000000"/>
          <w:sz w:val="23"/>
          <w:szCs w:val="23"/>
          <w:lang w:eastAsia="it-IT"/>
        </w:rPr>
        <w:t xml:space="preserve">Pubblicato </w:t>
      </w:r>
      <w:r w:rsidR="002575F2">
        <w:rPr>
          <w:rFonts w:ascii="Arial" w:eastAsia="Times New Roman" w:hAnsi="Arial" w:cs="Arial"/>
          <w:b/>
          <w:bCs/>
          <w:color w:val="000000"/>
          <w:sz w:val="23"/>
          <w:szCs w:val="23"/>
          <w:lang w:eastAsia="it-IT"/>
        </w:rPr>
        <w:t>“</w:t>
      </w:r>
      <w:r w:rsidRPr="00AB1E44">
        <w:rPr>
          <w:rFonts w:ascii="Arial" w:eastAsia="Times New Roman" w:hAnsi="Arial" w:cs="Arial"/>
          <w:b/>
          <w:bCs/>
          <w:color w:val="000000"/>
          <w:sz w:val="23"/>
          <w:szCs w:val="23"/>
          <w:lang w:eastAsia="it-IT"/>
        </w:rPr>
        <w:t xml:space="preserve">Osservatorio Internazionale Crisi d’Impresa” del Consiglio e della Fondazione </w:t>
      </w:r>
      <w:r w:rsidR="0077316F">
        <w:rPr>
          <w:rFonts w:ascii="Arial" w:eastAsia="Times New Roman" w:hAnsi="Arial" w:cs="Arial"/>
          <w:b/>
          <w:bCs/>
          <w:color w:val="000000"/>
          <w:sz w:val="23"/>
          <w:szCs w:val="23"/>
          <w:lang w:eastAsia="it-IT"/>
        </w:rPr>
        <w:t>n</w:t>
      </w:r>
      <w:r w:rsidRPr="00AB1E44">
        <w:rPr>
          <w:rFonts w:ascii="Arial" w:eastAsia="Times New Roman" w:hAnsi="Arial" w:cs="Arial"/>
          <w:b/>
          <w:bCs/>
          <w:color w:val="000000"/>
          <w:sz w:val="23"/>
          <w:szCs w:val="23"/>
          <w:lang w:eastAsia="it-IT"/>
        </w:rPr>
        <w:t>azional</w:t>
      </w:r>
      <w:r w:rsidR="0077316F">
        <w:rPr>
          <w:rFonts w:ascii="Arial" w:eastAsia="Times New Roman" w:hAnsi="Arial" w:cs="Arial"/>
          <w:b/>
          <w:bCs/>
          <w:color w:val="000000"/>
          <w:sz w:val="23"/>
          <w:szCs w:val="23"/>
          <w:lang w:eastAsia="it-IT"/>
        </w:rPr>
        <w:t xml:space="preserve">i </w:t>
      </w:r>
      <w:r w:rsidRPr="00AB1E44">
        <w:rPr>
          <w:rFonts w:ascii="Arial" w:eastAsia="Times New Roman" w:hAnsi="Arial" w:cs="Arial"/>
          <w:b/>
          <w:bCs/>
          <w:color w:val="000000"/>
          <w:sz w:val="23"/>
          <w:szCs w:val="23"/>
          <w:lang w:eastAsia="it-IT"/>
        </w:rPr>
        <w:t xml:space="preserve">dei </w:t>
      </w:r>
      <w:r w:rsidR="0077316F">
        <w:rPr>
          <w:rFonts w:ascii="Arial" w:eastAsia="Times New Roman" w:hAnsi="Arial" w:cs="Arial"/>
          <w:b/>
          <w:bCs/>
          <w:color w:val="000000"/>
          <w:sz w:val="23"/>
          <w:szCs w:val="23"/>
          <w:lang w:eastAsia="it-IT"/>
        </w:rPr>
        <w:t>c</w:t>
      </w:r>
      <w:r w:rsidRPr="00AB1E44">
        <w:rPr>
          <w:rFonts w:ascii="Arial" w:eastAsia="Times New Roman" w:hAnsi="Arial" w:cs="Arial"/>
          <w:b/>
          <w:bCs/>
          <w:color w:val="000000"/>
          <w:sz w:val="23"/>
          <w:szCs w:val="23"/>
          <w:lang w:eastAsia="it-IT"/>
        </w:rPr>
        <w:t>ommercialisti</w:t>
      </w:r>
    </w:p>
    <w:p w14:paraId="55EB0B62" w14:textId="77777777" w:rsidR="00AB1E44" w:rsidRPr="00AB1E44" w:rsidRDefault="00AB1E44" w:rsidP="00AB1E44">
      <w:pPr>
        <w:shd w:val="clear" w:color="auto" w:fill="FFFFFF"/>
        <w:jc w:val="both"/>
        <w:rPr>
          <w:rFonts w:ascii="Arial" w:eastAsia="Times New Roman" w:hAnsi="Arial" w:cs="Arial"/>
          <w:color w:val="000000"/>
          <w:sz w:val="23"/>
          <w:szCs w:val="23"/>
          <w:lang w:eastAsia="it-IT"/>
        </w:rPr>
      </w:pPr>
    </w:p>
    <w:p w14:paraId="352080A6" w14:textId="4C23F548" w:rsidR="00AB1E44" w:rsidRPr="00AB1E44" w:rsidRDefault="00AB1E44" w:rsidP="00AB1E44">
      <w:pPr>
        <w:shd w:val="clear" w:color="auto" w:fill="FFFFFF"/>
        <w:jc w:val="both"/>
        <w:rPr>
          <w:rFonts w:ascii="Arial" w:eastAsia="Times New Roman" w:hAnsi="Arial" w:cs="Arial"/>
          <w:color w:val="000000"/>
          <w:sz w:val="23"/>
          <w:szCs w:val="23"/>
          <w:lang w:eastAsia="it-IT"/>
        </w:rPr>
      </w:pPr>
      <w:r w:rsidRPr="00AB1E44">
        <w:rPr>
          <w:rFonts w:ascii="Arial" w:eastAsia="Times New Roman" w:hAnsi="Arial" w:cs="Arial"/>
          <w:i/>
          <w:iCs/>
          <w:color w:val="000000"/>
          <w:sz w:val="23"/>
          <w:szCs w:val="23"/>
          <w:lang w:eastAsia="it-IT"/>
        </w:rPr>
        <w:t>Roma, 28 aprile 2022</w:t>
      </w:r>
      <w:r w:rsidRPr="00AB1E44">
        <w:rPr>
          <w:rFonts w:ascii="Arial" w:eastAsia="Times New Roman" w:hAnsi="Arial" w:cs="Arial"/>
          <w:color w:val="000000"/>
          <w:sz w:val="23"/>
          <w:szCs w:val="23"/>
          <w:lang w:eastAsia="it-IT"/>
        </w:rPr>
        <w:t xml:space="preserve"> – Il Consiglio e la Fondazione </w:t>
      </w:r>
      <w:r w:rsidR="0077316F">
        <w:rPr>
          <w:rFonts w:ascii="Arial" w:eastAsia="Times New Roman" w:hAnsi="Arial" w:cs="Arial"/>
          <w:color w:val="000000"/>
          <w:sz w:val="23"/>
          <w:szCs w:val="23"/>
          <w:lang w:eastAsia="it-IT"/>
        </w:rPr>
        <w:t>n</w:t>
      </w:r>
      <w:r w:rsidRPr="00AB1E44">
        <w:rPr>
          <w:rFonts w:ascii="Arial" w:eastAsia="Times New Roman" w:hAnsi="Arial" w:cs="Arial"/>
          <w:color w:val="000000"/>
          <w:sz w:val="23"/>
          <w:szCs w:val="23"/>
          <w:lang w:eastAsia="it-IT"/>
        </w:rPr>
        <w:t>azional</w:t>
      </w:r>
      <w:r w:rsidR="0077316F">
        <w:rPr>
          <w:rFonts w:ascii="Arial" w:eastAsia="Times New Roman" w:hAnsi="Arial" w:cs="Arial"/>
          <w:color w:val="000000"/>
          <w:sz w:val="23"/>
          <w:szCs w:val="23"/>
          <w:lang w:eastAsia="it-IT"/>
        </w:rPr>
        <w:t>i</w:t>
      </w:r>
      <w:r w:rsidRPr="00AB1E44">
        <w:rPr>
          <w:rFonts w:ascii="Arial" w:eastAsia="Times New Roman" w:hAnsi="Arial" w:cs="Arial"/>
          <w:color w:val="000000"/>
          <w:sz w:val="23"/>
          <w:szCs w:val="23"/>
          <w:lang w:eastAsia="it-IT"/>
        </w:rPr>
        <w:t xml:space="preserve"> dei </w:t>
      </w:r>
      <w:r w:rsidR="0077316F">
        <w:rPr>
          <w:rFonts w:ascii="Arial" w:eastAsia="Times New Roman" w:hAnsi="Arial" w:cs="Arial"/>
          <w:color w:val="000000"/>
          <w:sz w:val="23"/>
          <w:szCs w:val="23"/>
          <w:lang w:eastAsia="it-IT"/>
        </w:rPr>
        <w:t>c</w:t>
      </w:r>
      <w:r w:rsidRPr="00AB1E44">
        <w:rPr>
          <w:rFonts w:ascii="Arial" w:eastAsia="Times New Roman" w:hAnsi="Arial" w:cs="Arial"/>
          <w:color w:val="000000"/>
          <w:sz w:val="23"/>
          <w:szCs w:val="23"/>
          <w:lang w:eastAsia="it-IT"/>
        </w:rPr>
        <w:t>ommercialisti hanno pubblicato il sesto numero dell’Osservatorio Internazionale Crisi d’Impresa. Lo studio commenta le novità legislative e giurisprudenziali relative all’insolvenza in ambito transnazionale. </w:t>
      </w:r>
    </w:p>
    <w:p w14:paraId="3AF4362C" w14:textId="77777777" w:rsidR="00AB1E44" w:rsidRPr="00AB1E44" w:rsidRDefault="00AB1E44" w:rsidP="00AB1E44">
      <w:pPr>
        <w:shd w:val="clear" w:color="auto" w:fill="FFFFFF"/>
        <w:jc w:val="both"/>
        <w:rPr>
          <w:rFonts w:ascii="Arial" w:eastAsia="Times New Roman" w:hAnsi="Arial" w:cs="Arial"/>
          <w:color w:val="000000"/>
          <w:sz w:val="23"/>
          <w:szCs w:val="23"/>
          <w:lang w:eastAsia="it-IT"/>
        </w:rPr>
      </w:pPr>
    </w:p>
    <w:p w14:paraId="45CF15F8" w14:textId="3ADD808A" w:rsidR="00AB1E44" w:rsidRDefault="00AB1E44" w:rsidP="00AB1E44">
      <w:pPr>
        <w:jc w:val="both"/>
        <w:rPr>
          <w:rFonts w:ascii="Arial" w:eastAsia="Times New Roman" w:hAnsi="Arial" w:cs="Arial"/>
          <w:color w:val="000000"/>
          <w:sz w:val="23"/>
          <w:szCs w:val="23"/>
          <w:lang w:eastAsia="it-IT"/>
        </w:rPr>
      </w:pPr>
      <w:r w:rsidRPr="00AB1E44">
        <w:rPr>
          <w:rFonts w:ascii="Arial" w:eastAsia="Times New Roman" w:hAnsi="Arial" w:cs="Arial"/>
          <w:color w:val="000000"/>
          <w:sz w:val="23"/>
          <w:szCs w:val="23"/>
          <w:lang w:eastAsia="it-IT"/>
        </w:rPr>
        <w:t>Tra le novità normative si segnalano, in Europa, l’approvazione dell’</w:t>
      </w:r>
      <w:proofErr w:type="spellStart"/>
      <w:r w:rsidRPr="00AB1E44">
        <w:rPr>
          <w:rFonts w:ascii="Arial" w:eastAsia="Times New Roman" w:hAnsi="Arial" w:cs="Arial"/>
          <w:color w:val="000000"/>
          <w:sz w:val="23"/>
          <w:szCs w:val="23"/>
          <w:lang w:eastAsia="it-IT"/>
        </w:rPr>
        <w:t>anteproyecto</w:t>
      </w:r>
      <w:proofErr w:type="spellEnd"/>
      <w:r w:rsidRPr="00AB1E44">
        <w:rPr>
          <w:rFonts w:ascii="Arial" w:eastAsia="Times New Roman" w:hAnsi="Arial" w:cs="Arial"/>
          <w:color w:val="000000"/>
          <w:sz w:val="23"/>
          <w:szCs w:val="23"/>
          <w:lang w:eastAsia="it-IT"/>
        </w:rPr>
        <w:t xml:space="preserve"> del texto </w:t>
      </w:r>
      <w:proofErr w:type="spellStart"/>
      <w:r w:rsidRPr="00AB1E44">
        <w:rPr>
          <w:rFonts w:ascii="Arial" w:eastAsia="Times New Roman" w:hAnsi="Arial" w:cs="Arial"/>
          <w:color w:val="000000"/>
          <w:sz w:val="23"/>
          <w:szCs w:val="23"/>
          <w:lang w:eastAsia="it-IT"/>
        </w:rPr>
        <w:t>refundido</w:t>
      </w:r>
      <w:proofErr w:type="spellEnd"/>
      <w:r w:rsidRPr="00AB1E44">
        <w:rPr>
          <w:rFonts w:ascii="Arial" w:eastAsia="Times New Roman" w:hAnsi="Arial" w:cs="Arial"/>
          <w:color w:val="000000"/>
          <w:sz w:val="23"/>
          <w:szCs w:val="23"/>
          <w:lang w:eastAsia="it-IT"/>
        </w:rPr>
        <w:t xml:space="preserve"> de la </w:t>
      </w:r>
      <w:proofErr w:type="spellStart"/>
      <w:r w:rsidRPr="00AB1E44">
        <w:rPr>
          <w:rFonts w:ascii="Arial" w:eastAsia="Times New Roman" w:hAnsi="Arial" w:cs="Arial"/>
          <w:color w:val="000000"/>
          <w:sz w:val="23"/>
          <w:szCs w:val="23"/>
          <w:lang w:eastAsia="it-IT"/>
        </w:rPr>
        <w:t>ley</w:t>
      </w:r>
      <w:proofErr w:type="spellEnd"/>
      <w:r w:rsidRPr="00AB1E44">
        <w:rPr>
          <w:rFonts w:ascii="Arial" w:eastAsia="Times New Roman" w:hAnsi="Arial" w:cs="Arial"/>
          <w:color w:val="000000"/>
          <w:sz w:val="23"/>
          <w:szCs w:val="23"/>
          <w:lang w:eastAsia="it-IT"/>
        </w:rPr>
        <w:t xml:space="preserve"> </w:t>
      </w:r>
      <w:proofErr w:type="spellStart"/>
      <w:r w:rsidRPr="00AB1E44">
        <w:rPr>
          <w:rFonts w:ascii="Arial" w:eastAsia="Times New Roman" w:hAnsi="Arial" w:cs="Arial"/>
          <w:color w:val="000000"/>
          <w:sz w:val="23"/>
          <w:szCs w:val="23"/>
          <w:lang w:eastAsia="it-IT"/>
        </w:rPr>
        <w:t>concursal</w:t>
      </w:r>
      <w:proofErr w:type="spellEnd"/>
      <w:r w:rsidRPr="00AB1E44">
        <w:rPr>
          <w:rFonts w:ascii="Arial" w:eastAsia="Times New Roman" w:hAnsi="Arial" w:cs="Arial"/>
          <w:color w:val="000000"/>
          <w:sz w:val="23"/>
          <w:szCs w:val="23"/>
          <w:lang w:eastAsia="it-IT"/>
        </w:rPr>
        <w:t xml:space="preserve"> spagnola e, negli altri continenti, la nuova legge brasiliana per la costituzione della </w:t>
      </w:r>
      <w:proofErr w:type="spellStart"/>
      <w:r w:rsidRPr="00AB1E44">
        <w:rPr>
          <w:rFonts w:ascii="Arial" w:eastAsia="Times New Roman" w:hAnsi="Arial" w:cs="Arial"/>
          <w:color w:val="000000"/>
          <w:sz w:val="23"/>
          <w:szCs w:val="23"/>
          <w:lang w:eastAsia="it-IT"/>
        </w:rPr>
        <w:t>Sociedade</w:t>
      </w:r>
      <w:proofErr w:type="spellEnd"/>
      <w:r w:rsidRPr="00AB1E44">
        <w:rPr>
          <w:rFonts w:ascii="Arial" w:eastAsia="Times New Roman" w:hAnsi="Arial" w:cs="Arial"/>
          <w:color w:val="000000"/>
          <w:sz w:val="23"/>
          <w:szCs w:val="23"/>
          <w:lang w:eastAsia="it-IT"/>
        </w:rPr>
        <w:t xml:space="preserve"> anonima do </w:t>
      </w:r>
      <w:proofErr w:type="spellStart"/>
      <w:r w:rsidRPr="00AB1E44">
        <w:rPr>
          <w:rFonts w:ascii="Arial" w:eastAsia="Times New Roman" w:hAnsi="Arial" w:cs="Arial"/>
          <w:color w:val="000000"/>
          <w:sz w:val="23"/>
          <w:szCs w:val="23"/>
          <w:lang w:eastAsia="it-IT"/>
        </w:rPr>
        <w:t>Futebol</w:t>
      </w:r>
      <w:proofErr w:type="spellEnd"/>
      <w:r w:rsidRPr="00AB1E44">
        <w:rPr>
          <w:rFonts w:ascii="Arial" w:eastAsia="Times New Roman" w:hAnsi="Arial" w:cs="Arial"/>
          <w:color w:val="000000"/>
          <w:sz w:val="23"/>
          <w:szCs w:val="23"/>
          <w:lang w:eastAsia="it-IT"/>
        </w:rPr>
        <w:t xml:space="preserve"> nonché le disposizioni recate dal decreto-legge federale n. 35/2021 emanato negli Emirati Arabi, a integrazione della normativa sull’insolvenza, per declinare le responsabilità dell’organo di amministrazione di società fallite. </w:t>
      </w:r>
    </w:p>
    <w:p w14:paraId="5E9904C0" w14:textId="77777777" w:rsidR="00AB1E44" w:rsidRPr="00AB1E44" w:rsidRDefault="00AB1E44" w:rsidP="00AB1E44">
      <w:pPr>
        <w:jc w:val="both"/>
        <w:rPr>
          <w:rFonts w:ascii="Arial" w:eastAsia="Times New Roman" w:hAnsi="Arial" w:cs="Arial"/>
          <w:color w:val="000000"/>
          <w:sz w:val="23"/>
          <w:szCs w:val="23"/>
          <w:lang w:eastAsia="it-IT"/>
        </w:rPr>
      </w:pPr>
    </w:p>
    <w:p w14:paraId="348A98B8" w14:textId="2F5812B1" w:rsidR="00AB1E44" w:rsidRDefault="00AB1E44" w:rsidP="00AB1E44">
      <w:pPr>
        <w:jc w:val="both"/>
        <w:rPr>
          <w:rFonts w:ascii="Arial" w:eastAsia="Times New Roman" w:hAnsi="Arial" w:cs="Arial"/>
          <w:color w:val="000000"/>
          <w:sz w:val="23"/>
          <w:szCs w:val="23"/>
          <w:lang w:eastAsia="it-IT"/>
        </w:rPr>
      </w:pPr>
      <w:r w:rsidRPr="00AB1E44">
        <w:rPr>
          <w:rFonts w:ascii="Arial" w:eastAsia="Times New Roman" w:hAnsi="Arial" w:cs="Arial"/>
          <w:color w:val="000000"/>
          <w:sz w:val="23"/>
          <w:szCs w:val="23"/>
          <w:lang w:eastAsia="it-IT"/>
        </w:rPr>
        <w:t>Nella sezione relativa alle Novità giurisprudenziali, oltre alla presentazione di nuovi e recenti casi, continua il monitoraggio delle procedure già esaminate nei precedenti numeri dell’</w:t>
      </w:r>
      <w:proofErr w:type="spellStart"/>
      <w:r w:rsidRPr="00AB1E44">
        <w:rPr>
          <w:rFonts w:ascii="Arial" w:eastAsia="Times New Roman" w:hAnsi="Arial" w:cs="Arial"/>
          <w:color w:val="000000"/>
          <w:sz w:val="23"/>
          <w:szCs w:val="23"/>
          <w:lang w:eastAsia="it-IT"/>
        </w:rPr>
        <w:t>osservsatorio</w:t>
      </w:r>
      <w:proofErr w:type="spellEnd"/>
      <w:r w:rsidRPr="00AB1E44">
        <w:rPr>
          <w:rFonts w:ascii="Arial" w:eastAsia="Times New Roman" w:hAnsi="Arial" w:cs="Arial"/>
          <w:color w:val="000000"/>
          <w:sz w:val="23"/>
          <w:szCs w:val="23"/>
          <w:lang w:eastAsia="it-IT"/>
        </w:rPr>
        <w:t xml:space="preserve"> che si distinguono per la peculiarità delle soluzioni adottate o la specificità dei casi affrontati dai giudici. Per quanto attiene alle segnalazioni dal mondo islamico, di grande interesse si rivela la ristrutturazione del gruppo </w:t>
      </w:r>
      <w:proofErr w:type="spellStart"/>
      <w:r w:rsidRPr="00AB1E44">
        <w:rPr>
          <w:rFonts w:ascii="Arial" w:eastAsia="Times New Roman" w:hAnsi="Arial" w:cs="Arial"/>
          <w:color w:val="000000"/>
          <w:sz w:val="23"/>
          <w:szCs w:val="23"/>
          <w:lang w:eastAsia="it-IT"/>
        </w:rPr>
        <w:t>Azmel</w:t>
      </w:r>
      <w:proofErr w:type="spellEnd"/>
      <w:r w:rsidRPr="00AB1E44">
        <w:rPr>
          <w:rFonts w:ascii="Arial" w:eastAsia="Times New Roman" w:hAnsi="Arial" w:cs="Arial"/>
          <w:color w:val="000000"/>
          <w:sz w:val="23"/>
          <w:szCs w:val="23"/>
          <w:lang w:eastAsia="it-IT"/>
        </w:rPr>
        <w:t xml:space="preserve"> </w:t>
      </w:r>
      <w:proofErr w:type="spellStart"/>
      <w:r w:rsidRPr="00AB1E44">
        <w:rPr>
          <w:rFonts w:ascii="Arial" w:eastAsia="Times New Roman" w:hAnsi="Arial" w:cs="Arial"/>
          <w:color w:val="000000"/>
          <w:sz w:val="23"/>
          <w:szCs w:val="23"/>
          <w:lang w:eastAsia="it-IT"/>
        </w:rPr>
        <w:t>Contracting</w:t>
      </w:r>
      <w:proofErr w:type="spellEnd"/>
      <w:r w:rsidRPr="00AB1E44">
        <w:rPr>
          <w:rFonts w:ascii="Arial" w:eastAsia="Times New Roman" w:hAnsi="Arial" w:cs="Arial"/>
          <w:color w:val="000000"/>
          <w:sz w:val="23"/>
          <w:szCs w:val="23"/>
          <w:lang w:eastAsia="it-IT"/>
        </w:rPr>
        <w:t xml:space="preserve"> il cui piano, per la prima volta, ha previsto l’utilizzo dei “</w:t>
      </w:r>
      <w:proofErr w:type="spellStart"/>
      <w:r w:rsidRPr="00AB1E44">
        <w:rPr>
          <w:rFonts w:ascii="Arial" w:eastAsia="Times New Roman" w:hAnsi="Arial" w:cs="Arial"/>
          <w:color w:val="000000"/>
          <w:sz w:val="23"/>
          <w:szCs w:val="23"/>
          <w:lang w:eastAsia="it-IT"/>
        </w:rPr>
        <w:t>perpetual</w:t>
      </w:r>
      <w:proofErr w:type="spellEnd"/>
      <w:r w:rsidRPr="00AB1E44">
        <w:rPr>
          <w:rFonts w:ascii="Arial" w:eastAsia="Times New Roman" w:hAnsi="Arial" w:cs="Arial"/>
          <w:color w:val="000000"/>
          <w:sz w:val="23"/>
          <w:szCs w:val="23"/>
          <w:lang w:eastAsia="it-IT"/>
        </w:rPr>
        <w:t xml:space="preserve"> </w:t>
      </w:r>
      <w:proofErr w:type="spellStart"/>
      <w:r w:rsidRPr="00AB1E44">
        <w:rPr>
          <w:rFonts w:ascii="Arial" w:eastAsia="Times New Roman" w:hAnsi="Arial" w:cs="Arial"/>
          <w:color w:val="000000"/>
          <w:sz w:val="23"/>
          <w:szCs w:val="23"/>
          <w:lang w:eastAsia="it-IT"/>
        </w:rPr>
        <w:t>sukuk</w:t>
      </w:r>
      <w:proofErr w:type="spellEnd"/>
      <w:r w:rsidRPr="00AB1E44">
        <w:rPr>
          <w:rFonts w:ascii="Arial" w:eastAsia="Times New Roman" w:hAnsi="Arial" w:cs="Arial"/>
          <w:color w:val="000000"/>
          <w:sz w:val="23"/>
          <w:szCs w:val="23"/>
          <w:lang w:eastAsia="it-IT"/>
        </w:rPr>
        <w:t>”, particolare categoria di certificati di investimento conforme alle regole della Sharia. </w:t>
      </w:r>
    </w:p>
    <w:p w14:paraId="60D1DB14" w14:textId="77777777" w:rsidR="00AB1E44" w:rsidRPr="00AB1E44" w:rsidRDefault="00AB1E44" w:rsidP="00AB1E44">
      <w:pPr>
        <w:jc w:val="both"/>
        <w:rPr>
          <w:rFonts w:ascii="Arial" w:eastAsia="Times New Roman" w:hAnsi="Arial" w:cs="Arial"/>
          <w:color w:val="000000"/>
          <w:sz w:val="23"/>
          <w:szCs w:val="23"/>
          <w:lang w:eastAsia="it-IT"/>
        </w:rPr>
      </w:pPr>
    </w:p>
    <w:p w14:paraId="4411AB94" w14:textId="5FF946B7" w:rsidR="00AB1E44" w:rsidRDefault="00AB1E44" w:rsidP="00AB1E44">
      <w:pPr>
        <w:jc w:val="both"/>
        <w:rPr>
          <w:rFonts w:ascii="Arial" w:eastAsia="Times New Roman" w:hAnsi="Arial" w:cs="Arial"/>
          <w:color w:val="000000"/>
          <w:sz w:val="23"/>
          <w:szCs w:val="23"/>
          <w:lang w:eastAsia="it-IT"/>
        </w:rPr>
      </w:pPr>
      <w:r w:rsidRPr="00AB1E44">
        <w:rPr>
          <w:rFonts w:ascii="Arial" w:eastAsia="Times New Roman" w:hAnsi="Arial" w:cs="Arial"/>
          <w:color w:val="000000"/>
          <w:sz w:val="23"/>
          <w:szCs w:val="23"/>
          <w:lang w:eastAsia="it-IT"/>
        </w:rPr>
        <w:t xml:space="preserve">Tra le altre pronunce commentate, in considerazione delle rilevanti questioni giuridiche sottese, degne di nota sono la sentenza della Corte di Giustizia dell’Unione Europea del 24 marzo 2022 (causa C- 723/2020) Galapagos che contribuisce a chiarire l’ambito applicativo dell’art. 3, paragrafo 1, del Regolamento (UE) 2015/848, nonché le pronunce relative alle procedure di business rescue, nella giurisdizione sudafricana, di Shiva </w:t>
      </w:r>
      <w:proofErr w:type="spellStart"/>
      <w:r w:rsidRPr="00AB1E44">
        <w:rPr>
          <w:rFonts w:ascii="Arial" w:eastAsia="Times New Roman" w:hAnsi="Arial" w:cs="Arial"/>
          <w:color w:val="000000"/>
          <w:sz w:val="23"/>
          <w:szCs w:val="23"/>
          <w:lang w:eastAsia="it-IT"/>
        </w:rPr>
        <w:t>Uranium</w:t>
      </w:r>
      <w:proofErr w:type="spellEnd"/>
      <w:r w:rsidRPr="00AB1E44">
        <w:rPr>
          <w:rFonts w:ascii="Arial" w:eastAsia="Times New Roman" w:hAnsi="Arial" w:cs="Arial"/>
          <w:color w:val="000000"/>
          <w:sz w:val="23"/>
          <w:szCs w:val="23"/>
          <w:lang w:eastAsia="it-IT"/>
        </w:rPr>
        <w:t xml:space="preserve"> e Optimum </w:t>
      </w:r>
      <w:proofErr w:type="spellStart"/>
      <w:r w:rsidRPr="00AB1E44">
        <w:rPr>
          <w:rFonts w:ascii="Arial" w:eastAsia="Times New Roman" w:hAnsi="Arial" w:cs="Arial"/>
          <w:color w:val="000000"/>
          <w:sz w:val="23"/>
          <w:szCs w:val="23"/>
          <w:lang w:eastAsia="it-IT"/>
        </w:rPr>
        <w:t>Coal</w:t>
      </w:r>
      <w:proofErr w:type="spellEnd"/>
      <w:r w:rsidRPr="00AB1E44">
        <w:rPr>
          <w:rFonts w:ascii="Arial" w:eastAsia="Times New Roman" w:hAnsi="Arial" w:cs="Arial"/>
          <w:color w:val="000000"/>
          <w:sz w:val="23"/>
          <w:szCs w:val="23"/>
          <w:lang w:eastAsia="it-IT"/>
        </w:rPr>
        <w:t xml:space="preserve"> Terminal, ove vengono esaminate le problematiche relative ai rapporti tra organo di amministrazione e business rescue </w:t>
      </w:r>
      <w:proofErr w:type="spellStart"/>
      <w:r w:rsidRPr="00AB1E44">
        <w:rPr>
          <w:rFonts w:ascii="Arial" w:eastAsia="Times New Roman" w:hAnsi="Arial" w:cs="Arial"/>
          <w:color w:val="000000"/>
          <w:sz w:val="23"/>
          <w:szCs w:val="23"/>
          <w:lang w:eastAsia="it-IT"/>
        </w:rPr>
        <w:t>practitioners</w:t>
      </w:r>
      <w:proofErr w:type="spellEnd"/>
      <w:r w:rsidRPr="00AB1E44">
        <w:rPr>
          <w:rFonts w:ascii="Arial" w:eastAsia="Times New Roman" w:hAnsi="Arial" w:cs="Arial"/>
          <w:color w:val="000000"/>
          <w:sz w:val="23"/>
          <w:szCs w:val="23"/>
          <w:lang w:eastAsia="it-IT"/>
        </w:rPr>
        <w:t>. </w:t>
      </w:r>
    </w:p>
    <w:p w14:paraId="791AB8D0" w14:textId="77777777" w:rsidR="00AB1E44" w:rsidRPr="00AB1E44" w:rsidRDefault="00AB1E44" w:rsidP="00AB1E44">
      <w:pPr>
        <w:jc w:val="both"/>
        <w:rPr>
          <w:rFonts w:ascii="Arial" w:eastAsia="Times New Roman" w:hAnsi="Arial" w:cs="Arial"/>
          <w:color w:val="000000"/>
          <w:sz w:val="23"/>
          <w:szCs w:val="23"/>
          <w:lang w:eastAsia="it-IT"/>
        </w:rPr>
      </w:pPr>
    </w:p>
    <w:p w14:paraId="74F01358" w14:textId="1130F7B4" w:rsidR="00AB1E44" w:rsidRDefault="00AB1E44" w:rsidP="00AB1E44">
      <w:pPr>
        <w:jc w:val="both"/>
        <w:rPr>
          <w:rFonts w:ascii="Arial" w:eastAsia="Times New Roman" w:hAnsi="Arial" w:cs="Arial"/>
          <w:color w:val="000000"/>
          <w:sz w:val="23"/>
          <w:szCs w:val="23"/>
          <w:lang w:eastAsia="it-IT"/>
        </w:rPr>
      </w:pPr>
      <w:r w:rsidRPr="00AB1E44">
        <w:rPr>
          <w:rFonts w:ascii="Arial" w:eastAsia="Times New Roman" w:hAnsi="Arial" w:cs="Arial"/>
          <w:color w:val="000000"/>
          <w:sz w:val="23"/>
          <w:szCs w:val="23"/>
          <w:lang w:eastAsia="it-IT"/>
        </w:rPr>
        <w:t xml:space="preserve">A tale ultimo riguardo, l’Osservatorio pone in risalto la centralità del ruolo svolto dagli </w:t>
      </w:r>
      <w:proofErr w:type="spellStart"/>
      <w:r w:rsidRPr="00AB1E44">
        <w:rPr>
          <w:rFonts w:ascii="Arial" w:eastAsia="Times New Roman" w:hAnsi="Arial" w:cs="Arial"/>
          <w:color w:val="000000"/>
          <w:sz w:val="23"/>
          <w:szCs w:val="23"/>
          <w:lang w:eastAsia="it-IT"/>
        </w:rPr>
        <w:t>insolvency</w:t>
      </w:r>
      <w:proofErr w:type="spellEnd"/>
      <w:r w:rsidRPr="00AB1E44">
        <w:rPr>
          <w:rFonts w:ascii="Arial" w:eastAsia="Times New Roman" w:hAnsi="Arial" w:cs="Arial"/>
          <w:color w:val="000000"/>
          <w:sz w:val="23"/>
          <w:szCs w:val="23"/>
          <w:lang w:eastAsia="it-IT"/>
        </w:rPr>
        <w:t xml:space="preserve"> </w:t>
      </w:r>
      <w:proofErr w:type="spellStart"/>
      <w:r w:rsidRPr="00AB1E44">
        <w:rPr>
          <w:rFonts w:ascii="Arial" w:eastAsia="Times New Roman" w:hAnsi="Arial" w:cs="Arial"/>
          <w:color w:val="000000"/>
          <w:sz w:val="23"/>
          <w:szCs w:val="23"/>
          <w:lang w:eastAsia="it-IT"/>
        </w:rPr>
        <w:t>pratictioners</w:t>
      </w:r>
      <w:proofErr w:type="spellEnd"/>
      <w:r w:rsidRPr="00AB1E44">
        <w:rPr>
          <w:rFonts w:ascii="Arial" w:eastAsia="Times New Roman" w:hAnsi="Arial" w:cs="Arial"/>
          <w:color w:val="000000"/>
          <w:sz w:val="23"/>
          <w:szCs w:val="23"/>
          <w:lang w:eastAsia="it-IT"/>
        </w:rPr>
        <w:t xml:space="preserve"> nelle procedure di ristrutturazione: vengono commentate, infatti, alcune iniziative relative all’esigenza di introdurre regolamentazioni, per via normativa, dei compiti e delle competenze tecniche, nonché dei requisiti di professionalità, degli </w:t>
      </w:r>
      <w:proofErr w:type="spellStart"/>
      <w:r w:rsidRPr="00AB1E44">
        <w:rPr>
          <w:rFonts w:ascii="Arial" w:eastAsia="Times New Roman" w:hAnsi="Arial" w:cs="Arial"/>
          <w:color w:val="000000"/>
          <w:sz w:val="23"/>
          <w:szCs w:val="23"/>
          <w:lang w:eastAsia="it-IT"/>
        </w:rPr>
        <w:t>insolvency</w:t>
      </w:r>
      <w:proofErr w:type="spellEnd"/>
      <w:r w:rsidRPr="00AB1E44">
        <w:rPr>
          <w:rFonts w:ascii="Arial" w:eastAsia="Times New Roman" w:hAnsi="Arial" w:cs="Arial"/>
          <w:color w:val="000000"/>
          <w:sz w:val="23"/>
          <w:szCs w:val="23"/>
          <w:lang w:eastAsia="it-IT"/>
        </w:rPr>
        <w:t xml:space="preserve"> </w:t>
      </w:r>
      <w:proofErr w:type="spellStart"/>
      <w:r w:rsidRPr="00AB1E44">
        <w:rPr>
          <w:rFonts w:ascii="Arial" w:eastAsia="Times New Roman" w:hAnsi="Arial" w:cs="Arial"/>
          <w:color w:val="000000"/>
          <w:sz w:val="23"/>
          <w:szCs w:val="23"/>
          <w:lang w:eastAsia="it-IT"/>
        </w:rPr>
        <w:t>pratictioners</w:t>
      </w:r>
      <w:proofErr w:type="spellEnd"/>
      <w:r w:rsidRPr="00AB1E44">
        <w:rPr>
          <w:rFonts w:ascii="Arial" w:eastAsia="Times New Roman" w:hAnsi="Arial" w:cs="Arial"/>
          <w:color w:val="000000"/>
          <w:sz w:val="23"/>
          <w:szCs w:val="23"/>
          <w:lang w:eastAsia="it-IT"/>
        </w:rPr>
        <w:t xml:space="preserve"> basate su criteri quanto più possibile univoci e condivisi. </w:t>
      </w:r>
    </w:p>
    <w:p w14:paraId="1E9B7CD9" w14:textId="77777777" w:rsidR="00AB1E44" w:rsidRPr="00AB1E44" w:rsidRDefault="00AB1E44" w:rsidP="00AB1E44">
      <w:pPr>
        <w:jc w:val="both"/>
        <w:rPr>
          <w:rFonts w:ascii="Arial" w:eastAsia="Times New Roman" w:hAnsi="Arial" w:cs="Arial"/>
          <w:color w:val="000000"/>
          <w:sz w:val="23"/>
          <w:szCs w:val="23"/>
          <w:lang w:eastAsia="it-IT"/>
        </w:rPr>
      </w:pPr>
    </w:p>
    <w:p w14:paraId="39231B38" w14:textId="77777777" w:rsidR="00AB1E44" w:rsidRPr="00AB1E44" w:rsidRDefault="00AB1E44" w:rsidP="00AB1E44">
      <w:pPr>
        <w:jc w:val="both"/>
        <w:rPr>
          <w:rFonts w:ascii="Arial" w:eastAsia="Times New Roman" w:hAnsi="Arial" w:cs="Arial"/>
          <w:color w:val="000000"/>
          <w:sz w:val="23"/>
          <w:szCs w:val="23"/>
          <w:lang w:eastAsia="it-IT"/>
        </w:rPr>
      </w:pPr>
      <w:r w:rsidRPr="00AB1E44">
        <w:rPr>
          <w:rFonts w:ascii="Arial" w:eastAsia="Times New Roman" w:hAnsi="Arial" w:cs="Arial"/>
          <w:color w:val="000000"/>
          <w:sz w:val="23"/>
          <w:szCs w:val="23"/>
          <w:lang w:eastAsia="it-IT"/>
        </w:rPr>
        <w:t>La sezione dedicata agli Approfondimenti contempla cinque saggi, alcuni dei quali proposti in lingua inglese con una breve introduzione in italiano. </w:t>
      </w:r>
    </w:p>
    <w:p w14:paraId="12D7FDC0" w14:textId="31F33230" w:rsidR="00AB1E44" w:rsidRPr="00AB1E44" w:rsidRDefault="00AB1E44" w:rsidP="00AB1E44">
      <w:pPr>
        <w:jc w:val="both"/>
        <w:rPr>
          <w:rFonts w:ascii="Arial" w:eastAsia="Times New Roman" w:hAnsi="Arial" w:cs="Arial"/>
          <w:color w:val="000000"/>
          <w:sz w:val="23"/>
          <w:szCs w:val="23"/>
          <w:lang w:eastAsia="it-IT"/>
        </w:rPr>
      </w:pPr>
      <w:r w:rsidRPr="00AB1E44">
        <w:rPr>
          <w:rFonts w:ascii="Arial" w:eastAsia="Times New Roman" w:hAnsi="Arial" w:cs="Arial"/>
          <w:color w:val="000000"/>
          <w:sz w:val="23"/>
          <w:szCs w:val="23"/>
          <w:lang w:eastAsia="it-IT"/>
        </w:rPr>
        <w:t xml:space="preserve">Il primo approfondimento è dedicato all’analisi della peculiare vicenda di </w:t>
      </w:r>
      <w:proofErr w:type="spellStart"/>
      <w:r w:rsidRPr="00AB1E44">
        <w:rPr>
          <w:rFonts w:ascii="Arial" w:eastAsia="Times New Roman" w:hAnsi="Arial" w:cs="Arial"/>
          <w:color w:val="000000"/>
          <w:sz w:val="23"/>
          <w:szCs w:val="23"/>
          <w:lang w:eastAsia="it-IT"/>
        </w:rPr>
        <w:t>Purdue</w:t>
      </w:r>
      <w:proofErr w:type="spellEnd"/>
      <w:r w:rsidRPr="00AB1E44">
        <w:rPr>
          <w:rFonts w:ascii="Arial" w:eastAsia="Times New Roman" w:hAnsi="Arial" w:cs="Arial"/>
          <w:color w:val="000000"/>
          <w:sz w:val="23"/>
          <w:szCs w:val="23"/>
          <w:lang w:eastAsia="it-IT"/>
        </w:rPr>
        <w:t xml:space="preserve"> Pharma, già sviluppata nel quarto numero del Bollettino tra i </w:t>
      </w:r>
      <w:proofErr w:type="spellStart"/>
      <w:r w:rsidRPr="00AB1E44">
        <w:rPr>
          <w:rFonts w:ascii="Arial" w:eastAsia="Times New Roman" w:hAnsi="Arial" w:cs="Arial"/>
          <w:color w:val="000000"/>
          <w:sz w:val="23"/>
          <w:szCs w:val="23"/>
          <w:lang w:eastAsia="it-IT"/>
        </w:rPr>
        <w:t>Chapter</w:t>
      </w:r>
      <w:proofErr w:type="spellEnd"/>
      <w:r w:rsidRPr="00AB1E44">
        <w:rPr>
          <w:rFonts w:ascii="Arial" w:eastAsia="Times New Roman" w:hAnsi="Arial" w:cs="Arial"/>
          <w:color w:val="000000"/>
          <w:sz w:val="23"/>
          <w:szCs w:val="23"/>
          <w:lang w:eastAsia="it-IT"/>
        </w:rPr>
        <w:t xml:space="preserve"> 11, relativa alla legittimità di clausole contenute nel piano di ristrutturazione che prevedono l’esonero da responsabilità di soggetti terzi, oltre che del debitore, con un ragionato confronto con le previsioni del nostro ordinamento che, al contrario, impediscono l’inserimento di clausole simili nei piani di concordato. Il secondo approfondimento affronta la tematica dell’adeguamento della normativa italiana alla Direttiva (UE) 1023/2019 in ordine alla disciplina applicabile ai professionisti della crisi, con particolare attenzione al recente schema di decreto legislativo recante modifiche al CCII che contempla </w:t>
      </w:r>
      <w:r w:rsidRPr="00AB1E44">
        <w:rPr>
          <w:rFonts w:ascii="Arial" w:eastAsia="Times New Roman" w:hAnsi="Arial" w:cs="Arial"/>
          <w:color w:val="000000"/>
          <w:sz w:val="23"/>
          <w:szCs w:val="23"/>
          <w:lang w:eastAsia="it-IT"/>
        </w:rPr>
        <w:lastRenderedPageBreak/>
        <w:t>specifici requisiti per i professionisti impegnati nella gestione di procedure che presentino elementi transfrontalieri; il terzo saggio si sofferma sulla Consultazione dell’</w:t>
      </w:r>
      <w:proofErr w:type="spellStart"/>
      <w:r w:rsidRPr="00AB1E44">
        <w:rPr>
          <w:rFonts w:ascii="Arial" w:eastAsia="Times New Roman" w:hAnsi="Arial" w:cs="Arial"/>
          <w:color w:val="000000"/>
          <w:sz w:val="23"/>
          <w:szCs w:val="23"/>
          <w:lang w:eastAsia="it-IT"/>
        </w:rPr>
        <w:t>Insolvency</w:t>
      </w:r>
      <w:proofErr w:type="spellEnd"/>
      <w:r w:rsidRPr="00AB1E44">
        <w:rPr>
          <w:rFonts w:ascii="Arial" w:eastAsia="Times New Roman" w:hAnsi="Arial" w:cs="Arial"/>
          <w:color w:val="000000"/>
          <w:sz w:val="23"/>
          <w:szCs w:val="23"/>
          <w:lang w:eastAsia="it-IT"/>
        </w:rPr>
        <w:t xml:space="preserve"> Service nel Regno Unito “The future of </w:t>
      </w:r>
      <w:proofErr w:type="spellStart"/>
      <w:r w:rsidRPr="00AB1E44">
        <w:rPr>
          <w:rFonts w:ascii="Arial" w:eastAsia="Times New Roman" w:hAnsi="Arial" w:cs="Arial"/>
          <w:color w:val="000000"/>
          <w:sz w:val="23"/>
          <w:szCs w:val="23"/>
          <w:lang w:eastAsia="it-IT"/>
        </w:rPr>
        <w:t>insolvency</w:t>
      </w:r>
      <w:proofErr w:type="spellEnd"/>
      <w:r w:rsidRPr="00AB1E44">
        <w:rPr>
          <w:rFonts w:ascii="Arial" w:eastAsia="Times New Roman" w:hAnsi="Arial" w:cs="Arial"/>
          <w:color w:val="000000"/>
          <w:sz w:val="23"/>
          <w:szCs w:val="23"/>
          <w:lang w:eastAsia="it-IT"/>
        </w:rPr>
        <w:t xml:space="preserve"> </w:t>
      </w:r>
      <w:proofErr w:type="spellStart"/>
      <w:r w:rsidRPr="00AB1E44">
        <w:rPr>
          <w:rFonts w:ascii="Arial" w:eastAsia="Times New Roman" w:hAnsi="Arial" w:cs="Arial"/>
          <w:color w:val="000000"/>
          <w:sz w:val="23"/>
          <w:szCs w:val="23"/>
          <w:lang w:eastAsia="it-IT"/>
        </w:rPr>
        <w:t>regulation</w:t>
      </w:r>
      <w:proofErr w:type="spellEnd"/>
      <w:r w:rsidRPr="00AB1E44">
        <w:rPr>
          <w:rFonts w:ascii="Arial" w:eastAsia="Times New Roman" w:hAnsi="Arial" w:cs="Arial"/>
          <w:color w:val="000000"/>
          <w:sz w:val="23"/>
          <w:szCs w:val="23"/>
          <w:lang w:eastAsia="it-IT"/>
        </w:rPr>
        <w:t>”, esaminandone alcuni degli aspetti principali e formulando alcune proposte alternative rispetto alle opzioni governative; gli ultimi due saggi si focalizzano sulla legislazione cinese in materia di insolvenza transfrontaliera e sui più recenti provvedimenti che sono stati adottati nella prospettiva della semplificazione delle procedure e dell’introduzione di misure di allerta per risolvere tempestivamente situazioni di crisi. </w:t>
      </w:r>
    </w:p>
    <w:p w14:paraId="032E7064" w14:textId="77777777" w:rsidR="00AB1E44" w:rsidRPr="00AB1E44" w:rsidRDefault="00AB1E44" w:rsidP="00AB1E44">
      <w:pPr>
        <w:jc w:val="center"/>
        <w:rPr>
          <w:rFonts w:ascii="Arial" w:eastAsia="Times New Roman" w:hAnsi="Arial" w:cs="Arial"/>
          <w:b/>
          <w:bCs/>
        </w:rPr>
      </w:pPr>
    </w:p>
    <w:p w14:paraId="6ABCE2A3" w14:textId="006F93A4" w:rsidR="00DB1FE4" w:rsidRPr="00DB1FE4" w:rsidRDefault="00DB1FE4" w:rsidP="004251B1">
      <w:pPr>
        <w:jc w:val="center"/>
        <w:rPr>
          <w:rFonts w:ascii="Arial" w:hAnsi="Arial" w:cs="Arial"/>
          <w:b/>
          <w:bCs/>
        </w:rPr>
      </w:pPr>
    </w:p>
    <w:sectPr w:rsidR="00DB1FE4" w:rsidRPr="00DB1FE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CA43" w14:textId="77777777" w:rsidR="00574E59" w:rsidRDefault="00574E59" w:rsidP="0078332C">
      <w:r>
        <w:separator/>
      </w:r>
    </w:p>
  </w:endnote>
  <w:endnote w:type="continuationSeparator" w:id="0">
    <w:p w14:paraId="1C4BB143" w14:textId="77777777" w:rsidR="00574E59" w:rsidRDefault="00574E59"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38F0" w14:textId="77777777" w:rsidR="00574E59" w:rsidRDefault="00574E59" w:rsidP="0078332C">
      <w:r>
        <w:separator/>
      </w:r>
    </w:p>
  </w:footnote>
  <w:footnote w:type="continuationSeparator" w:id="0">
    <w:p w14:paraId="57D82F1D" w14:textId="77777777" w:rsidR="00574E59" w:rsidRDefault="00574E59"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77777777"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0CB63AF4" wp14:editId="460061CE">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4"/>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3"/>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3A22"/>
    <w:rsid w:val="00004BCE"/>
    <w:rsid w:val="00022A7F"/>
    <w:rsid w:val="00024A50"/>
    <w:rsid w:val="00031015"/>
    <w:rsid w:val="00032856"/>
    <w:rsid w:val="000329A4"/>
    <w:rsid w:val="00032DE7"/>
    <w:rsid w:val="000348C0"/>
    <w:rsid w:val="00037091"/>
    <w:rsid w:val="00037896"/>
    <w:rsid w:val="00040CAD"/>
    <w:rsid w:val="0004434F"/>
    <w:rsid w:val="00053052"/>
    <w:rsid w:val="000539AC"/>
    <w:rsid w:val="0006018A"/>
    <w:rsid w:val="0007464D"/>
    <w:rsid w:val="000806B0"/>
    <w:rsid w:val="00081B93"/>
    <w:rsid w:val="00082FFB"/>
    <w:rsid w:val="00090245"/>
    <w:rsid w:val="00090CE4"/>
    <w:rsid w:val="0009108B"/>
    <w:rsid w:val="00093834"/>
    <w:rsid w:val="000971A3"/>
    <w:rsid w:val="000A1C80"/>
    <w:rsid w:val="000B3EFF"/>
    <w:rsid w:val="000C0552"/>
    <w:rsid w:val="000C19B1"/>
    <w:rsid w:val="000C7FB4"/>
    <w:rsid w:val="000D01B1"/>
    <w:rsid w:val="000D7385"/>
    <w:rsid w:val="000D7847"/>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B1912"/>
    <w:rsid w:val="001C67E1"/>
    <w:rsid w:val="001C6BDD"/>
    <w:rsid w:val="001C7913"/>
    <w:rsid w:val="001C7A99"/>
    <w:rsid w:val="001C7E5F"/>
    <w:rsid w:val="001D456F"/>
    <w:rsid w:val="001E7260"/>
    <w:rsid w:val="001F19BC"/>
    <w:rsid w:val="00202900"/>
    <w:rsid w:val="00203E6B"/>
    <w:rsid w:val="002062BE"/>
    <w:rsid w:val="00215734"/>
    <w:rsid w:val="0021644F"/>
    <w:rsid w:val="00216654"/>
    <w:rsid w:val="002204CC"/>
    <w:rsid w:val="00221234"/>
    <w:rsid w:val="0022378E"/>
    <w:rsid w:val="0022580D"/>
    <w:rsid w:val="0024011F"/>
    <w:rsid w:val="002438B0"/>
    <w:rsid w:val="00243BD7"/>
    <w:rsid w:val="002575F2"/>
    <w:rsid w:val="00260C1E"/>
    <w:rsid w:val="00272605"/>
    <w:rsid w:val="00281202"/>
    <w:rsid w:val="0028246D"/>
    <w:rsid w:val="00286C68"/>
    <w:rsid w:val="00294D14"/>
    <w:rsid w:val="002973C7"/>
    <w:rsid w:val="002A1399"/>
    <w:rsid w:val="002A3814"/>
    <w:rsid w:val="002A59A1"/>
    <w:rsid w:val="002A70B5"/>
    <w:rsid w:val="002A76BF"/>
    <w:rsid w:val="002A7C92"/>
    <w:rsid w:val="002A7FD0"/>
    <w:rsid w:val="002B0732"/>
    <w:rsid w:val="002B4C29"/>
    <w:rsid w:val="002B62EA"/>
    <w:rsid w:val="002C27DE"/>
    <w:rsid w:val="002C7311"/>
    <w:rsid w:val="002D2034"/>
    <w:rsid w:val="002D684B"/>
    <w:rsid w:val="002F3E9E"/>
    <w:rsid w:val="002F4704"/>
    <w:rsid w:val="002F6036"/>
    <w:rsid w:val="00303A76"/>
    <w:rsid w:val="0030574C"/>
    <w:rsid w:val="00312A48"/>
    <w:rsid w:val="00313354"/>
    <w:rsid w:val="00313737"/>
    <w:rsid w:val="00320A8F"/>
    <w:rsid w:val="0033082E"/>
    <w:rsid w:val="00332874"/>
    <w:rsid w:val="00333544"/>
    <w:rsid w:val="00333957"/>
    <w:rsid w:val="00353EE3"/>
    <w:rsid w:val="0035503D"/>
    <w:rsid w:val="0036445C"/>
    <w:rsid w:val="00365C91"/>
    <w:rsid w:val="00366188"/>
    <w:rsid w:val="00371B42"/>
    <w:rsid w:val="003738DE"/>
    <w:rsid w:val="003808D1"/>
    <w:rsid w:val="00392245"/>
    <w:rsid w:val="00397281"/>
    <w:rsid w:val="003A03BB"/>
    <w:rsid w:val="003B000F"/>
    <w:rsid w:val="003B24D0"/>
    <w:rsid w:val="003B7329"/>
    <w:rsid w:val="003C1946"/>
    <w:rsid w:val="003C1AD8"/>
    <w:rsid w:val="003C53E7"/>
    <w:rsid w:val="003D1DEE"/>
    <w:rsid w:val="003D59CF"/>
    <w:rsid w:val="003E0F52"/>
    <w:rsid w:val="003E1A7E"/>
    <w:rsid w:val="003E6287"/>
    <w:rsid w:val="003E753F"/>
    <w:rsid w:val="00400CE9"/>
    <w:rsid w:val="00422B71"/>
    <w:rsid w:val="004251B1"/>
    <w:rsid w:val="004251EF"/>
    <w:rsid w:val="00443042"/>
    <w:rsid w:val="0047270A"/>
    <w:rsid w:val="00472F6D"/>
    <w:rsid w:val="00476C15"/>
    <w:rsid w:val="00485F00"/>
    <w:rsid w:val="004875FA"/>
    <w:rsid w:val="00493DC9"/>
    <w:rsid w:val="004964DA"/>
    <w:rsid w:val="004A44B8"/>
    <w:rsid w:val="004A6888"/>
    <w:rsid w:val="004B2695"/>
    <w:rsid w:val="004D6396"/>
    <w:rsid w:val="004F1170"/>
    <w:rsid w:val="004F4736"/>
    <w:rsid w:val="004F56A8"/>
    <w:rsid w:val="004F7362"/>
    <w:rsid w:val="00500E13"/>
    <w:rsid w:val="00505AE2"/>
    <w:rsid w:val="00511C1B"/>
    <w:rsid w:val="005122BE"/>
    <w:rsid w:val="00513967"/>
    <w:rsid w:val="00520E1B"/>
    <w:rsid w:val="00522FFA"/>
    <w:rsid w:val="00531523"/>
    <w:rsid w:val="00534AD7"/>
    <w:rsid w:val="00536016"/>
    <w:rsid w:val="00542311"/>
    <w:rsid w:val="00543860"/>
    <w:rsid w:val="00544970"/>
    <w:rsid w:val="005551E7"/>
    <w:rsid w:val="00555885"/>
    <w:rsid w:val="005564F8"/>
    <w:rsid w:val="005625A8"/>
    <w:rsid w:val="005636DE"/>
    <w:rsid w:val="00564A2D"/>
    <w:rsid w:val="005673AC"/>
    <w:rsid w:val="00574E59"/>
    <w:rsid w:val="0057755A"/>
    <w:rsid w:val="005779CB"/>
    <w:rsid w:val="0058002D"/>
    <w:rsid w:val="00580C25"/>
    <w:rsid w:val="005816F1"/>
    <w:rsid w:val="00582D74"/>
    <w:rsid w:val="00583CB0"/>
    <w:rsid w:val="00584F92"/>
    <w:rsid w:val="00585518"/>
    <w:rsid w:val="005867E8"/>
    <w:rsid w:val="005868B1"/>
    <w:rsid w:val="00590F83"/>
    <w:rsid w:val="0059237D"/>
    <w:rsid w:val="00592CA1"/>
    <w:rsid w:val="005959E4"/>
    <w:rsid w:val="005A3A3F"/>
    <w:rsid w:val="005B45B5"/>
    <w:rsid w:val="005D1AAA"/>
    <w:rsid w:val="005D2CEA"/>
    <w:rsid w:val="005D2D5F"/>
    <w:rsid w:val="005D35A5"/>
    <w:rsid w:val="005D3873"/>
    <w:rsid w:val="005D455A"/>
    <w:rsid w:val="005D6006"/>
    <w:rsid w:val="005E42F5"/>
    <w:rsid w:val="005E4D40"/>
    <w:rsid w:val="005F2F00"/>
    <w:rsid w:val="005F5B57"/>
    <w:rsid w:val="005F684F"/>
    <w:rsid w:val="00616CB9"/>
    <w:rsid w:val="00616CEE"/>
    <w:rsid w:val="006273CC"/>
    <w:rsid w:val="00637B93"/>
    <w:rsid w:val="00640434"/>
    <w:rsid w:val="00641C3C"/>
    <w:rsid w:val="00651FFD"/>
    <w:rsid w:val="00656C55"/>
    <w:rsid w:val="00660EBC"/>
    <w:rsid w:val="0066338C"/>
    <w:rsid w:val="00667B8F"/>
    <w:rsid w:val="00677A10"/>
    <w:rsid w:val="00684F9D"/>
    <w:rsid w:val="006A0D3B"/>
    <w:rsid w:val="006A4451"/>
    <w:rsid w:val="006C3945"/>
    <w:rsid w:val="006C6818"/>
    <w:rsid w:val="006C7063"/>
    <w:rsid w:val="006E43CD"/>
    <w:rsid w:val="006F4DC7"/>
    <w:rsid w:val="00717DC7"/>
    <w:rsid w:val="00726188"/>
    <w:rsid w:val="007262E1"/>
    <w:rsid w:val="00736E95"/>
    <w:rsid w:val="007415B1"/>
    <w:rsid w:val="007423B1"/>
    <w:rsid w:val="007513BE"/>
    <w:rsid w:val="007551B7"/>
    <w:rsid w:val="0075696B"/>
    <w:rsid w:val="00764D9D"/>
    <w:rsid w:val="0077316F"/>
    <w:rsid w:val="007816BA"/>
    <w:rsid w:val="00782159"/>
    <w:rsid w:val="0078332C"/>
    <w:rsid w:val="007835B6"/>
    <w:rsid w:val="007C14B1"/>
    <w:rsid w:val="007C3A93"/>
    <w:rsid w:val="007C5CCD"/>
    <w:rsid w:val="007D4196"/>
    <w:rsid w:val="007E44E2"/>
    <w:rsid w:val="008005AB"/>
    <w:rsid w:val="0080283B"/>
    <w:rsid w:val="0080797B"/>
    <w:rsid w:val="0081381B"/>
    <w:rsid w:val="00813FF6"/>
    <w:rsid w:val="00831294"/>
    <w:rsid w:val="00832BE3"/>
    <w:rsid w:val="00851572"/>
    <w:rsid w:val="00855840"/>
    <w:rsid w:val="008600AC"/>
    <w:rsid w:val="00863104"/>
    <w:rsid w:val="0087487D"/>
    <w:rsid w:val="00886628"/>
    <w:rsid w:val="00892238"/>
    <w:rsid w:val="00892C1F"/>
    <w:rsid w:val="00893AB6"/>
    <w:rsid w:val="00896010"/>
    <w:rsid w:val="00897D6B"/>
    <w:rsid w:val="008B3BB7"/>
    <w:rsid w:val="008C5ED3"/>
    <w:rsid w:val="008D5C4B"/>
    <w:rsid w:val="008E141E"/>
    <w:rsid w:val="00900B88"/>
    <w:rsid w:val="0090438E"/>
    <w:rsid w:val="00907687"/>
    <w:rsid w:val="00920E08"/>
    <w:rsid w:val="0093430A"/>
    <w:rsid w:val="00934F3D"/>
    <w:rsid w:val="00935333"/>
    <w:rsid w:val="009477ED"/>
    <w:rsid w:val="009570D6"/>
    <w:rsid w:val="009618F5"/>
    <w:rsid w:val="0097646E"/>
    <w:rsid w:val="00980E02"/>
    <w:rsid w:val="009813D9"/>
    <w:rsid w:val="00986756"/>
    <w:rsid w:val="00987ED2"/>
    <w:rsid w:val="00993E86"/>
    <w:rsid w:val="009965B6"/>
    <w:rsid w:val="009A1934"/>
    <w:rsid w:val="009A1B3D"/>
    <w:rsid w:val="009A33C1"/>
    <w:rsid w:val="009C468C"/>
    <w:rsid w:val="009D0B50"/>
    <w:rsid w:val="009D1F36"/>
    <w:rsid w:val="009D5B30"/>
    <w:rsid w:val="009E0C7E"/>
    <w:rsid w:val="009F0C91"/>
    <w:rsid w:val="009F4399"/>
    <w:rsid w:val="00A007E5"/>
    <w:rsid w:val="00A057F7"/>
    <w:rsid w:val="00A07FB9"/>
    <w:rsid w:val="00A12594"/>
    <w:rsid w:val="00A250F1"/>
    <w:rsid w:val="00A27583"/>
    <w:rsid w:val="00A27E42"/>
    <w:rsid w:val="00A34135"/>
    <w:rsid w:val="00A41F47"/>
    <w:rsid w:val="00A428F4"/>
    <w:rsid w:val="00A46131"/>
    <w:rsid w:val="00A47BEF"/>
    <w:rsid w:val="00A52294"/>
    <w:rsid w:val="00A6097D"/>
    <w:rsid w:val="00A6546B"/>
    <w:rsid w:val="00A67A90"/>
    <w:rsid w:val="00A81EED"/>
    <w:rsid w:val="00A837E6"/>
    <w:rsid w:val="00A945B6"/>
    <w:rsid w:val="00A95EE2"/>
    <w:rsid w:val="00AA004A"/>
    <w:rsid w:val="00AA33E3"/>
    <w:rsid w:val="00AA59C8"/>
    <w:rsid w:val="00AA66A8"/>
    <w:rsid w:val="00AA7145"/>
    <w:rsid w:val="00AB02A8"/>
    <w:rsid w:val="00AB092F"/>
    <w:rsid w:val="00AB1E44"/>
    <w:rsid w:val="00AB4CC5"/>
    <w:rsid w:val="00AC131C"/>
    <w:rsid w:val="00AC2BD9"/>
    <w:rsid w:val="00AD014A"/>
    <w:rsid w:val="00AD5F80"/>
    <w:rsid w:val="00AE3DBA"/>
    <w:rsid w:val="00AE7CA1"/>
    <w:rsid w:val="00AF747D"/>
    <w:rsid w:val="00B01322"/>
    <w:rsid w:val="00B14747"/>
    <w:rsid w:val="00B15621"/>
    <w:rsid w:val="00B34200"/>
    <w:rsid w:val="00B42691"/>
    <w:rsid w:val="00B74510"/>
    <w:rsid w:val="00B84EF5"/>
    <w:rsid w:val="00B90683"/>
    <w:rsid w:val="00B926C3"/>
    <w:rsid w:val="00B92AC0"/>
    <w:rsid w:val="00BA04F4"/>
    <w:rsid w:val="00BA499D"/>
    <w:rsid w:val="00BB02DF"/>
    <w:rsid w:val="00BB2E5B"/>
    <w:rsid w:val="00BB7EE6"/>
    <w:rsid w:val="00BC5E35"/>
    <w:rsid w:val="00BD0510"/>
    <w:rsid w:val="00BD2206"/>
    <w:rsid w:val="00BD6259"/>
    <w:rsid w:val="00BF096F"/>
    <w:rsid w:val="00BF37E8"/>
    <w:rsid w:val="00BF3A80"/>
    <w:rsid w:val="00BF7A50"/>
    <w:rsid w:val="00C302BD"/>
    <w:rsid w:val="00C30E85"/>
    <w:rsid w:val="00C33494"/>
    <w:rsid w:val="00C342D6"/>
    <w:rsid w:val="00C418FB"/>
    <w:rsid w:val="00C427E4"/>
    <w:rsid w:val="00C51F27"/>
    <w:rsid w:val="00C81BB1"/>
    <w:rsid w:val="00C8551E"/>
    <w:rsid w:val="00C92F98"/>
    <w:rsid w:val="00C93548"/>
    <w:rsid w:val="00CA4152"/>
    <w:rsid w:val="00CA676E"/>
    <w:rsid w:val="00CB14A8"/>
    <w:rsid w:val="00CE403B"/>
    <w:rsid w:val="00CE4727"/>
    <w:rsid w:val="00CF22E4"/>
    <w:rsid w:val="00CF6388"/>
    <w:rsid w:val="00CF7BCA"/>
    <w:rsid w:val="00D027DD"/>
    <w:rsid w:val="00D02F53"/>
    <w:rsid w:val="00D04ABF"/>
    <w:rsid w:val="00D078C6"/>
    <w:rsid w:val="00D07944"/>
    <w:rsid w:val="00D12802"/>
    <w:rsid w:val="00D21FB3"/>
    <w:rsid w:val="00D25628"/>
    <w:rsid w:val="00D27080"/>
    <w:rsid w:val="00D32BB8"/>
    <w:rsid w:val="00D37415"/>
    <w:rsid w:val="00D569A1"/>
    <w:rsid w:val="00D65267"/>
    <w:rsid w:val="00D65875"/>
    <w:rsid w:val="00D75105"/>
    <w:rsid w:val="00D92E6B"/>
    <w:rsid w:val="00DA27BF"/>
    <w:rsid w:val="00DA7914"/>
    <w:rsid w:val="00DB1FE4"/>
    <w:rsid w:val="00DB6F21"/>
    <w:rsid w:val="00DC2C88"/>
    <w:rsid w:val="00DC2C9E"/>
    <w:rsid w:val="00DD07C2"/>
    <w:rsid w:val="00DD43CD"/>
    <w:rsid w:val="00DD6F05"/>
    <w:rsid w:val="00DE78C6"/>
    <w:rsid w:val="00DF3633"/>
    <w:rsid w:val="00E0710C"/>
    <w:rsid w:val="00E1355A"/>
    <w:rsid w:val="00E22AF3"/>
    <w:rsid w:val="00E27BC3"/>
    <w:rsid w:val="00E30769"/>
    <w:rsid w:val="00E33070"/>
    <w:rsid w:val="00E3336E"/>
    <w:rsid w:val="00E3435A"/>
    <w:rsid w:val="00E42ED7"/>
    <w:rsid w:val="00E45552"/>
    <w:rsid w:val="00E6797B"/>
    <w:rsid w:val="00E67E9C"/>
    <w:rsid w:val="00E701F3"/>
    <w:rsid w:val="00E855E0"/>
    <w:rsid w:val="00E9545A"/>
    <w:rsid w:val="00EA25EF"/>
    <w:rsid w:val="00EA5CE8"/>
    <w:rsid w:val="00EB7E70"/>
    <w:rsid w:val="00EC079F"/>
    <w:rsid w:val="00ED08A8"/>
    <w:rsid w:val="00ED093C"/>
    <w:rsid w:val="00ED2970"/>
    <w:rsid w:val="00ED2BA2"/>
    <w:rsid w:val="00EE3C69"/>
    <w:rsid w:val="00EE50F8"/>
    <w:rsid w:val="00EE51A4"/>
    <w:rsid w:val="00EF3ACF"/>
    <w:rsid w:val="00EF49EF"/>
    <w:rsid w:val="00EF561D"/>
    <w:rsid w:val="00EF57D4"/>
    <w:rsid w:val="00EF7D25"/>
    <w:rsid w:val="00F00503"/>
    <w:rsid w:val="00F079D1"/>
    <w:rsid w:val="00F45D3A"/>
    <w:rsid w:val="00F53A8A"/>
    <w:rsid w:val="00F547BE"/>
    <w:rsid w:val="00F61CBC"/>
    <w:rsid w:val="00F653F9"/>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character" w:styleId="Menzionenonrisolta">
    <w:name w:val="Unresolved Mention"/>
    <w:basedOn w:val="Carpredefinitoparagrafo"/>
    <w:uiPriority w:val="99"/>
    <w:semiHidden/>
    <w:unhideWhenUsed/>
    <w:rsid w:val="00333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234902626">
      <w:bodyDiv w:val="1"/>
      <w:marLeft w:val="0"/>
      <w:marRight w:val="0"/>
      <w:marTop w:val="0"/>
      <w:marBottom w:val="0"/>
      <w:divBdr>
        <w:top w:val="none" w:sz="0" w:space="0" w:color="auto"/>
        <w:left w:val="none" w:sz="0" w:space="0" w:color="auto"/>
        <w:bottom w:val="none" w:sz="0" w:space="0" w:color="auto"/>
        <w:right w:val="none" w:sz="0" w:space="0" w:color="auto"/>
      </w:divBdr>
    </w:div>
    <w:div w:id="323361700">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638</Words>
  <Characters>3640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5</cp:revision>
  <cp:lastPrinted>2020-01-14T09:44:00Z</cp:lastPrinted>
  <dcterms:created xsi:type="dcterms:W3CDTF">2022-05-05T08:30:00Z</dcterms:created>
  <dcterms:modified xsi:type="dcterms:W3CDTF">2022-05-05T11:17:00Z</dcterms:modified>
</cp:coreProperties>
</file>