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5B08" w14:textId="77777777" w:rsidR="00B243F1" w:rsidRPr="008B2F8F" w:rsidRDefault="00B243F1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  <w:bookmarkStart w:id="0" w:name="_Toc121493313"/>
    </w:p>
    <w:p w14:paraId="561676F3" w14:textId="77777777" w:rsidR="00B243F1" w:rsidRPr="008B2F8F" w:rsidRDefault="00B243F1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</w:p>
    <w:p w14:paraId="1E79E7A6" w14:textId="12760E7C" w:rsidR="00165F48" w:rsidRPr="008B2F8F" w:rsidRDefault="00165F48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</w:pPr>
      <w:r w:rsidRPr="008B2F8F">
        <w:rPr>
          <w:rFonts w:ascii="Arial" w:eastAsia="Times New Roman" w:hAnsi="Arial" w:cs="Arial"/>
          <w:kern w:val="0"/>
          <w:sz w:val="23"/>
          <w:szCs w:val="23"/>
          <w:u w:val="single"/>
          <w:lang w:eastAsia="it-IT"/>
          <w14:ligatures w14:val="none"/>
        </w:rPr>
        <w:t>Comunicato stampa</w:t>
      </w:r>
    </w:p>
    <w:p w14:paraId="55CCE352" w14:textId="77777777" w:rsidR="00165F48" w:rsidRPr="008B2F8F" w:rsidRDefault="00165F48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4D03DFF4" w14:textId="20DF5DB9" w:rsidR="00165F48" w:rsidRPr="008B2F8F" w:rsidRDefault="008B2F8F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CRISI D’IMPRESA, PUBBLICATO NUOVO OSSERVATORIO INTERNAZIONALE</w:t>
      </w:r>
    </w:p>
    <w:p w14:paraId="65568BCD" w14:textId="77777777" w:rsidR="00165F48" w:rsidRPr="008B2F8F" w:rsidRDefault="00165F48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</w:p>
    <w:p w14:paraId="0678F97D" w14:textId="402394AC" w:rsidR="00165F48" w:rsidRDefault="008B2F8F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Diffuso il nono numero del Bollettino curata da Consiglio e Fondazione nazionale di Ricerca dei commercialisti</w:t>
      </w:r>
    </w:p>
    <w:p w14:paraId="2D493F6E" w14:textId="77777777" w:rsidR="00B814AE" w:rsidRPr="008B2F8F" w:rsidRDefault="00B814AE" w:rsidP="008B2F8F">
      <w:pPr>
        <w:spacing w:after="0" w:line="240" w:lineRule="auto"/>
        <w:ind w:left="-62"/>
        <w:jc w:val="center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</w:p>
    <w:p w14:paraId="2C1260F9" w14:textId="77777777" w:rsidR="00165F48" w:rsidRPr="008B2F8F" w:rsidRDefault="00165F48" w:rsidP="008B2F8F">
      <w:pPr>
        <w:spacing w:after="0" w:line="240" w:lineRule="auto"/>
        <w:ind w:left="-62"/>
        <w:jc w:val="both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bookmarkEnd w:id="0"/>
    <w:p w14:paraId="0CD38738" w14:textId="487A1D3F" w:rsid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B814AE">
        <w:rPr>
          <w:rFonts w:ascii="Arial" w:eastAsia="Times New Roman" w:hAnsi="Arial" w:cs="Arial"/>
          <w:i/>
          <w:iCs/>
          <w:color w:val="333333"/>
          <w:kern w:val="0"/>
          <w:sz w:val="23"/>
          <w:szCs w:val="23"/>
          <w:lang w:eastAsia="it-IT"/>
          <w14:ligatures w14:val="none"/>
        </w:rPr>
        <w:t>Roma, 27 settembre 2023</w:t>
      </w: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– 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Il Consiglio e la Fondazione nazionali dei commercialisti hanno pubblicato il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nono numero 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dell’</w:t>
      </w:r>
      <w:hyperlink r:id="rId6" w:history="1">
        <w:r w:rsidRPr="008B2F8F">
          <w:rPr>
            <w:rFonts w:ascii="Arial" w:eastAsia="Times New Roman" w:hAnsi="Arial" w:cs="Arial"/>
            <w:color w:val="0070C0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Osservatorio internazionale sulla crisi d’impresa</w:t>
        </w:r>
      </w:hyperlink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 Il Bollettino commenta le novità legislative e giurisprudenziali relative all’insolvenza in ambito internazionale e transnazionale. Nelle sezioni e nei commenti predisposti dagli Autori, si annotano recenti modifiche legislative, rilevanti pronunce pubblicate negli ultimi mesi sull’insolvenza e sulla ristrutturazione in Europa e nel resto del mondo e si segnalano interessanti novità per i professionisti del settore.</w:t>
      </w:r>
    </w:p>
    <w:p w14:paraId="7209A70E" w14:textId="77777777" w:rsidR="00B814AE" w:rsidRPr="008B2F8F" w:rsidRDefault="00B814AE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29F73554" w14:textId="31C36155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LE NOVIT</w:t>
      </w:r>
      <w:r w:rsidR="00B814AE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DI QUESTO NUMERO</w:t>
      </w:r>
    </w:p>
    <w:p w14:paraId="0BC5A405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Per quanto attiene alla Normativa, le novità segnalate in questo numero del Bollettino attengono alla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legislazione canadese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sul riconoscimento di ulteriori prededuzioni per crediti pensionistici e al diritto societario svizzero che ha introdotto alcune importanti modifiche al codice delle obbligazioni in ordine alla disciplina delle ristrutturazioni aziendali.</w:t>
      </w:r>
    </w:p>
    <w:p w14:paraId="383218C0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Nella sezione dedicata alle Novità giurisprudenziali, dando seguito alle anticipazioni effettuate nell’</w:t>
      </w:r>
      <w:hyperlink r:id="rId7" w:history="1">
        <w:r w:rsidRPr="008B2F8F">
          <w:rPr>
            <w:rFonts w:ascii="Arial" w:eastAsia="Times New Roman" w:hAnsi="Arial" w:cs="Arial"/>
            <w:color w:val="F7323F"/>
            <w:kern w:val="0"/>
            <w:sz w:val="23"/>
            <w:szCs w:val="23"/>
            <w:u w:val="single"/>
            <w:bdr w:val="none" w:sz="0" w:space="0" w:color="auto" w:frame="1"/>
            <w:lang w:eastAsia="it-IT"/>
            <w14:ligatures w14:val="none"/>
          </w:rPr>
          <w:t>ottavo numero</w:t>
        </w:r>
      </w:hyperlink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continua l’esame della vicenda che ha interessato 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Lojas</w:t>
      </w:r>
      <w:proofErr w:type="spellEnd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Americanas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società brasiliana quotata in borsa, e le sue controllate, con l’individuazione dei contenuti del piano di ristrutturazione predisposto dalla stessa società. Degna di nota è anche la notizia relativa al deposito da parte di 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Evergrande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e le sue controllate, dell’istanza presso la 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Bankrupcty</w:t>
      </w:r>
      <w:proofErr w:type="spellEnd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Court Southern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District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di New York per il riconoscimento ai sensi del 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Chapter</w:t>
      </w:r>
      <w:proofErr w:type="spellEnd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15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per gli 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schemes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promossi a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Hong Kong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e nelle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Isole Vergini Britanniche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per far fronte a 20 miliardi di dollari di debiti regolati dalla legge di New York. Alla vicenda, i cui sviluppi son peraltro tutt’ora incerti, è dedicata particolare attenzione, tanto che nella sezione relativa agli Approfondimenti si effettua un’integrazione della notizia.</w:t>
      </w:r>
    </w:p>
    <w:p w14:paraId="74EC5BC8" w14:textId="77777777" w:rsid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Interessante, per le problematiche sottese, è il caso di 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Steinhoff</w:t>
      </w:r>
      <w:proofErr w:type="spellEnd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International Holding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trattato dalla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Alta Corte del Sud Africa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in occasione del quale si è affrontata la questione relativa alla sorte delle società insolventi appartenenti a giurisdizioni diverse da quella sudafricana: secondo l’Alta Corte queste ultime possono essere poste in liquidazione giudiziale dai Tribunali sudafricani.</w:t>
      </w:r>
    </w:p>
    <w:p w14:paraId="709097F9" w14:textId="77777777" w:rsidR="00B814AE" w:rsidRPr="008B2F8F" w:rsidRDefault="00B814AE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</w:p>
    <w:p w14:paraId="2A8A0649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IL MONITORAGGIO DELLE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GIURISDIZIONI EUROPEE E ITALIANA</w:t>
      </w:r>
    </w:p>
    <w:p w14:paraId="0C1FF777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Numerose sono le segnalazioni rinvenienti dal monitoraggio delle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giurisdizioni europee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con particolare attenzione alla nostra. Il nono numero del Bollettino riporta, infatti, la pronuncia della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Suprema Corte di Cassazione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 del 28 luglio 2023, n. 23072 in relazione alla richiesta di disapplicazione dell’art. 67, comma 2,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l.f.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per contrasto con il diritto dell’Unione; analizza il provvedimento del Tribunale di Bergamo del 18 aprile 2023 che rappresenta una delle prime applicazioni del novellato art. 21, paragrafo 3. Regolamento (UE) n. 2015/848; riporta il contenuto annotato di due provvedimenti del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Juzgado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de lo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Mercantil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di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Palma di Maiorca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contenenti domande di pronuncia pregiudiziale alla Corte di Giustizia dell’Unione europea – il cui procedimento è ancora in corso – sui rapporti tra procedura principale e procedura secondaria di insolvenza, con particolar riguardo alla sorte dei crediti di lavoro.</w:t>
      </w:r>
    </w:p>
    <w:p w14:paraId="3A4F722F" w14:textId="77777777" w:rsidR="00B814AE" w:rsidRDefault="00B814AE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</w:pPr>
    </w:p>
    <w:p w14:paraId="5F6DDF7A" w14:textId="77777777" w:rsidR="00B814AE" w:rsidRDefault="00B814AE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</w:pPr>
    </w:p>
    <w:p w14:paraId="416534A5" w14:textId="14DC3870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GLI APPROFONDIMENTI</w:t>
      </w:r>
    </w:p>
    <w:p w14:paraId="62A1826B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Ricca di contenuti è la sezione relativa agli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Approfondimenti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 In essa, gli autori sviluppano con continuità metodologica tematiche e argomenti di notevole e attuale interesse che, in alcuni casi, sono stati affrontati nei precedenti numeri o esaminati in diverse sezioni del Bollettino.</w:t>
      </w:r>
    </w:p>
    <w:p w14:paraId="691532F6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Nel primo scritto, dedicato ai procedimenti di 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Chapter</w:t>
      </w:r>
      <w:proofErr w:type="spellEnd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11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Luciano Panzani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esamina le linee di tendenza che caratterizzano le domande depositate nella prima metà del 2023 e si sofferma sui casi di 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Chapter</w:t>
      </w:r>
      <w:proofErr w:type="spellEnd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22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, vale a dire sulle procedure che riguardano imprese che, più di una volta e in un periodo di tempo relativamente breve, hanno fatto accesso alla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reorganization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del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Chapter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11.</w:t>
      </w:r>
    </w:p>
    <w:p w14:paraId="6D50FD60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Il secondo scritto, di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Stephen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Baister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tradotto in italiano da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Giorgio Corno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prendendo le mosse dal fallimento di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Georgy Ivanovich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Bedzhamov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si sofferma sull’analisi di alcuni dei problemi che possono riscontrarsi in occasione del riconoscimento di procedure di insolvenza straniere nel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Regno Unito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.</w:t>
      </w:r>
    </w:p>
    <w:p w14:paraId="57154F4C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Il terzo scritto, di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Bart De Moor, Marine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Callebaut</w:t>
      </w:r>
      <w:proofErr w:type="spellEnd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e Sofie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Onderbeke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, inquadra la riforma della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normativa belga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in attuazione della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Direttiva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Insolvency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, avvenuta, tardivamente rispetto a quanto accaduto nella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maggiorparte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degli Stati membri, il 25 maggio 2023.</w:t>
      </w:r>
    </w:p>
    <w:p w14:paraId="67900786" w14:textId="77777777" w:rsidR="008B2F8F" w:rsidRPr="008B2F8F" w:rsidRDefault="008B2F8F" w:rsidP="008B2F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</w:pP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Nel quarto approfondimento,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Francesco Grieco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 torna a esaminare la riforma della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Ley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Concursal</w:t>
      </w:r>
      <w:proofErr w:type="spellEnd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 spagnola</w:t>
      </w:r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, con specifica attenzione al meccanismo del voto nei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planes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de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restructuración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e nella prospettiva della comparazione con gli istituti del Codice della crisi. Chiude la sezione il contributo di </w:t>
      </w:r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 xml:space="preserve">Antonella </w:t>
      </w:r>
      <w:proofErr w:type="spellStart"/>
      <w:r w:rsidRPr="008B2F8F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bdr w:val="none" w:sz="0" w:space="0" w:color="auto" w:frame="1"/>
          <w:lang w:eastAsia="it-IT"/>
          <w14:ligatures w14:val="none"/>
        </w:rPr>
        <w:t>Tanico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 sull’evoluzione della crisi di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Evergrande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– il gigante immobiliare cinese che, come accennato, ha presentato istanza ai sensi del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Chapter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15 presso la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Bankrupcty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Court Southern </w:t>
      </w:r>
      <w:proofErr w:type="spellStart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>District</w:t>
      </w:r>
      <w:proofErr w:type="spellEnd"/>
      <w:r w:rsidRPr="008B2F8F">
        <w:rPr>
          <w:rFonts w:ascii="Arial" w:eastAsia="Times New Roman" w:hAnsi="Arial" w:cs="Arial"/>
          <w:color w:val="333333"/>
          <w:kern w:val="0"/>
          <w:sz w:val="23"/>
          <w:szCs w:val="23"/>
          <w:lang w:eastAsia="it-IT"/>
          <w14:ligatures w14:val="none"/>
        </w:rPr>
        <w:t xml:space="preserve"> di New York chiedendo il riconoscimento delle procedure aperte presso l’Alta Corte di Hong Kong – e i cui esiti sono tutt’ora incerti.</w:t>
      </w:r>
    </w:p>
    <w:p w14:paraId="2A411D7F" w14:textId="1B7D959F" w:rsidR="00165F48" w:rsidRPr="00B243F1" w:rsidRDefault="00165F48" w:rsidP="008B2F8F">
      <w:pPr>
        <w:spacing w:after="0" w:line="240" w:lineRule="auto"/>
        <w:ind w:left="-62"/>
        <w:jc w:val="both"/>
        <w:rPr>
          <w:rFonts w:ascii="Arial" w:hAnsi="Arial" w:cs="Arial"/>
          <w:sz w:val="23"/>
          <w:szCs w:val="23"/>
        </w:rPr>
      </w:pPr>
    </w:p>
    <w:sectPr w:rsidR="00165F48" w:rsidRPr="00B243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B1E9" w14:textId="77777777" w:rsidR="00E317C1" w:rsidRDefault="00E317C1" w:rsidP="00165F48">
      <w:pPr>
        <w:spacing w:after="0" w:line="240" w:lineRule="auto"/>
      </w:pPr>
      <w:r>
        <w:separator/>
      </w:r>
    </w:p>
  </w:endnote>
  <w:endnote w:type="continuationSeparator" w:id="0">
    <w:p w14:paraId="22D8AFB6" w14:textId="77777777" w:rsidR="00E317C1" w:rsidRDefault="00E317C1" w:rsidP="0016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37D1" w14:textId="77777777" w:rsidR="00E317C1" w:rsidRDefault="00E317C1" w:rsidP="00165F48">
      <w:pPr>
        <w:spacing w:after="0" w:line="240" w:lineRule="auto"/>
      </w:pPr>
      <w:r>
        <w:separator/>
      </w:r>
    </w:p>
  </w:footnote>
  <w:footnote w:type="continuationSeparator" w:id="0">
    <w:p w14:paraId="7AC2B34A" w14:textId="77777777" w:rsidR="00E317C1" w:rsidRDefault="00E317C1" w:rsidP="0016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B0B5" w14:textId="1B8EB62D" w:rsidR="00B243F1" w:rsidRDefault="00B243F1" w:rsidP="00B243F1">
    <w:pPr>
      <w:pStyle w:val="Intestazione"/>
      <w:jc w:val="center"/>
    </w:pPr>
    <w:r>
      <w:rPr>
        <w:noProof/>
      </w:rPr>
      <w:drawing>
        <wp:inline distT="0" distB="0" distL="0" distR="0" wp14:anchorId="4CEFA5ED" wp14:editId="20BD5D2D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48"/>
    <w:rsid w:val="00027AA9"/>
    <w:rsid w:val="00130791"/>
    <w:rsid w:val="00165F48"/>
    <w:rsid w:val="00183150"/>
    <w:rsid w:val="004B5E5A"/>
    <w:rsid w:val="00667217"/>
    <w:rsid w:val="006A5E83"/>
    <w:rsid w:val="00764B73"/>
    <w:rsid w:val="0089790B"/>
    <w:rsid w:val="008B2F8F"/>
    <w:rsid w:val="008E566B"/>
    <w:rsid w:val="00B243F1"/>
    <w:rsid w:val="00B253A2"/>
    <w:rsid w:val="00B814AE"/>
    <w:rsid w:val="00E317C1"/>
    <w:rsid w:val="00E616DB"/>
    <w:rsid w:val="00E91059"/>
    <w:rsid w:val="00F242F4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A61D"/>
  <w15:chartTrackingRefBased/>
  <w15:docId w15:val="{9FDFFF4F-E482-4AED-BF56-5D1A8F9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B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F4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F48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5F48"/>
    <w:rPr>
      <w:color w:val="0563C1" w:themeColor="hyperlink"/>
      <w:u w:val="single"/>
    </w:rPr>
  </w:style>
  <w:style w:type="character" w:styleId="Rimandonotaapidipagina">
    <w:name w:val="footnote reference"/>
    <w:aliases w:val="Rimando nota a piè di pagina 2"/>
    <w:uiPriority w:val="99"/>
    <w:unhideWhenUsed/>
    <w:rsid w:val="00165F4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AA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3F1"/>
  </w:style>
  <w:style w:type="paragraph" w:styleId="Pidipagina">
    <w:name w:val="footer"/>
    <w:basedOn w:val="Normale"/>
    <w:link w:val="PidipaginaCarattere"/>
    <w:uiPriority w:val="99"/>
    <w:unhideWhenUsed/>
    <w:rsid w:val="00B243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3F1"/>
  </w:style>
  <w:style w:type="character" w:customStyle="1" w:styleId="Titolo1Carattere">
    <w:name w:val="Titolo 1 Carattere"/>
    <w:basedOn w:val="Carpredefinitoparagrafo"/>
    <w:link w:val="Titolo1"/>
    <w:uiPriority w:val="9"/>
    <w:rsid w:val="008B2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00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ess-magazine.it/commercialisti-pubblicato-l8-numero-dellosservatorio-internazionale-crisi-dimpre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nazionalecommercialisti.it/node/17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2023-10-06T10:15:00Z</dcterms:created>
  <dcterms:modified xsi:type="dcterms:W3CDTF">2023-10-06T10:18:00Z</dcterms:modified>
</cp:coreProperties>
</file>