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5B08" w14:textId="77777777" w:rsidR="00B243F1" w:rsidRPr="008B2F8F" w:rsidRDefault="00B243F1" w:rsidP="008B2F8F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</w:pPr>
      <w:bookmarkStart w:id="0" w:name="_Toc121493313"/>
    </w:p>
    <w:p w14:paraId="561676F3" w14:textId="77777777" w:rsidR="00B243F1" w:rsidRPr="008B2F8F" w:rsidRDefault="00B243F1" w:rsidP="008B2F8F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</w:pPr>
    </w:p>
    <w:p w14:paraId="1E79E7A6" w14:textId="12760E7C" w:rsidR="00165F48" w:rsidRPr="008B2F8F" w:rsidRDefault="00165F48" w:rsidP="008B2F8F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</w:pPr>
      <w:r w:rsidRPr="008B2F8F"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  <w:t>Comunicato stampa</w:t>
      </w:r>
    </w:p>
    <w:p w14:paraId="55CCE352" w14:textId="77777777" w:rsidR="00165F48" w:rsidRPr="008B2F8F" w:rsidRDefault="00165F48" w:rsidP="008B2F8F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4D03DFF4" w14:textId="20DF5DB9" w:rsidR="00165F48" w:rsidRPr="008B2F8F" w:rsidRDefault="008B2F8F" w:rsidP="008B2F8F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CRISI D’IMPRESA, PUBBLICATO NUOVO OSSERVATORIO INTERNAZIONALE</w:t>
      </w:r>
    </w:p>
    <w:p w14:paraId="65568BCD" w14:textId="77777777" w:rsidR="00165F48" w:rsidRPr="008B2F8F" w:rsidRDefault="00165F48" w:rsidP="008B2F8F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</w:p>
    <w:p w14:paraId="0678F97D" w14:textId="402394AC" w:rsidR="00165F48" w:rsidRDefault="008B2F8F" w:rsidP="008B2F8F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Diffuso il nono numero del Bollettino curata da Consiglio e Fondazione nazionale di Ricerca dei commercialisti</w:t>
      </w:r>
    </w:p>
    <w:p w14:paraId="2D493F6E" w14:textId="77777777" w:rsidR="00B814AE" w:rsidRPr="008B2F8F" w:rsidRDefault="00B814AE" w:rsidP="008B2F8F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</w:p>
    <w:p w14:paraId="2C1260F9" w14:textId="77777777" w:rsidR="00165F48" w:rsidRPr="008B2F8F" w:rsidRDefault="00165F48" w:rsidP="008B2F8F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bookmarkEnd w:id="0"/>
    <w:p w14:paraId="0CD38738" w14:textId="487A1D3F" w:rsid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B814AE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lang w:eastAsia="it-IT"/>
          <w14:ligatures w14:val="none"/>
        </w:rPr>
        <w:t>Roma, 27 settembre 2023</w:t>
      </w:r>
      <w:r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– 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Il Consiglio e la Fondazione nazionali dei commercialisti hanno pubblicato il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nono numero 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dell’</w:t>
      </w:r>
      <w:hyperlink r:id="rId6" w:history="1">
        <w:r w:rsidRPr="008B2F8F">
          <w:rPr>
            <w:rFonts w:ascii="Arial" w:eastAsia="Times New Roman" w:hAnsi="Arial" w:cs="Arial"/>
            <w:color w:val="0070C0"/>
            <w:kern w:val="0"/>
            <w:sz w:val="23"/>
            <w:szCs w:val="23"/>
            <w:u w:val="single"/>
            <w:bdr w:val="none" w:sz="0" w:space="0" w:color="auto" w:frame="1"/>
            <w:lang w:eastAsia="it-IT"/>
            <w14:ligatures w14:val="none"/>
          </w:rPr>
          <w:t>Osservatorio internazionale sulla crisi d’impresa</w:t>
        </w:r>
      </w:hyperlink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 Il Bollettino commenta le novità legislative e giurisprudenziali relative all’insolvenza in ambito internazionale e transnazionale. Nelle sezioni e nei commenti predisposti dagli Autori, si annotano recenti modifiche legislative, rilevanti pronunce pubblicate negli ultimi mesi sull’insolvenza e sulla ristrutturazione in Europa e nel resto del mondo e si segnalano interessanti novità per i professionisti del settore.</w:t>
      </w:r>
    </w:p>
    <w:p w14:paraId="7209A70E" w14:textId="77777777" w:rsidR="00B814AE" w:rsidRPr="008B2F8F" w:rsidRDefault="00B814AE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29F73554" w14:textId="31C36155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LE NOVIT</w:t>
      </w:r>
      <w:r w:rsidR="00B814AE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 DI QUESTO NUMERO</w:t>
      </w:r>
    </w:p>
    <w:p w14:paraId="0BC5A405" w14:textId="77777777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Per quanto attiene alla Normativa, le novità segnalate in questo numero del Bollettino attengono alla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legislazione canadese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sul riconoscimento di ulteriori prededuzioni per crediti pensionistici e al diritto societario svizzero che ha introdotto alcune importanti modifiche al codice delle obbligazioni in ordine alla disciplina delle ristrutturazioni aziendali.</w:t>
      </w:r>
    </w:p>
    <w:p w14:paraId="383218C0" w14:textId="77777777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Nella sezione dedicata alle Novità giurisprudenziali, dando seguito alle anticipazioni effettuate nell’</w:t>
      </w:r>
      <w:hyperlink r:id="rId7" w:history="1">
        <w:r w:rsidRPr="008B2F8F">
          <w:rPr>
            <w:rFonts w:ascii="Arial" w:eastAsia="Times New Roman" w:hAnsi="Arial" w:cs="Arial"/>
            <w:color w:val="F7323F"/>
            <w:kern w:val="0"/>
            <w:sz w:val="23"/>
            <w:szCs w:val="23"/>
            <w:u w:val="single"/>
            <w:bdr w:val="none" w:sz="0" w:space="0" w:color="auto" w:frame="1"/>
            <w:lang w:eastAsia="it-IT"/>
            <w14:ligatures w14:val="none"/>
          </w:rPr>
          <w:t>ottavo numero</w:t>
        </w:r>
      </w:hyperlink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continua l’esame della vicenda che ha interessato 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Lojas</w:t>
      </w:r>
      <w:proofErr w:type="spellEnd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 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Americanas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società brasiliana quotata in borsa, e le sue controllate, con l’individuazione dei contenuti del piano di ristrutturazione predisposto dalla stessa società. Degna di nota è anche la notizia relativa al deposito da parte di 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Evergrande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e le sue controllate, dell’istanza presso la 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Bankrupcty</w:t>
      </w:r>
      <w:proofErr w:type="spellEnd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 Court Southern 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District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di New York per il riconoscimento ai sensi del 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Chapter</w:t>
      </w:r>
      <w:proofErr w:type="spellEnd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 15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per gli 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schemes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promossi a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Hong Kong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e nelle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Isole Vergini Britanniche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per far fronte a 20 miliardi di dollari di debiti regolati dalla legge di New York. Alla vicenda, i cui sviluppi son peraltro tutt’ora incerti, è dedicata particolare attenzione, tanto che nella sezione relativa agli Approfondimenti si effettua un’integrazione della notizia.</w:t>
      </w:r>
    </w:p>
    <w:p w14:paraId="74EC5BC8" w14:textId="77777777" w:rsid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Interessante, per le problematiche sottese, è il caso di 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Steinhoff</w:t>
      </w:r>
      <w:proofErr w:type="spellEnd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 International Holding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trattato dalla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Alta Corte del Sud Africa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in occasione del quale si è affrontata la questione relativa alla sorte delle società insolventi appartenenti a giurisdizioni diverse da quella sudafricana: secondo l’Alta Corte queste ultime possono essere poste in liquidazione giudiziale dai Tribunali sudafricani.</w:t>
      </w:r>
    </w:p>
    <w:p w14:paraId="709097F9" w14:textId="77777777" w:rsidR="00B814AE" w:rsidRPr="008B2F8F" w:rsidRDefault="00B814AE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2A8A0649" w14:textId="77777777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IL MONITORAGGIO DELLE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GIURISDIZIONI EUROPEE E ITALIANA</w:t>
      </w:r>
    </w:p>
    <w:p w14:paraId="0C1FF777" w14:textId="77777777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Numerose sono le segnalazioni rinvenienti dal monitoraggio delle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giurisdizioni europee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con particolare attenzione alla nostra. Il nono numero del Bollettino riporta, infatti, la pronuncia della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Suprema Corte di Cassazione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 del 28 luglio 2023, n. 23072 in relazione alla richiesta di disapplicazione dell’art. 67, comma 2,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l.f.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per contrasto con il diritto dell’Unione; analizza il provvedimento del Tribunale di Bergamo del 18 aprile 2023 che rappresenta una delle prime applicazioni del novellato art. 21, paragrafo 3. Regolamento (UE) n. 2015/848; riporta il contenuto annotato di due provvedimenti del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Juzgado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de lo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Mercantil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di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Palma di Maiorca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contenenti domande di pronuncia pregiudiziale alla Corte di Giustizia dell’Unione europea – il cui procedimento è ancora in corso – sui rapporti tra procedura principale e procedura secondaria di insolvenza, con particolar riguardo alla sorte dei crediti di lavoro.</w:t>
      </w:r>
    </w:p>
    <w:p w14:paraId="3A4F722F" w14:textId="77777777" w:rsidR="00B814AE" w:rsidRDefault="00B814AE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</w:pPr>
    </w:p>
    <w:p w14:paraId="5F6DDF7A" w14:textId="77777777" w:rsidR="00B814AE" w:rsidRDefault="00B814AE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</w:pPr>
    </w:p>
    <w:p w14:paraId="416534A5" w14:textId="14DC3870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GLI APPROFONDIMENTI</w:t>
      </w:r>
    </w:p>
    <w:p w14:paraId="62A1826B" w14:textId="77777777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Ricca di contenuti è la sezione relativa agli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Approfondimenti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 In essa, gli autori sviluppano con continuità metodologica tematiche e argomenti di notevole e attuale interesse che, in alcuni casi, sono stati affrontati nei precedenti numeri o esaminati in diverse sezioni del Bollettino.</w:t>
      </w:r>
    </w:p>
    <w:p w14:paraId="691532F6" w14:textId="77777777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Nel primo scritto, dedicato ai procedimenti di 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Chapter</w:t>
      </w:r>
      <w:proofErr w:type="spellEnd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 11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Luciano Panzani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esamina le linee di tendenza che caratterizzano le domande depositate nella prima metà del 2023 e si sofferma sui casi di 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Chapter</w:t>
      </w:r>
      <w:proofErr w:type="spellEnd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 22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, vale a dire sulle procedure che riguardano imprese che, più di una volta e in un periodo di tempo relativamente breve, hanno fatto accesso alla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reorganization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del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Chapter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11.</w:t>
      </w:r>
    </w:p>
    <w:p w14:paraId="6D50FD60" w14:textId="77777777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Il secondo scritto, di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Stephen 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Baister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tradotto in italiano da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Giorgio Corno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prendendo le mosse dal fallimento di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Georgy Ivanovich 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Bedzhamov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si sofferma sull’analisi di alcuni dei problemi che possono riscontrarsi in occasione del riconoscimento di procedure di insolvenza straniere nel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Regno Unito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</w:t>
      </w:r>
    </w:p>
    <w:p w14:paraId="57154F4C" w14:textId="77777777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Il terzo scritto, di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Bart De Moor, Marine 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Callebaut</w:t>
      </w:r>
      <w:proofErr w:type="spellEnd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 e Sofie 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Onderbeke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inquadra la riforma della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normativa belga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in attuazione della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Direttiva 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Insolvency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, avvenuta, tardivamente rispetto a quanto accaduto nella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maggiorparte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degli Stati membri, il 25 maggio 2023.</w:t>
      </w:r>
    </w:p>
    <w:p w14:paraId="67900786" w14:textId="77777777" w:rsidR="008B2F8F" w:rsidRPr="008B2F8F" w:rsidRDefault="008B2F8F" w:rsidP="008B2F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Nel quarto approfondimento,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Francesco Grieco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torna a esaminare la riforma della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Ley 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Concursal</w:t>
      </w:r>
      <w:proofErr w:type="spellEnd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 spagnola</w:t>
      </w:r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, con specifica attenzione al meccanismo del voto nei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planes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de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restructuración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e nella prospettiva della comparazione con gli istituti del Codice della crisi. Chiude la sezione il contributo di </w:t>
      </w:r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Antonella </w:t>
      </w:r>
      <w:proofErr w:type="spellStart"/>
      <w:r w:rsidRPr="008B2F8F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Tanico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 sull’evoluzione della crisi di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Evergrande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– il gigante immobiliare cinese che, come accennato, ha presentato istanza ai sensi del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Chapter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15 presso la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Bankrupcty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Court Southern </w:t>
      </w:r>
      <w:proofErr w:type="spellStart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District</w:t>
      </w:r>
      <w:proofErr w:type="spellEnd"/>
      <w:r w:rsidRPr="008B2F8F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di New York chiedendo il riconoscimento delle procedure aperte presso l’Alta Corte di Hong Kong – e i cui esiti sono tutt’ora incerti.</w:t>
      </w:r>
    </w:p>
    <w:p w14:paraId="2A411D7F" w14:textId="1B7D959F" w:rsidR="00165F48" w:rsidRPr="00B243F1" w:rsidRDefault="00165F48" w:rsidP="008B2F8F">
      <w:pPr>
        <w:spacing w:after="0" w:line="240" w:lineRule="auto"/>
        <w:ind w:left="-62"/>
        <w:jc w:val="both"/>
        <w:rPr>
          <w:rFonts w:ascii="Arial" w:hAnsi="Arial" w:cs="Arial"/>
          <w:sz w:val="23"/>
          <w:szCs w:val="23"/>
        </w:rPr>
      </w:pPr>
    </w:p>
    <w:sectPr w:rsidR="00165F48" w:rsidRPr="00B243F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B1E9" w14:textId="77777777" w:rsidR="00E317C1" w:rsidRDefault="00E317C1" w:rsidP="00165F48">
      <w:pPr>
        <w:spacing w:after="0" w:line="240" w:lineRule="auto"/>
      </w:pPr>
      <w:r>
        <w:separator/>
      </w:r>
    </w:p>
  </w:endnote>
  <w:endnote w:type="continuationSeparator" w:id="0">
    <w:p w14:paraId="22D8AFB6" w14:textId="77777777" w:rsidR="00E317C1" w:rsidRDefault="00E317C1" w:rsidP="0016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37D1" w14:textId="77777777" w:rsidR="00E317C1" w:rsidRDefault="00E317C1" w:rsidP="00165F48">
      <w:pPr>
        <w:spacing w:after="0" w:line="240" w:lineRule="auto"/>
      </w:pPr>
      <w:r>
        <w:separator/>
      </w:r>
    </w:p>
  </w:footnote>
  <w:footnote w:type="continuationSeparator" w:id="0">
    <w:p w14:paraId="7AC2B34A" w14:textId="77777777" w:rsidR="00E317C1" w:rsidRDefault="00E317C1" w:rsidP="0016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B0B5" w14:textId="1B8EB62D" w:rsidR="00B243F1" w:rsidRDefault="00B243F1" w:rsidP="00B243F1">
    <w:pPr>
      <w:pStyle w:val="Intestazione"/>
      <w:jc w:val="center"/>
    </w:pPr>
    <w:r>
      <w:rPr>
        <w:noProof/>
      </w:rPr>
      <w:drawing>
        <wp:inline distT="0" distB="0" distL="0" distR="0" wp14:anchorId="4CEFA5ED" wp14:editId="20BD5D2D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48"/>
    <w:rsid w:val="00027AA9"/>
    <w:rsid w:val="00130791"/>
    <w:rsid w:val="00165F48"/>
    <w:rsid w:val="00183150"/>
    <w:rsid w:val="004B5E5A"/>
    <w:rsid w:val="00667217"/>
    <w:rsid w:val="006A5E83"/>
    <w:rsid w:val="00764B73"/>
    <w:rsid w:val="0089790B"/>
    <w:rsid w:val="008B2F8F"/>
    <w:rsid w:val="008E566B"/>
    <w:rsid w:val="00B243F1"/>
    <w:rsid w:val="00B253A2"/>
    <w:rsid w:val="00B814AE"/>
    <w:rsid w:val="00E317C1"/>
    <w:rsid w:val="00E616DB"/>
    <w:rsid w:val="00E91059"/>
    <w:rsid w:val="00F242F4"/>
    <w:rsid w:val="00F4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A61D"/>
  <w15:chartTrackingRefBased/>
  <w15:docId w15:val="{9FDFFF4F-E482-4AED-BF56-5D1A8F9B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2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F4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F48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65F48"/>
    <w:rPr>
      <w:color w:val="0563C1" w:themeColor="hyperlink"/>
      <w:u w:val="single"/>
    </w:rPr>
  </w:style>
  <w:style w:type="character" w:styleId="Rimandonotaapidipagina">
    <w:name w:val="footnote reference"/>
    <w:aliases w:val="Rimando nota a piè di pagina 2"/>
    <w:uiPriority w:val="99"/>
    <w:unhideWhenUsed/>
    <w:rsid w:val="00165F48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AA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2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3F1"/>
  </w:style>
  <w:style w:type="paragraph" w:styleId="Pidipagina">
    <w:name w:val="footer"/>
    <w:basedOn w:val="Normale"/>
    <w:link w:val="PidipaginaCarattere"/>
    <w:uiPriority w:val="99"/>
    <w:unhideWhenUsed/>
    <w:rsid w:val="00B2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3F1"/>
  </w:style>
  <w:style w:type="character" w:customStyle="1" w:styleId="Titolo1Carattere">
    <w:name w:val="Titolo 1 Carattere"/>
    <w:basedOn w:val="Carpredefinitoparagrafo"/>
    <w:link w:val="Titolo1"/>
    <w:uiPriority w:val="9"/>
    <w:rsid w:val="008B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00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ess-magazine.it/commercialisti-pubblicato-l8-numero-dellosservatorio-internazionale-crisi-dimpre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ndazionenazionalecommercialisti.it/node/173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2023-10-06T10:15:00Z</dcterms:created>
  <dcterms:modified xsi:type="dcterms:W3CDTF">2023-10-06T10:18:00Z</dcterms:modified>
</cp:coreProperties>
</file>