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D1104" w:rsidRDefault="009D1104" w:rsidP="009D1104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</w:p>
    <w:p w:rsidR="009F27EC" w:rsidRPr="0098256A" w:rsidRDefault="009F27EC" w:rsidP="009D1104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98256A">
        <w:rPr>
          <w:rFonts w:ascii="Arial" w:hAnsi="Arial" w:cs="Arial"/>
          <w:color w:val="000000" w:themeColor="text1"/>
        </w:rPr>
        <w:t>Comunicato stampa</w:t>
      </w:r>
    </w:p>
    <w:p w:rsidR="00426BED" w:rsidRPr="0098256A" w:rsidRDefault="004A0B83" w:rsidP="00B20B2E">
      <w:pPr>
        <w:pStyle w:val="Corpodeltesto6"/>
        <w:widowControl w:val="0"/>
        <w:ind w:firstLine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>COMMERCIALISTI, DA DIECI ANNI IN CORSO PROCESSO DESERTIFICAZIONE TESSUTO PARTITE IVA</w:t>
      </w:r>
    </w:p>
    <w:p w:rsidR="004A1C37" w:rsidRPr="0098256A" w:rsidRDefault="004A1C37" w:rsidP="00B20B2E">
      <w:pPr>
        <w:pStyle w:val="Corpodeltesto6"/>
        <w:widowControl w:val="0"/>
        <w:ind w:firstLine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4A1C37" w:rsidRPr="0098256A" w:rsidRDefault="004A1C37" w:rsidP="00B20B2E">
      <w:pPr>
        <w:pStyle w:val="Corpodeltesto6"/>
        <w:widowControl w:val="0"/>
        <w:ind w:firstLine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L’Ufficio studi del Consiglio nazionale della categoria evidenzia una fuga dalla partita IVA a favore del lavoro subordinato e parasubordinato. </w:t>
      </w:r>
      <w:r w:rsidR="009670A4"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Una tendenza che con l’emergenza COVID-19 rischia di divenire irreversibile. </w:t>
      </w:r>
      <w:r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>Miani</w:t>
      </w:r>
      <w:r w:rsidR="005753E9"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“Penalizzati da adempimenti e politiche sbagliate sulla determinazione della base imponibile. </w:t>
      </w:r>
      <w:r w:rsidR="005753E9"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Ora il </w:t>
      </w:r>
      <w:r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>Governo mostri attenzione al settore”</w:t>
      </w:r>
    </w:p>
    <w:p w:rsidR="004A0B83" w:rsidRPr="0098256A" w:rsidRDefault="004A0B83" w:rsidP="00B20B2E">
      <w:pPr>
        <w:pStyle w:val="Corpodeltesto6"/>
        <w:widowControl w:val="0"/>
        <w:ind w:firstLine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426BED" w:rsidRPr="0098256A" w:rsidRDefault="004A0B83" w:rsidP="00B20B2E">
      <w:pPr>
        <w:pStyle w:val="Corpodeltesto6"/>
        <w:widowControl w:val="0"/>
        <w:ind w:firstLine="0"/>
        <w:rPr>
          <w:rFonts w:ascii="Arial" w:hAnsi="Arial" w:cs="Arial"/>
          <w:color w:val="000000" w:themeColor="text1"/>
          <w:sz w:val="24"/>
          <w:szCs w:val="24"/>
        </w:rPr>
      </w:pPr>
      <w:r w:rsidRPr="0098256A">
        <w:rPr>
          <w:rFonts w:ascii="Arial" w:hAnsi="Arial" w:cs="Arial"/>
          <w:i/>
          <w:iCs/>
          <w:color w:val="000000" w:themeColor="text1"/>
          <w:sz w:val="24"/>
          <w:szCs w:val="24"/>
        </w:rPr>
        <w:t>Roma, 25 giugno 2020 -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26BED" w:rsidRPr="0098256A">
        <w:rPr>
          <w:rFonts w:ascii="Arial" w:hAnsi="Arial" w:cs="Arial"/>
          <w:color w:val="000000" w:themeColor="text1"/>
          <w:sz w:val="24"/>
          <w:szCs w:val="24"/>
        </w:rPr>
        <w:t xml:space="preserve">Da dieci anni </w:t>
      </w:r>
      <w:r w:rsidR="00547AE9" w:rsidRPr="0098256A">
        <w:rPr>
          <w:rFonts w:ascii="Arial" w:hAnsi="Arial" w:cs="Arial"/>
          <w:color w:val="000000" w:themeColor="text1"/>
          <w:sz w:val="24"/>
          <w:szCs w:val="24"/>
        </w:rPr>
        <w:t xml:space="preserve">è </w:t>
      </w:r>
      <w:r w:rsidR="00426BED" w:rsidRPr="0098256A">
        <w:rPr>
          <w:rFonts w:ascii="Arial" w:hAnsi="Arial" w:cs="Arial"/>
          <w:color w:val="000000" w:themeColor="text1"/>
          <w:sz w:val="24"/>
          <w:szCs w:val="24"/>
        </w:rPr>
        <w:t xml:space="preserve">in atto </w:t>
      </w:r>
      <w:r w:rsidR="00547AE9" w:rsidRPr="0098256A">
        <w:rPr>
          <w:rFonts w:ascii="Arial" w:hAnsi="Arial" w:cs="Arial"/>
          <w:color w:val="000000" w:themeColor="text1"/>
          <w:sz w:val="24"/>
          <w:szCs w:val="24"/>
        </w:rPr>
        <w:t xml:space="preserve">un vero e proprio </w:t>
      </w:r>
      <w:r w:rsidR="00547AE9"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processo </w:t>
      </w:r>
      <w:r w:rsidR="00426BED"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di desertificazione </w:t>
      </w:r>
      <w:r w:rsidR="00547AE9" w:rsidRPr="0098256A">
        <w:rPr>
          <w:rFonts w:ascii="Arial" w:hAnsi="Arial" w:cs="Arial"/>
          <w:color w:val="000000" w:themeColor="text1"/>
          <w:sz w:val="24"/>
          <w:szCs w:val="24"/>
        </w:rPr>
        <w:t xml:space="preserve">del tessuto delle piccole </w:t>
      </w:r>
      <w:r w:rsidR="00426BED" w:rsidRPr="0098256A">
        <w:rPr>
          <w:rFonts w:ascii="Arial" w:hAnsi="Arial" w:cs="Arial"/>
          <w:color w:val="000000" w:themeColor="text1"/>
          <w:sz w:val="24"/>
          <w:szCs w:val="24"/>
        </w:rPr>
        <w:t>parti</w:t>
      </w:r>
      <w:r w:rsidR="00547AE9" w:rsidRPr="0098256A">
        <w:rPr>
          <w:rFonts w:ascii="Arial" w:hAnsi="Arial" w:cs="Arial"/>
          <w:color w:val="000000" w:themeColor="text1"/>
          <w:sz w:val="24"/>
          <w:szCs w:val="24"/>
        </w:rPr>
        <w:t>t</w:t>
      </w:r>
      <w:r w:rsidR="00426BED" w:rsidRPr="0098256A">
        <w:rPr>
          <w:rFonts w:ascii="Arial" w:hAnsi="Arial" w:cs="Arial"/>
          <w:color w:val="000000" w:themeColor="text1"/>
          <w:sz w:val="24"/>
          <w:szCs w:val="24"/>
        </w:rPr>
        <w:t xml:space="preserve">e </w:t>
      </w:r>
      <w:r w:rsidR="00547AE9" w:rsidRPr="0098256A">
        <w:rPr>
          <w:rFonts w:ascii="Arial" w:hAnsi="Arial" w:cs="Arial"/>
          <w:color w:val="000000" w:themeColor="text1"/>
          <w:sz w:val="24"/>
          <w:szCs w:val="24"/>
        </w:rPr>
        <w:t xml:space="preserve">IVA. 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Il dato </w:t>
      </w:r>
      <w:r w:rsidR="00547AE9" w:rsidRPr="0098256A">
        <w:rPr>
          <w:rFonts w:ascii="Arial" w:hAnsi="Arial" w:cs="Arial"/>
          <w:color w:val="000000" w:themeColor="text1"/>
          <w:sz w:val="24"/>
          <w:szCs w:val="24"/>
        </w:rPr>
        <w:t>rilevato nei giorni sc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orsi </w:t>
      </w:r>
      <w:r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>dall’Osservatorio Inps sul lavoro autonomo</w:t>
      </w:r>
      <w:r w:rsidR="00547AE9" w:rsidRPr="0098256A">
        <w:rPr>
          <w:rFonts w:ascii="Arial" w:hAnsi="Arial" w:cs="Arial"/>
          <w:color w:val="000000" w:themeColor="text1"/>
          <w:sz w:val="24"/>
          <w:szCs w:val="24"/>
        </w:rPr>
        <w:t xml:space="preserve"> con riguardo ad artigiani e commercianti iscritti alle re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>lative</w:t>
      </w:r>
      <w:r w:rsidR="00547AE9" w:rsidRPr="0098256A">
        <w:rPr>
          <w:rFonts w:ascii="Arial" w:hAnsi="Arial" w:cs="Arial"/>
          <w:color w:val="000000" w:themeColor="text1"/>
          <w:sz w:val="24"/>
          <w:szCs w:val="24"/>
        </w:rPr>
        <w:t xml:space="preserve"> gestioni pr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>e</w:t>
      </w:r>
      <w:r w:rsidR="00547AE9" w:rsidRPr="0098256A">
        <w:rPr>
          <w:rFonts w:ascii="Arial" w:hAnsi="Arial" w:cs="Arial"/>
          <w:color w:val="000000" w:themeColor="text1"/>
          <w:sz w:val="24"/>
          <w:szCs w:val="24"/>
        </w:rPr>
        <w:t>v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>i</w:t>
      </w:r>
      <w:r w:rsidR="00547AE9" w:rsidRPr="0098256A">
        <w:rPr>
          <w:rFonts w:ascii="Arial" w:hAnsi="Arial" w:cs="Arial"/>
          <w:color w:val="000000" w:themeColor="text1"/>
          <w:sz w:val="24"/>
          <w:szCs w:val="24"/>
        </w:rPr>
        <w:t>d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>e</w:t>
      </w:r>
      <w:r w:rsidR="00547AE9" w:rsidRPr="0098256A">
        <w:rPr>
          <w:rFonts w:ascii="Arial" w:hAnsi="Arial" w:cs="Arial"/>
          <w:color w:val="000000" w:themeColor="text1"/>
          <w:sz w:val="24"/>
          <w:szCs w:val="24"/>
        </w:rPr>
        <w:t>nziali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>,</w:t>
      </w:r>
      <w:r w:rsidR="00547AE9" w:rsidRPr="0098256A">
        <w:rPr>
          <w:rFonts w:ascii="Arial" w:hAnsi="Arial" w:cs="Arial"/>
          <w:color w:val="000000" w:themeColor="text1"/>
          <w:sz w:val="24"/>
          <w:szCs w:val="24"/>
        </w:rPr>
        <w:t xml:space="preserve"> trova piena conferma ed anzi amplificazione nei 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numeri elaborati dall’Ufficio studi del Consiglio nazionale dei commercialisti sulla base dei dati del Dipartimento Finanze del Ministero dell’Economia. I commercialisti hanno analizzato le </w:t>
      </w:r>
      <w:r w:rsidR="00547AE9" w:rsidRPr="0098256A">
        <w:rPr>
          <w:rFonts w:ascii="Arial" w:hAnsi="Arial" w:cs="Arial"/>
          <w:color w:val="000000" w:themeColor="text1"/>
          <w:sz w:val="24"/>
          <w:szCs w:val="24"/>
        </w:rPr>
        <w:t>dichiar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>a</w:t>
      </w:r>
      <w:r w:rsidR="00547AE9" w:rsidRPr="0098256A">
        <w:rPr>
          <w:rFonts w:ascii="Arial" w:hAnsi="Arial" w:cs="Arial"/>
          <w:color w:val="000000" w:themeColor="text1"/>
          <w:sz w:val="24"/>
          <w:szCs w:val="24"/>
        </w:rPr>
        <w:t>zioni dei redditi d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>e</w:t>
      </w:r>
      <w:r w:rsidR="00547AE9" w:rsidRPr="0098256A">
        <w:rPr>
          <w:rFonts w:ascii="Arial" w:hAnsi="Arial" w:cs="Arial"/>
          <w:color w:val="000000" w:themeColor="text1"/>
          <w:sz w:val="24"/>
          <w:szCs w:val="24"/>
        </w:rPr>
        <w:t xml:space="preserve">lle persone fisiche relative 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al </w:t>
      </w:r>
      <w:r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decennio </w:t>
      </w:r>
      <w:r w:rsidR="00547AE9"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2008 </w:t>
      </w:r>
      <w:r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>-</w:t>
      </w:r>
      <w:r w:rsidR="00547AE9"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2018</w:t>
      </w:r>
      <w:r w:rsidR="00547AE9" w:rsidRPr="0098256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4A0B83" w:rsidRPr="0098256A" w:rsidRDefault="004A0B83" w:rsidP="00B20B2E">
      <w:pPr>
        <w:pStyle w:val="Corpodeltesto6"/>
        <w:widowControl w:val="0"/>
        <w:ind w:firstLine="0"/>
        <w:rPr>
          <w:rFonts w:ascii="Arial" w:hAnsi="Arial" w:cs="Arial"/>
          <w:color w:val="000000" w:themeColor="text1"/>
          <w:sz w:val="24"/>
          <w:szCs w:val="24"/>
        </w:rPr>
      </w:pPr>
    </w:p>
    <w:p w:rsidR="006B2F33" w:rsidRPr="0098256A" w:rsidRDefault="004A0B83" w:rsidP="006B2F33">
      <w:pPr>
        <w:pStyle w:val="Corpodeltesto6"/>
        <w:widowControl w:val="0"/>
        <w:ind w:firstLine="0"/>
        <w:rPr>
          <w:rFonts w:ascii="Arial" w:hAnsi="Arial" w:cs="Arial"/>
          <w:color w:val="000000" w:themeColor="text1"/>
          <w:sz w:val="24"/>
          <w:szCs w:val="24"/>
        </w:rPr>
      </w:pP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Un lasso di tempo nel quale, sottolineano i commercialisti, </w:t>
      </w:r>
      <w:r w:rsidR="006B2F33" w:rsidRPr="0098256A">
        <w:rPr>
          <w:rFonts w:ascii="Arial" w:hAnsi="Arial" w:cs="Arial"/>
          <w:color w:val="000000" w:themeColor="text1"/>
          <w:sz w:val="24"/>
          <w:szCs w:val="24"/>
        </w:rPr>
        <w:t xml:space="preserve">si evidenzia una </w:t>
      </w:r>
      <w:r w:rsidR="006B2F33"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>sostanziale fuga dalla partita IVA a favore del lavoro subordinato e parasubordinato</w:t>
      </w:r>
      <w:r w:rsidR="006B2F33" w:rsidRPr="0098256A">
        <w:rPr>
          <w:rFonts w:ascii="Arial" w:hAnsi="Arial" w:cs="Arial"/>
          <w:color w:val="000000" w:themeColor="text1"/>
          <w:sz w:val="24"/>
          <w:szCs w:val="24"/>
        </w:rPr>
        <w:t xml:space="preserve"> (che potrà forse essere contrastata dal potenziamento del regime forfetario fino a 65.000 euro di fatturato che decorre dal 2019) e un </w:t>
      </w:r>
      <w:r w:rsidR="006B2F33"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>significativo incremento del livello medio degli assegni pensionistici</w:t>
      </w:r>
      <w:r w:rsidR="006B2F33" w:rsidRPr="0098256A">
        <w:rPr>
          <w:rFonts w:ascii="Arial" w:hAnsi="Arial" w:cs="Arial"/>
          <w:color w:val="000000" w:themeColor="text1"/>
          <w:sz w:val="24"/>
          <w:szCs w:val="24"/>
        </w:rPr>
        <w:t xml:space="preserve"> (con il corrispondente riflesso sul lato della spesa).</w:t>
      </w:r>
      <w:r w:rsidR="009670A4" w:rsidRPr="0098256A">
        <w:rPr>
          <w:rFonts w:ascii="Arial" w:hAnsi="Arial" w:cs="Arial"/>
          <w:color w:val="000000" w:themeColor="text1"/>
          <w:sz w:val="24"/>
          <w:szCs w:val="24"/>
        </w:rPr>
        <w:t xml:space="preserve"> Una tendenza che, a parere della categoria, rischia di diventare </w:t>
      </w:r>
      <w:r w:rsidR="009670A4"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>irreversibile</w:t>
      </w:r>
      <w:r w:rsidR="009670A4" w:rsidRPr="0098256A">
        <w:rPr>
          <w:rFonts w:ascii="Arial" w:hAnsi="Arial" w:cs="Arial"/>
          <w:color w:val="000000" w:themeColor="text1"/>
          <w:sz w:val="24"/>
          <w:szCs w:val="24"/>
        </w:rPr>
        <w:t xml:space="preserve"> a causa dell’emergenza legata al coronavirus.</w:t>
      </w:r>
    </w:p>
    <w:p w:rsidR="006B2F33" w:rsidRPr="0098256A" w:rsidRDefault="006B2F33" w:rsidP="006B2F33">
      <w:pPr>
        <w:pStyle w:val="Corpodeltesto6"/>
        <w:widowControl w:val="0"/>
        <w:ind w:firstLine="0"/>
        <w:rPr>
          <w:rFonts w:ascii="Arial" w:hAnsi="Arial" w:cs="Arial"/>
          <w:color w:val="000000" w:themeColor="text1"/>
          <w:sz w:val="24"/>
          <w:szCs w:val="24"/>
        </w:rPr>
      </w:pPr>
    </w:p>
    <w:p w:rsidR="00B20B2E" w:rsidRPr="0098256A" w:rsidRDefault="006B2F33" w:rsidP="00B20B2E">
      <w:pPr>
        <w:pStyle w:val="Corpodeltesto6"/>
        <w:widowControl w:val="0"/>
        <w:ind w:firstLine="0"/>
        <w:rPr>
          <w:rFonts w:ascii="Arial" w:hAnsi="Arial" w:cs="Arial"/>
          <w:color w:val="000000" w:themeColor="text1"/>
          <w:sz w:val="24"/>
          <w:szCs w:val="24"/>
        </w:rPr>
      </w:pP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Nel decennio preso in esame, </w:t>
      </w:r>
      <w:r w:rsidR="00B20B2E" w:rsidRPr="0098256A">
        <w:rPr>
          <w:rFonts w:ascii="Arial" w:hAnsi="Arial" w:cs="Arial"/>
          <w:color w:val="000000" w:themeColor="text1"/>
          <w:sz w:val="24"/>
          <w:szCs w:val="24"/>
        </w:rPr>
        <w:t xml:space="preserve">a fronte di una </w:t>
      </w:r>
      <w:r w:rsidR="00B20B2E"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>crescita del PIL nominale del 7,84%</w:t>
      </w:r>
      <w:r w:rsidR="00B20B2E" w:rsidRPr="0098256A">
        <w:rPr>
          <w:rFonts w:ascii="Arial" w:hAnsi="Arial" w:cs="Arial"/>
          <w:color w:val="000000" w:themeColor="text1"/>
          <w:sz w:val="24"/>
          <w:szCs w:val="24"/>
        </w:rPr>
        <w:t xml:space="preserve">, i </w:t>
      </w:r>
      <w:r w:rsidR="00B20B2E"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>redditi</w:t>
      </w:r>
      <w:r w:rsidR="00B20B2E" w:rsidRPr="0098256A">
        <w:rPr>
          <w:rFonts w:ascii="Arial" w:hAnsi="Arial" w:cs="Arial"/>
          <w:color w:val="000000" w:themeColor="text1"/>
          <w:sz w:val="24"/>
          <w:szCs w:val="24"/>
        </w:rPr>
        <w:t xml:space="preserve"> risultanti dalle dichiarazioni dei redditi delle persone fisiche sono cresciuti circa il doppio (</w:t>
      </w:r>
      <w:r w:rsidR="00B20B2E"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>14,47%</w:t>
      </w:r>
      <w:r w:rsidR="00B20B2E" w:rsidRPr="0098256A">
        <w:rPr>
          <w:rFonts w:ascii="Arial" w:hAnsi="Arial" w:cs="Arial"/>
          <w:color w:val="000000" w:themeColor="text1"/>
          <w:sz w:val="24"/>
          <w:szCs w:val="24"/>
        </w:rPr>
        <w:t xml:space="preserve">), passando dai </w:t>
      </w:r>
      <w:r w:rsidR="00B20B2E"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>786 miliardi</w:t>
      </w:r>
      <w:r w:rsidR="00B20B2E" w:rsidRPr="0098256A">
        <w:rPr>
          <w:rFonts w:ascii="Arial" w:hAnsi="Arial" w:cs="Arial"/>
          <w:color w:val="000000" w:themeColor="text1"/>
          <w:sz w:val="24"/>
          <w:szCs w:val="24"/>
        </w:rPr>
        <w:t xml:space="preserve"> di euro del </w:t>
      </w:r>
      <w:r w:rsidR="00B20B2E"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>2008</w:t>
      </w:r>
      <w:r w:rsidR="00B20B2E" w:rsidRPr="0098256A">
        <w:rPr>
          <w:rFonts w:ascii="Arial" w:hAnsi="Arial" w:cs="Arial"/>
          <w:color w:val="000000" w:themeColor="text1"/>
          <w:sz w:val="24"/>
          <w:szCs w:val="24"/>
        </w:rPr>
        <w:t xml:space="preserve"> ai </w:t>
      </w:r>
      <w:r w:rsidR="00B20B2E"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>900</w:t>
      </w:r>
      <w:r w:rsidR="00B20B2E" w:rsidRPr="0098256A">
        <w:rPr>
          <w:rFonts w:ascii="Arial" w:hAnsi="Arial" w:cs="Arial"/>
          <w:color w:val="000000" w:themeColor="text1"/>
          <w:sz w:val="24"/>
          <w:szCs w:val="24"/>
        </w:rPr>
        <w:t xml:space="preserve"> miliardi di euro del </w:t>
      </w:r>
      <w:r w:rsidR="00B20B2E"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>2018</w:t>
      </w:r>
      <w:r w:rsidR="00B20B2E" w:rsidRPr="0098256A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4A0B83" w:rsidRPr="0098256A" w:rsidRDefault="004A0B83" w:rsidP="00B20B2E">
      <w:pPr>
        <w:pStyle w:val="Corpodeltesto6"/>
        <w:widowControl w:val="0"/>
        <w:ind w:firstLine="0"/>
        <w:rPr>
          <w:rFonts w:ascii="Arial" w:hAnsi="Arial" w:cs="Arial"/>
          <w:color w:val="000000" w:themeColor="text1"/>
          <w:sz w:val="24"/>
          <w:szCs w:val="24"/>
        </w:rPr>
      </w:pPr>
    </w:p>
    <w:p w:rsidR="00B20B2E" w:rsidRPr="0098256A" w:rsidRDefault="00B20B2E" w:rsidP="00B20B2E">
      <w:pPr>
        <w:pStyle w:val="Corpodeltesto6"/>
        <w:widowControl w:val="0"/>
        <w:ind w:firstLine="0"/>
        <w:rPr>
          <w:rFonts w:ascii="Arial" w:hAnsi="Arial" w:cs="Arial"/>
          <w:color w:val="000000" w:themeColor="text1"/>
          <w:sz w:val="24"/>
          <w:szCs w:val="24"/>
        </w:rPr>
      </w:pP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Dei 900 miliardi di euro dichiarati, </w:t>
      </w:r>
      <w:r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>8 miliardi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 sono risultati </w:t>
      </w:r>
      <w:r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>non imponibili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 (essenzialmente il 50% del reddito fondiario di immobili non locati e assoggettati ad IMU), </w:t>
      </w:r>
      <w:r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>28 miliardi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 sono stati assoggettati a </w:t>
      </w:r>
      <w:r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>regimi di imposizione sostitutiva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 (cedolare secca sulle locazioni immobiliari su 16 miliardi; imposte sostitutive sui redditi delle partite IVA individuali per 10 miliardi; imposta sostitutiva sui premi produttività dei dipendenti per 2 miliardi) e </w:t>
      </w:r>
      <w:r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>864 miliardi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 sono invece confluiti </w:t>
      </w:r>
      <w:r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>nella base imponibile IRPEF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 soggetta alle ordinarie aliquote progressive.</w:t>
      </w:r>
    </w:p>
    <w:p w:rsidR="004A0B83" w:rsidRPr="0098256A" w:rsidRDefault="004A0B83" w:rsidP="00B20B2E">
      <w:pPr>
        <w:pStyle w:val="Corpodeltesto6"/>
        <w:widowControl w:val="0"/>
        <w:ind w:firstLine="0"/>
        <w:rPr>
          <w:rFonts w:ascii="Arial" w:hAnsi="Arial" w:cs="Arial"/>
          <w:color w:val="000000" w:themeColor="text1"/>
          <w:sz w:val="24"/>
          <w:szCs w:val="24"/>
        </w:rPr>
      </w:pPr>
    </w:p>
    <w:p w:rsidR="00B20B2E" w:rsidRPr="0098256A" w:rsidRDefault="00B20B2E" w:rsidP="00B20B2E">
      <w:pPr>
        <w:pStyle w:val="Corpodeltesto6"/>
        <w:widowControl w:val="0"/>
        <w:ind w:firstLine="0"/>
        <w:rPr>
          <w:rFonts w:ascii="Arial" w:hAnsi="Arial" w:cs="Arial"/>
          <w:color w:val="000000" w:themeColor="text1"/>
          <w:sz w:val="24"/>
          <w:szCs w:val="24"/>
        </w:rPr>
      </w:pP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Rispetto ai 28 miliardi del 2018, i redditi assoggettati a tassazione sostitutiva (di lavoro autonomo e dipendente e da fabbricati) nel </w:t>
      </w:r>
      <w:r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>2008 erano appena 3,6 miliardi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>.</w:t>
      </w:r>
      <w:r w:rsidR="004A0B83" w:rsidRPr="0098256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Nel passaggio dal 2008 al 2018, il numero dei </w:t>
      </w:r>
      <w:r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>contribuenti censiti è calato di circa 430mila unità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 (scendendo da 41,8 milioni di contribuenti del 2008 ai 41,3 milioni di contribuenti del 2018).</w:t>
      </w:r>
    </w:p>
    <w:p w:rsidR="00B20B2E" w:rsidRPr="0098256A" w:rsidRDefault="00B20B2E" w:rsidP="00B20B2E">
      <w:pPr>
        <w:pStyle w:val="Corpodeltesto6"/>
        <w:widowControl w:val="0"/>
        <w:ind w:firstLine="0"/>
        <w:rPr>
          <w:rFonts w:ascii="Arial" w:hAnsi="Arial" w:cs="Arial"/>
          <w:color w:val="000000" w:themeColor="text1"/>
          <w:sz w:val="24"/>
          <w:szCs w:val="24"/>
        </w:rPr>
      </w:pP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A livello di singole tipologie di reddito dichiarato, è però </w:t>
      </w:r>
      <w:r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>cresciuto di oltre 1 milione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 il numero di contribuenti che hanno dichiarato </w:t>
      </w:r>
      <w:r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>redditi di lavoro dipendente (+5,1%)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, mentre è </w:t>
      </w:r>
      <w:r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>diminuito di circa 880mila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 il numero di contribuenti che hanno dichiarato </w:t>
      </w:r>
      <w:r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redditi da pensione (-5,7%) 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e di </w:t>
      </w:r>
      <w:r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>circa 560mila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 il numero di contribuenti che hanno dichiarato redditi da </w:t>
      </w:r>
      <w:r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>attività di impresa o lavoro autonomo esercitate in forma individuale o associata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lastRenderedPageBreak/>
        <w:t>ivi compresi quelli che adottano i regimi sostitutivi di vantaggio e forfetario.</w:t>
      </w:r>
    </w:p>
    <w:p w:rsidR="004A0B83" w:rsidRPr="0098256A" w:rsidRDefault="004A0B83" w:rsidP="00B20B2E">
      <w:pPr>
        <w:pStyle w:val="Corpodeltesto6"/>
        <w:widowControl w:val="0"/>
        <w:ind w:firstLine="0"/>
        <w:rPr>
          <w:rFonts w:ascii="Arial" w:hAnsi="Arial" w:cs="Arial"/>
          <w:color w:val="000000" w:themeColor="text1"/>
          <w:sz w:val="24"/>
          <w:szCs w:val="24"/>
        </w:rPr>
      </w:pPr>
    </w:p>
    <w:p w:rsidR="00B20B2E" w:rsidRPr="0098256A" w:rsidRDefault="00B20B2E" w:rsidP="00B20B2E">
      <w:pPr>
        <w:pStyle w:val="Corpodeltesto6"/>
        <w:widowControl w:val="0"/>
        <w:ind w:firstLine="0"/>
        <w:rPr>
          <w:rFonts w:ascii="Arial" w:hAnsi="Arial" w:cs="Arial"/>
          <w:color w:val="000000" w:themeColor="text1"/>
          <w:sz w:val="24"/>
          <w:szCs w:val="24"/>
        </w:rPr>
      </w:pP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Tra i contribuenti che dichiarano </w:t>
      </w:r>
      <w:r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>redditi da attività di impresa o lavoro autonomo esercitate in forma individuale o associata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, si registra in particolare il </w:t>
      </w:r>
      <w:r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>dimezzamento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 dei contribuenti che dichiarano redditi di impresa individuale in regime di </w:t>
      </w:r>
      <w:r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>contabilità ordinaria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 (si passa dai </w:t>
      </w:r>
      <w:r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>270mila del 2008 ai 136mila del 2018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) e un calo di oltre </w:t>
      </w:r>
      <w:r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>400mila unità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 (-17,6%) con riguardo ai contribuenti che dichiarano redditi di impresa o di lavoro autonomo prodotti </w:t>
      </w:r>
      <w:r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>in forma associata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>.</w:t>
      </w:r>
      <w:r w:rsidR="004A0B83" w:rsidRPr="0098256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Un dato, quest’ultimo, che trova il proprio presupposto nel </w:t>
      </w:r>
      <w:r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calo 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a monte del numero di </w:t>
      </w:r>
      <w:r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>società di persone e soggetti assimilati (-23,95)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, riconducibile in particolare al calo del numero di </w:t>
      </w:r>
      <w:r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>società in nome collettivo e società in accomandita semplice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4A0B83" w:rsidRPr="0098256A" w:rsidRDefault="004A0B83" w:rsidP="00B20B2E">
      <w:pPr>
        <w:pStyle w:val="Corpodeltesto6"/>
        <w:widowControl w:val="0"/>
        <w:ind w:firstLine="0"/>
        <w:rPr>
          <w:rFonts w:ascii="Arial" w:hAnsi="Arial" w:cs="Arial"/>
          <w:color w:val="000000" w:themeColor="text1"/>
          <w:sz w:val="24"/>
          <w:szCs w:val="24"/>
        </w:rPr>
      </w:pPr>
    </w:p>
    <w:p w:rsidR="004A0B83" w:rsidRPr="0098256A" w:rsidRDefault="00B20B2E" w:rsidP="00B20B2E">
      <w:pPr>
        <w:pStyle w:val="Corpodeltesto6"/>
        <w:widowControl w:val="0"/>
        <w:ind w:firstLine="0"/>
        <w:rPr>
          <w:rFonts w:ascii="Arial" w:hAnsi="Arial" w:cs="Arial"/>
          <w:color w:val="000000" w:themeColor="text1"/>
          <w:sz w:val="24"/>
          <w:szCs w:val="24"/>
        </w:rPr>
      </w:pP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A livello di </w:t>
      </w:r>
      <w:r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>reddito medio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 dichiarato </w:t>
      </w:r>
      <w:r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>suddiviso per tipologia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, nel passaggio dal 2008 al 2018 quello di </w:t>
      </w:r>
      <w:r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lavoro dipendente 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registra un </w:t>
      </w:r>
      <w:r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>+ 6%,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 quello da </w:t>
      </w:r>
      <w:r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>pensione un + 28,2%,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 quello di </w:t>
      </w:r>
      <w:r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>lavoro autonomo individuale un +18,9%,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 quello da </w:t>
      </w:r>
      <w:r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>reddito di impresa individuale in contabilità ordinaria un + 42,1%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, quello da </w:t>
      </w:r>
      <w:r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reddito di impresa individuale in contabilità semplificata un + 24,9% 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e quello da </w:t>
      </w:r>
      <w:r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>reddito di impresa o di lavoro autonomo prodotto in forma associata un + 6,8%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4A1C37" w:rsidRPr="0098256A" w:rsidRDefault="004A1C37" w:rsidP="00B20B2E">
      <w:pPr>
        <w:pStyle w:val="Corpodeltesto6"/>
        <w:widowControl w:val="0"/>
        <w:ind w:firstLine="0"/>
        <w:rPr>
          <w:rFonts w:ascii="Arial" w:hAnsi="Arial" w:cs="Arial"/>
          <w:color w:val="000000" w:themeColor="text1"/>
          <w:sz w:val="24"/>
          <w:szCs w:val="24"/>
        </w:rPr>
      </w:pPr>
    </w:p>
    <w:p w:rsidR="004A0B83" w:rsidRPr="0098256A" w:rsidRDefault="004A0B83" w:rsidP="004A0B83">
      <w:pPr>
        <w:pStyle w:val="Corpodeltesto6"/>
        <w:widowControl w:val="0"/>
        <w:ind w:firstLine="0"/>
        <w:rPr>
          <w:rFonts w:ascii="Arial" w:hAnsi="Arial" w:cs="Arial"/>
          <w:color w:val="000000" w:themeColor="text1"/>
          <w:sz w:val="24"/>
          <w:szCs w:val="24"/>
        </w:rPr>
      </w:pPr>
      <w:r w:rsidRPr="0098256A">
        <w:rPr>
          <w:rFonts w:ascii="Arial" w:hAnsi="Arial" w:cs="Arial"/>
          <w:color w:val="000000" w:themeColor="text1"/>
          <w:sz w:val="24"/>
          <w:szCs w:val="24"/>
        </w:rPr>
        <w:t>“</w:t>
      </w:r>
      <w:r w:rsidR="00B20B2E" w:rsidRPr="0098256A">
        <w:rPr>
          <w:rFonts w:ascii="Arial" w:hAnsi="Arial" w:cs="Arial"/>
          <w:color w:val="000000" w:themeColor="text1"/>
          <w:sz w:val="24"/>
          <w:szCs w:val="24"/>
        </w:rPr>
        <w:t xml:space="preserve">È del tutto evidente 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>– commenta il Presidente del Consiglio</w:t>
      </w:r>
      <w:r w:rsidR="00B7600F" w:rsidRPr="0098256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nazionale dei commercialisti, </w:t>
      </w:r>
      <w:r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>Massimo Miani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r w:rsidR="00B20B2E" w:rsidRPr="0098256A">
        <w:rPr>
          <w:rFonts w:ascii="Arial" w:hAnsi="Arial" w:cs="Arial"/>
          <w:color w:val="000000" w:themeColor="text1"/>
          <w:sz w:val="24"/>
          <w:szCs w:val="24"/>
        </w:rPr>
        <w:t xml:space="preserve">che, con la crisi innestata dall’emergenza epidemiologica da COVID-19, la tendenza già in atto di riduzione del numero di contribuenti che esercitano attività di impresa e lavoro autonomo è destinata ad </w:t>
      </w:r>
      <w:r w:rsidR="00B20B2E"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>aumentare esponenzialmente</w:t>
      </w:r>
      <w:r w:rsidR="00B20B2E" w:rsidRPr="0098256A">
        <w:rPr>
          <w:rFonts w:ascii="Arial" w:hAnsi="Arial" w:cs="Arial"/>
          <w:color w:val="000000" w:themeColor="text1"/>
          <w:sz w:val="24"/>
          <w:szCs w:val="24"/>
        </w:rPr>
        <w:t>, senza però trovare sbocco e assorbimento in un incremento della base occupazionale di lavoro subordinato e parasubordinato</w:t>
      </w:r>
      <w:r w:rsidR="00B7600F" w:rsidRPr="0098256A">
        <w:rPr>
          <w:rFonts w:ascii="Arial" w:hAnsi="Arial" w:cs="Arial"/>
          <w:color w:val="000000" w:themeColor="text1"/>
          <w:sz w:val="24"/>
          <w:szCs w:val="24"/>
        </w:rPr>
        <w:t>”</w:t>
      </w:r>
      <w:r w:rsidR="00B20B2E" w:rsidRPr="0098256A">
        <w:rPr>
          <w:rFonts w:ascii="Arial" w:hAnsi="Arial" w:cs="Arial"/>
          <w:color w:val="000000" w:themeColor="text1"/>
          <w:sz w:val="24"/>
          <w:szCs w:val="24"/>
        </w:rPr>
        <w:t>.</w:t>
      </w:r>
      <w:r w:rsidR="00B7600F" w:rsidRPr="0098256A">
        <w:rPr>
          <w:rFonts w:ascii="Arial" w:hAnsi="Arial" w:cs="Arial"/>
          <w:color w:val="000000" w:themeColor="text1"/>
          <w:sz w:val="24"/>
          <w:szCs w:val="24"/>
        </w:rPr>
        <w:t xml:space="preserve"> Una tendenza, secondo Miani “riconducibile a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>politiche sbagliate</w:t>
      </w:r>
      <w:r w:rsidR="00B7600F"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e politicamente prevenute</w:t>
      </w:r>
      <w:r w:rsidR="00B7600F" w:rsidRPr="0098256A">
        <w:rPr>
          <w:rFonts w:ascii="Arial" w:hAnsi="Arial" w:cs="Arial"/>
          <w:color w:val="000000" w:themeColor="text1"/>
          <w:sz w:val="24"/>
          <w:szCs w:val="24"/>
        </w:rPr>
        <w:t xml:space="preserve"> sulle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 regole </w:t>
      </w:r>
      <w:r w:rsidR="00B7600F" w:rsidRPr="0098256A">
        <w:rPr>
          <w:rFonts w:ascii="Arial" w:hAnsi="Arial" w:cs="Arial"/>
          <w:color w:val="000000" w:themeColor="text1"/>
          <w:sz w:val="24"/>
          <w:szCs w:val="24"/>
        </w:rPr>
        <w:t xml:space="preserve">di </w:t>
      </w:r>
      <w:r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determinazione </w:t>
      </w:r>
      <w:r w:rsidR="00B7600F"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della </w:t>
      </w:r>
      <w:r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>base imponibile</w:t>
      </w:r>
      <w:r w:rsidR="00B7600F" w:rsidRPr="0098256A">
        <w:rPr>
          <w:rFonts w:ascii="Arial" w:hAnsi="Arial" w:cs="Arial"/>
          <w:color w:val="000000" w:themeColor="text1"/>
          <w:sz w:val="24"/>
          <w:szCs w:val="24"/>
        </w:rPr>
        <w:t>, oltre che a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gli </w:t>
      </w:r>
      <w:r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>adempimenti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 correlati alla azione di controllo dell’amministrazione finanziaria</w:t>
      </w:r>
      <w:r w:rsidR="00B7600F" w:rsidRPr="0098256A">
        <w:rPr>
          <w:rFonts w:ascii="Arial" w:hAnsi="Arial" w:cs="Arial"/>
          <w:color w:val="000000" w:themeColor="text1"/>
          <w:sz w:val="24"/>
          <w:szCs w:val="24"/>
        </w:rPr>
        <w:t>.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A1C37" w:rsidRPr="0098256A">
        <w:rPr>
          <w:rFonts w:ascii="Arial" w:hAnsi="Arial" w:cs="Arial"/>
          <w:color w:val="000000" w:themeColor="text1"/>
          <w:sz w:val="24"/>
          <w:szCs w:val="24"/>
        </w:rPr>
        <w:t>Il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 terremoto provocato dal </w:t>
      </w:r>
      <w:r w:rsidR="00B7600F" w:rsidRPr="0098256A">
        <w:rPr>
          <w:rFonts w:ascii="Arial" w:hAnsi="Arial" w:cs="Arial"/>
          <w:color w:val="000000" w:themeColor="text1"/>
          <w:sz w:val="24"/>
          <w:szCs w:val="24"/>
        </w:rPr>
        <w:t>COVID - 19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 potrà soltanto accelerare e intensificare in modo </w:t>
      </w:r>
      <w:r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>forse irreversibile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 questa tendenza ed è per questo che si rende improcrastinabile mettere al centro delle pro</w:t>
      </w:r>
      <w:r w:rsidR="00B7600F" w:rsidRPr="0098256A">
        <w:rPr>
          <w:rFonts w:ascii="Arial" w:hAnsi="Arial" w:cs="Arial"/>
          <w:color w:val="000000" w:themeColor="text1"/>
          <w:sz w:val="24"/>
          <w:szCs w:val="24"/>
        </w:rPr>
        <w:t xml:space="preserve">ssime scelte 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del governo il tema delle </w:t>
      </w:r>
      <w:r w:rsidR="00B7600F" w:rsidRPr="0098256A">
        <w:rPr>
          <w:rFonts w:ascii="Arial" w:hAnsi="Arial" w:cs="Arial"/>
          <w:color w:val="000000" w:themeColor="text1"/>
          <w:sz w:val="24"/>
          <w:szCs w:val="24"/>
        </w:rPr>
        <w:t>P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artite </w:t>
      </w:r>
      <w:r w:rsidR="00B7600F" w:rsidRPr="0098256A">
        <w:rPr>
          <w:rFonts w:ascii="Arial" w:hAnsi="Arial" w:cs="Arial"/>
          <w:color w:val="000000" w:themeColor="text1"/>
          <w:sz w:val="24"/>
          <w:szCs w:val="24"/>
        </w:rPr>
        <w:t>IVA”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>.</w:t>
      </w:r>
      <w:r w:rsidR="00B7600F" w:rsidRPr="0098256A">
        <w:rPr>
          <w:rFonts w:ascii="Arial" w:hAnsi="Arial" w:cs="Arial"/>
          <w:color w:val="000000" w:themeColor="text1"/>
          <w:sz w:val="24"/>
          <w:szCs w:val="24"/>
        </w:rPr>
        <w:t xml:space="preserve"> Secondo Miani “o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>ltre ad un attivit</w:t>
      </w:r>
      <w:r w:rsidR="00B7600F" w:rsidRPr="0098256A">
        <w:rPr>
          <w:rFonts w:ascii="Arial" w:hAnsi="Arial" w:cs="Arial"/>
          <w:color w:val="000000" w:themeColor="text1"/>
          <w:sz w:val="24"/>
          <w:szCs w:val="24"/>
        </w:rPr>
        <w:t>à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 di </w:t>
      </w:r>
      <w:r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>semp</w:t>
      </w:r>
      <w:r w:rsidR="00B7600F"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>l</w:t>
      </w:r>
      <w:r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>ificazione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 degli adempimenti</w:t>
      </w:r>
      <w:r w:rsidR="00B7600F" w:rsidRPr="0098256A">
        <w:rPr>
          <w:rFonts w:ascii="Arial" w:hAnsi="Arial" w:cs="Arial"/>
          <w:color w:val="000000" w:themeColor="text1"/>
          <w:sz w:val="24"/>
          <w:szCs w:val="24"/>
        </w:rPr>
        <w:t xml:space="preserve">, servirebbero passi in avanti, anziché indietro, 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sul versante della </w:t>
      </w:r>
      <w:proofErr w:type="spellStart"/>
      <w:r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>flat</w:t>
      </w:r>
      <w:proofErr w:type="spellEnd"/>
      <w:r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>tax</w:t>
      </w:r>
      <w:proofErr w:type="spellEnd"/>
      <w:r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per le partite </w:t>
      </w:r>
      <w:r w:rsidR="00B7600F"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>IVA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individuali 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che </w:t>
      </w:r>
      <w:r w:rsidR="00B7600F" w:rsidRPr="0098256A">
        <w:rPr>
          <w:rFonts w:ascii="Arial" w:hAnsi="Arial" w:cs="Arial"/>
          <w:color w:val="000000" w:themeColor="text1"/>
          <w:sz w:val="24"/>
          <w:szCs w:val="24"/>
        </w:rPr>
        <w:t>andrebbe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 estesa anche ai </w:t>
      </w:r>
      <w:r w:rsidR="00B7600F" w:rsidRPr="0098256A">
        <w:rPr>
          <w:rFonts w:ascii="Arial" w:hAnsi="Arial" w:cs="Arial"/>
          <w:color w:val="000000" w:themeColor="text1"/>
          <w:sz w:val="24"/>
          <w:szCs w:val="24"/>
        </w:rPr>
        <w:t>s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oggetti che svolgono attività in </w:t>
      </w:r>
      <w:r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>forma associata</w:t>
      </w:r>
      <w:r w:rsidR="00B7600F" w:rsidRPr="0098256A">
        <w:rPr>
          <w:rFonts w:ascii="Arial" w:hAnsi="Arial" w:cs="Arial"/>
          <w:color w:val="000000" w:themeColor="text1"/>
          <w:sz w:val="24"/>
          <w:szCs w:val="24"/>
        </w:rPr>
        <w:t>”.</w:t>
      </w:r>
      <w:r w:rsidR="004A1C37" w:rsidRPr="0098256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7600F" w:rsidRPr="0098256A">
        <w:rPr>
          <w:rFonts w:ascii="Arial" w:hAnsi="Arial" w:cs="Arial"/>
          <w:color w:val="000000" w:themeColor="text1"/>
          <w:sz w:val="24"/>
          <w:szCs w:val="24"/>
        </w:rPr>
        <w:t>Il presidente dei commercialisti ritiene che “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>sareb</w:t>
      </w:r>
      <w:r w:rsidR="00B7600F" w:rsidRPr="0098256A">
        <w:rPr>
          <w:rFonts w:ascii="Arial" w:hAnsi="Arial" w:cs="Arial"/>
          <w:color w:val="000000" w:themeColor="text1"/>
          <w:sz w:val="24"/>
          <w:szCs w:val="24"/>
        </w:rPr>
        <w:t>b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>e opportuno mettere finalmente mano</w:t>
      </w:r>
      <w:r w:rsidR="00B7600F" w:rsidRPr="0098256A">
        <w:rPr>
          <w:rFonts w:ascii="Arial" w:hAnsi="Arial" w:cs="Arial"/>
          <w:color w:val="000000" w:themeColor="text1"/>
          <w:sz w:val="24"/>
          <w:szCs w:val="24"/>
        </w:rPr>
        <w:t>,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 anche in un’ottica di sostegno alla domanda di settori produttivi fondamentali come </w:t>
      </w:r>
      <w:proofErr w:type="spellStart"/>
      <w:r w:rsidRPr="0098256A">
        <w:rPr>
          <w:rFonts w:ascii="Arial" w:hAnsi="Arial" w:cs="Arial"/>
          <w:color w:val="000000" w:themeColor="text1"/>
          <w:sz w:val="24"/>
          <w:szCs w:val="24"/>
        </w:rPr>
        <w:t>l’</w:t>
      </w:r>
      <w:r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>automotive</w:t>
      </w:r>
      <w:proofErr w:type="spellEnd"/>
      <w:r w:rsidR="00B7600F" w:rsidRPr="0098256A">
        <w:rPr>
          <w:rFonts w:ascii="Arial" w:hAnsi="Arial" w:cs="Arial"/>
          <w:color w:val="000000" w:themeColor="text1"/>
          <w:sz w:val="24"/>
          <w:szCs w:val="24"/>
        </w:rPr>
        <w:t>,</w:t>
      </w:r>
      <w:r w:rsidR="009670A4" w:rsidRPr="0098256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>alle regole di detraibilità dell’</w:t>
      </w:r>
      <w:r w:rsidR="00B7600F" w:rsidRPr="0098256A">
        <w:rPr>
          <w:rFonts w:ascii="Arial" w:hAnsi="Arial" w:cs="Arial"/>
          <w:color w:val="000000" w:themeColor="text1"/>
          <w:sz w:val="24"/>
          <w:szCs w:val="24"/>
        </w:rPr>
        <w:t>IVA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 e di deducibilità dal reddito di impresa e di lavoro autonomo concernenti le autovetture</w:t>
      </w:r>
      <w:r w:rsidR="009670A4" w:rsidRPr="0098256A">
        <w:rPr>
          <w:rFonts w:ascii="Arial" w:hAnsi="Arial" w:cs="Arial"/>
          <w:color w:val="000000" w:themeColor="text1"/>
          <w:sz w:val="24"/>
          <w:szCs w:val="24"/>
        </w:rPr>
        <w:t>, ma non solo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. Già solo questa mossa applicata </w:t>
      </w:r>
      <w:r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>solo per i nuovi acquisiti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 d</w:t>
      </w:r>
      <w:r w:rsidR="00B7600F" w:rsidRPr="0098256A">
        <w:rPr>
          <w:rFonts w:ascii="Arial" w:hAnsi="Arial" w:cs="Arial"/>
          <w:color w:val="000000" w:themeColor="text1"/>
          <w:sz w:val="24"/>
          <w:szCs w:val="24"/>
        </w:rPr>
        <w:t>arebbe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 un forte impulso ad un settore che rischia davvero molto nei prossimi mesi e ripr</w:t>
      </w:r>
      <w:r w:rsidR="00B7600F" w:rsidRPr="0098256A">
        <w:rPr>
          <w:rFonts w:ascii="Arial" w:hAnsi="Arial" w:cs="Arial"/>
          <w:color w:val="000000" w:themeColor="text1"/>
          <w:sz w:val="24"/>
          <w:szCs w:val="24"/>
        </w:rPr>
        <w:t>istinerebbe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7600F" w:rsidRPr="0098256A">
        <w:rPr>
          <w:rFonts w:ascii="Arial" w:hAnsi="Arial" w:cs="Arial"/>
          <w:color w:val="000000" w:themeColor="text1"/>
          <w:sz w:val="24"/>
          <w:szCs w:val="24"/>
        </w:rPr>
        <w:t>l’</w:t>
      </w:r>
      <w:r w:rsidRPr="0098256A">
        <w:rPr>
          <w:rFonts w:ascii="Arial" w:hAnsi="Arial" w:cs="Arial"/>
          <w:b/>
          <w:bCs/>
          <w:color w:val="000000" w:themeColor="text1"/>
          <w:sz w:val="24"/>
          <w:szCs w:val="24"/>
        </w:rPr>
        <w:t>appeal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 leg</w:t>
      </w:r>
      <w:r w:rsidR="00B7600F" w:rsidRPr="0098256A">
        <w:rPr>
          <w:rFonts w:ascii="Arial" w:hAnsi="Arial" w:cs="Arial"/>
          <w:color w:val="000000" w:themeColor="text1"/>
          <w:sz w:val="24"/>
          <w:szCs w:val="24"/>
        </w:rPr>
        <w:t>a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>to all’essere titola</w:t>
      </w:r>
      <w:r w:rsidR="00B7600F" w:rsidRPr="0098256A">
        <w:rPr>
          <w:rFonts w:ascii="Arial" w:hAnsi="Arial" w:cs="Arial"/>
          <w:color w:val="000000" w:themeColor="text1"/>
          <w:sz w:val="24"/>
          <w:szCs w:val="24"/>
        </w:rPr>
        <w:t>re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 di partita </w:t>
      </w:r>
      <w:r w:rsidR="00B7600F" w:rsidRPr="0098256A">
        <w:rPr>
          <w:rFonts w:ascii="Arial" w:hAnsi="Arial" w:cs="Arial"/>
          <w:color w:val="000000" w:themeColor="text1"/>
          <w:sz w:val="24"/>
          <w:szCs w:val="24"/>
        </w:rPr>
        <w:t xml:space="preserve">IVA 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>che i dati ci dimostrano essere andato perduto in questi anni</w:t>
      </w:r>
      <w:r w:rsidR="00B7600F" w:rsidRPr="0098256A">
        <w:rPr>
          <w:rFonts w:ascii="Arial" w:hAnsi="Arial" w:cs="Arial"/>
          <w:color w:val="000000" w:themeColor="text1"/>
          <w:sz w:val="24"/>
          <w:szCs w:val="24"/>
        </w:rPr>
        <w:t>,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 anch</w:t>
      </w:r>
      <w:r w:rsidR="00B7600F" w:rsidRPr="0098256A">
        <w:rPr>
          <w:rFonts w:ascii="Arial" w:hAnsi="Arial" w:cs="Arial"/>
          <w:color w:val="000000" w:themeColor="text1"/>
          <w:sz w:val="24"/>
          <w:szCs w:val="24"/>
        </w:rPr>
        <w:t>e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 a causa </w:t>
      </w:r>
      <w:r w:rsidR="00B7600F" w:rsidRPr="0098256A">
        <w:rPr>
          <w:rFonts w:ascii="Arial" w:hAnsi="Arial" w:cs="Arial"/>
          <w:color w:val="000000" w:themeColor="text1"/>
          <w:sz w:val="24"/>
          <w:szCs w:val="24"/>
        </w:rPr>
        <w:t xml:space="preserve">proprio della palese iniquità 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>d</w:t>
      </w:r>
      <w:r w:rsidR="00B7600F" w:rsidRPr="0098256A">
        <w:rPr>
          <w:rFonts w:ascii="Arial" w:hAnsi="Arial" w:cs="Arial"/>
          <w:color w:val="000000" w:themeColor="text1"/>
          <w:sz w:val="24"/>
          <w:szCs w:val="24"/>
        </w:rPr>
        <w:t>ei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 xml:space="preserve"> limiti di d</w:t>
      </w:r>
      <w:r w:rsidR="00B7600F" w:rsidRPr="0098256A">
        <w:rPr>
          <w:rFonts w:ascii="Arial" w:hAnsi="Arial" w:cs="Arial"/>
          <w:color w:val="000000" w:themeColor="text1"/>
          <w:sz w:val="24"/>
          <w:szCs w:val="24"/>
        </w:rPr>
        <w:t>e</w:t>
      </w:r>
      <w:r w:rsidRPr="0098256A">
        <w:rPr>
          <w:rFonts w:ascii="Arial" w:hAnsi="Arial" w:cs="Arial"/>
          <w:color w:val="000000" w:themeColor="text1"/>
          <w:sz w:val="24"/>
          <w:szCs w:val="24"/>
        </w:rPr>
        <w:t>traibilità e deducibilità</w:t>
      </w:r>
      <w:r w:rsidR="00B7600F" w:rsidRPr="0098256A">
        <w:rPr>
          <w:rFonts w:ascii="Arial" w:hAnsi="Arial" w:cs="Arial"/>
          <w:color w:val="000000" w:themeColor="text1"/>
          <w:sz w:val="24"/>
          <w:szCs w:val="24"/>
        </w:rPr>
        <w:t xml:space="preserve">”. </w:t>
      </w:r>
    </w:p>
    <w:p w:rsidR="00B3271C" w:rsidRPr="0098256A" w:rsidRDefault="008D1CDC">
      <w:pPr>
        <w:rPr>
          <w:rFonts w:ascii="Arial" w:hAnsi="Arial" w:cs="Arial"/>
          <w:color w:val="000000" w:themeColor="text1"/>
        </w:rPr>
      </w:pPr>
    </w:p>
    <w:sectPr w:rsidR="00B3271C" w:rsidRPr="0098256A" w:rsidSect="00986D90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D1CDC" w:rsidRDefault="008D1CDC" w:rsidP="00627996">
      <w:r>
        <w:separator/>
      </w:r>
    </w:p>
  </w:endnote>
  <w:endnote w:type="continuationSeparator" w:id="0">
    <w:p w:rsidR="008D1CDC" w:rsidRDefault="008D1CDC" w:rsidP="0062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D1CDC" w:rsidRDefault="008D1CDC" w:rsidP="00627996">
      <w:r>
        <w:separator/>
      </w:r>
    </w:p>
  </w:footnote>
  <w:footnote w:type="continuationSeparator" w:id="0">
    <w:p w:rsidR="008D1CDC" w:rsidRDefault="008D1CDC" w:rsidP="00627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7996" w:rsidRDefault="00627996">
    <w:pPr>
      <w:pStyle w:val="Intestazione"/>
    </w:pPr>
    <w:r w:rsidRPr="00A945F8">
      <w:rPr>
        <w:noProof/>
      </w:rPr>
      <w:drawing>
        <wp:inline distT="0" distB="0" distL="0" distR="0" wp14:anchorId="40129AC2" wp14:editId="24C7E031">
          <wp:extent cx="6116320" cy="970311"/>
          <wp:effectExtent l="0" t="0" r="0" b="1270"/>
          <wp:docPr id="1" name="Immagine 1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70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3"/>
  <w:doNotDisplayPageBoundarie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EC"/>
    <w:rsid w:val="00153D5F"/>
    <w:rsid w:val="001B3759"/>
    <w:rsid w:val="001D0C92"/>
    <w:rsid w:val="00206248"/>
    <w:rsid w:val="002B1170"/>
    <w:rsid w:val="002B1507"/>
    <w:rsid w:val="002E31F2"/>
    <w:rsid w:val="003248FA"/>
    <w:rsid w:val="003C2FC0"/>
    <w:rsid w:val="00426BED"/>
    <w:rsid w:val="004A0B83"/>
    <w:rsid w:val="004A1C37"/>
    <w:rsid w:val="00547AE9"/>
    <w:rsid w:val="005753E9"/>
    <w:rsid w:val="00595991"/>
    <w:rsid w:val="00627996"/>
    <w:rsid w:val="00656CC5"/>
    <w:rsid w:val="006B2F33"/>
    <w:rsid w:val="00734687"/>
    <w:rsid w:val="008D1CDC"/>
    <w:rsid w:val="009670A4"/>
    <w:rsid w:val="0098256A"/>
    <w:rsid w:val="00986D90"/>
    <w:rsid w:val="0099343C"/>
    <w:rsid w:val="009D1104"/>
    <w:rsid w:val="009F27EC"/>
    <w:rsid w:val="00AC6BB0"/>
    <w:rsid w:val="00B20B2E"/>
    <w:rsid w:val="00B7600F"/>
    <w:rsid w:val="00D0285A"/>
    <w:rsid w:val="00D41E98"/>
    <w:rsid w:val="00DB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F1253"/>
  <w14:defaultImageDpi w14:val="32767"/>
  <w15:chartTrackingRefBased/>
  <w15:docId w15:val="{0D396238-AB16-4B4D-83B2-F6752D6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F27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996"/>
  </w:style>
  <w:style w:type="paragraph" w:styleId="Pidipagina">
    <w:name w:val="footer"/>
    <w:basedOn w:val="Normale"/>
    <w:link w:val="Pidipagina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996"/>
  </w:style>
  <w:style w:type="paragraph" w:customStyle="1" w:styleId="Corpodeltesto6">
    <w:name w:val="Corpo del testo6"/>
    <w:basedOn w:val="Normale"/>
    <w:rsid w:val="00B20B2E"/>
    <w:pPr>
      <w:spacing w:line="240" w:lineRule="atLeast"/>
      <w:ind w:firstLine="227"/>
      <w:jc w:val="both"/>
    </w:pPr>
    <w:rPr>
      <w:rFonts w:ascii="Palatino" w:eastAsia="Times New Roman" w:hAnsi="Palatino" w:cs="Times New Roman"/>
      <w:kern w:val="19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5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904</Words>
  <Characters>5578</Characters>
  <Application>Microsoft Office Word</Application>
  <DocSecurity>0</DocSecurity>
  <Lines>97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Parracino Mauro</dc:creator>
  <cp:keywords/>
  <dc:description/>
  <cp:lastModifiedBy>Parracino Mauro</cp:lastModifiedBy>
  <cp:revision>6</cp:revision>
  <dcterms:created xsi:type="dcterms:W3CDTF">2020-06-25T09:41:00Z</dcterms:created>
  <dcterms:modified xsi:type="dcterms:W3CDTF">2020-06-25T09:54:00Z</dcterms:modified>
</cp:coreProperties>
</file>