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051B2D" w:rsidRDefault="00A25D50" w:rsidP="00051B2D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14:paraId="6DC8F1F8" w14:textId="77777777" w:rsidR="001A0044" w:rsidRDefault="001A0044" w:rsidP="00051B2D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2A078E96" w14:textId="77777777" w:rsidR="00980CEC" w:rsidRPr="00980CEC" w:rsidRDefault="00980CEC" w:rsidP="00980CEC">
      <w:pPr>
        <w:spacing w:before="100" w:beforeAutospacing="1" w:after="100" w:afterAutospacing="1"/>
        <w:jc w:val="center"/>
        <w:rPr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</w:rPr>
        <w:t>Comunicato stampa</w:t>
      </w:r>
    </w:p>
    <w:p w14:paraId="3A25FC52" w14:textId="77777777" w:rsidR="00980CEC" w:rsidRDefault="00980CEC" w:rsidP="0022691E">
      <w:pPr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ADEGUATI ASSETTI, I COMMERCIALISTI PUBBLICANO LE CHECK LIST OPERATIVE</w:t>
      </w:r>
    </w:p>
    <w:p w14:paraId="428CCE0F" w14:textId="77777777" w:rsidR="0022691E" w:rsidRPr="00980CEC" w:rsidRDefault="0022691E" w:rsidP="0022691E">
      <w:pPr>
        <w:jc w:val="center"/>
        <w:rPr>
          <w:color w:val="000000"/>
          <w:sz w:val="23"/>
          <w:szCs w:val="23"/>
        </w:rPr>
      </w:pPr>
    </w:p>
    <w:p w14:paraId="389AAC68" w14:textId="04938479" w:rsidR="00980CEC" w:rsidRDefault="00980CEC" w:rsidP="0022691E">
      <w:pPr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L’elaborato integra il documento “Assetti organizzativi, amministrativi e contabili: profili civilistici e aziendalistici” di recente pubblicazione</w:t>
      </w:r>
    </w:p>
    <w:p w14:paraId="165A9FA0" w14:textId="77777777" w:rsidR="0022691E" w:rsidRPr="00980CEC" w:rsidRDefault="0022691E" w:rsidP="0022691E">
      <w:pPr>
        <w:jc w:val="center"/>
        <w:rPr>
          <w:color w:val="000000"/>
          <w:sz w:val="23"/>
          <w:szCs w:val="23"/>
        </w:rPr>
      </w:pPr>
    </w:p>
    <w:p w14:paraId="20D4D96A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>Roma, 24 luglio 2023 –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Il 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>Consiglio nazionale dei commercialisti e la sua Fondazione di Ricerca hanno realizzato alcune check-list operative che integrano il documento “Assetti organizzativi, amministrativi e contabili: profili civilistici e aziendalistici”, pubblicato di recente,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che potranno supportare l’imprenditore, l’organo di controllo e il professionista nella valutazione dell’adeguatezza delle misure e degli assetti organizzativi, amministrativi e contabili. le check list sono state realizzato dai ricercatori 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Cristina </w:t>
      </w:r>
      <w:proofErr w:type="spellStart"/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Bauco</w:t>
      </w:r>
      <w:proofErr w:type="spellEnd"/>
      <w:r w:rsidRPr="00980CEC">
        <w:rPr>
          <w:rStyle w:val="contentpasted0"/>
          <w:rFonts w:ascii="Arial" w:hAnsi="Arial" w:cs="Arial"/>
          <w:color w:val="000000"/>
          <w:sz w:val="23"/>
          <w:szCs w:val="23"/>
          <w:shd w:val="clear" w:color="auto" w:fill="FFFFFF"/>
        </w:rPr>
        <w:t>, 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Roberto De Luca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  <w:shd w:val="clear" w:color="auto" w:fill="FFFFFF"/>
        </w:rPr>
        <w:t>, 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Nicola Lucido e Alessandra Pagani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  <w:shd w:val="clear" w:color="auto" w:fill="FFFFFF"/>
        </w:rPr>
        <w:t> nell’ambito dell’area di delega sul diritto societario del consigliere nazionale dei commercialisti 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David Moro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20A583DD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Fonts w:ascii="Arial" w:hAnsi="Arial" w:cs="Arial"/>
          <w:color w:val="000000"/>
          <w:sz w:val="23"/>
          <w:szCs w:val="23"/>
        </w:rPr>
        <w:t> </w:t>
      </w:r>
    </w:p>
    <w:p w14:paraId="08C06C49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L’elaborato, nel fornire strumenti operativi a supporto dell’attività professionale, mira a 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sensibilizzare le imprese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 sull’importanza di 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dotarsi di presidi organizzativi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 che, oltre a garantire il </w:t>
      </w:r>
      <w:proofErr w:type="spellStart"/>
      <w:r w:rsidRPr="00980CEC">
        <w:rPr>
          <w:rStyle w:val="contentpasted0"/>
          <w:rFonts w:ascii="Arial" w:hAnsi="Arial" w:cs="Arial"/>
          <w:i/>
          <w:iCs/>
          <w:color w:val="000000"/>
          <w:sz w:val="23"/>
          <w:szCs w:val="23"/>
        </w:rPr>
        <w:t>going</w:t>
      </w:r>
      <w:proofErr w:type="spellEnd"/>
      <w:r w:rsidRPr="00980CEC">
        <w:rPr>
          <w:rStyle w:val="contentpasted0"/>
          <w:rFonts w:ascii="Arial" w:hAnsi="Arial"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80CEC">
        <w:rPr>
          <w:rStyle w:val="contentpasted0"/>
          <w:rFonts w:ascii="Arial" w:hAnsi="Arial" w:cs="Arial"/>
          <w:i/>
          <w:iCs/>
          <w:color w:val="000000"/>
          <w:sz w:val="23"/>
          <w:szCs w:val="23"/>
        </w:rPr>
        <w:t>concern</w:t>
      </w:r>
      <w:proofErr w:type="spellEnd"/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 e la rilevazione tempestiva della crisi, siano focalizzati sulla 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tutela e sullo sviluppo del valore aziendale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>, in un’ottica integrata che coinvolga tutti gli stakeholders di riferimento.</w:t>
      </w:r>
    </w:p>
    <w:p w14:paraId="5906EC6F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Fonts w:ascii="Arial" w:hAnsi="Arial" w:cs="Arial"/>
          <w:color w:val="000000"/>
          <w:sz w:val="23"/>
          <w:szCs w:val="23"/>
        </w:rPr>
        <w:t> </w:t>
      </w:r>
    </w:p>
    <w:p w14:paraId="79A935D6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“Il documento rientra nell’ambito di una più ampia progettualità che il Consiglio nazionale intende portare avanti per supportare i colleghi in merito a temi di grande rilevanza per l’esercizio dell’attività professionale – afferma il presidente nazionale dei commercialisti, 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Elbano de Nuccio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 –. L’auspicio è quello di valorizzare al meglio le competenze aziendalistiche e il ruolo del commercialista, attivando un percorso sinergico con il mondo delle imprese che, in una prospettiva </w:t>
      </w:r>
      <w:proofErr w:type="spellStart"/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>win-win</w:t>
      </w:r>
      <w:proofErr w:type="spellEnd"/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>, consenta di generare crescita e sviluppo a favore dell’intero tessuto imprenditoriale e del sistema socioeconomico del Paese”.</w:t>
      </w:r>
    </w:p>
    <w:p w14:paraId="6B8358F0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Fonts w:ascii="Arial" w:hAnsi="Arial" w:cs="Arial"/>
          <w:color w:val="000000"/>
          <w:sz w:val="23"/>
          <w:szCs w:val="23"/>
        </w:rPr>
        <w:t> </w:t>
      </w:r>
    </w:p>
    <w:p w14:paraId="28F7D551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“L’elaborato, che presenta un approccio eminentemente pratico, ha portato alla definizione di opportuni strumenti operativi (attraverso apposite check-list) che potranno supportare l’imprenditore, l’organo di controllo e il professionista nella valutazione dell’adeguatezza degli assetti, in ordine alla quale la normativa non fornisce elementi sufficientemente esaustivi – spiega il consigliere dei commercialisti delegato al Diritto societario, 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David Moro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 –. Tale analisi, ad ogni modo, dovrà essere svolta avendo riguardo alle caratteristiche dell’impresa, alla sua natura, alle sue dimensioni, al settore di riferimento, all’attività esercitata e così via”.</w:t>
      </w:r>
    </w:p>
    <w:p w14:paraId="46BF4E15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Fonts w:ascii="Arial" w:hAnsi="Arial" w:cs="Arial"/>
          <w:color w:val="000000"/>
          <w:sz w:val="23"/>
          <w:szCs w:val="23"/>
        </w:rPr>
        <w:t> </w:t>
      </w:r>
    </w:p>
    <w:p w14:paraId="3423444F" w14:textId="77777777" w:rsidR="00980CEC" w:rsidRPr="00980CEC" w:rsidRDefault="00980CEC" w:rsidP="0022691E">
      <w:pPr>
        <w:pStyle w:val="NormaleWeb"/>
        <w:shd w:val="clear" w:color="auto" w:fill="FFFFFF"/>
        <w:jc w:val="both"/>
        <w:rPr>
          <w:color w:val="000000"/>
          <w:sz w:val="23"/>
          <w:szCs w:val="23"/>
        </w:rPr>
      </w:pP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“Le check-list proposte – conclude il presidente della Fondazione nazionale di Ricerca </w:t>
      </w:r>
      <w:r w:rsidRPr="00980CEC">
        <w:rPr>
          <w:rStyle w:val="contentpasted0"/>
          <w:rFonts w:ascii="Arial" w:hAnsi="Arial" w:cs="Arial"/>
          <w:b/>
          <w:bCs/>
          <w:color w:val="000000"/>
          <w:sz w:val="23"/>
          <w:szCs w:val="23"/>
        </w:rPr>
        <w:t>Antonio Tuccillo</w:t>
      </w:r>
      <w:r w:rsidRPr="00980CEC">
        <w:rPr>
          <w:rStyle w:val="contentpasted0"/>
          <w:rFonts w:ascii="Arial" w:hAnsi="Arial" w:cs="Arial"/>
          <w:color w:val="000000"/>
          <w:sz w:val="23"/>
          <w:szCs w:val="23"/>
        </w:rPr>
        <w:t xml:space="preserve"> – rappresentano uno strumento da utilizzare in base ad un approccio tipologico e customizzato, al fine di effettuare una valutazione analitica, puntuale e aderente alla realtà aziendale esaminata. Con tali documenti, il Consiglio nazionale e la Fondazione hanno raccolto le richieste provenienti dalla categoria, offrendo un contributo tecnico e stimolando il dibattito su una tematica di grandi attualità e interesse per le imprese e i colleghi”.</w:t>
      </w:r>
    </w:p>
    <w:p w14:paraId="7947513D" w14:textId="7AFC1D2B" w:rsidR="00A618D3" w:rsidRPr="00051B2D" w:rsidRDefault="00A618D3" w:rsidP="0022691E">
      <w:pPr>
        <w:jc w:val="center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</w:p>
    <w:sectPr w:rsidR="00A618D3" w:rsidRPr="00051B2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7FD7" w14:textId="77777777" w:rsidR="005D4B1E" w:rsidRDefault="005D4B1E" w:rsidP="00A25D50">
      <w:r>
        <w:separator/>
      </w:r>
    </w:p>
  </w:endnote>
  <w:endnote w:type="continuationSeparator" w:id="0">
    <w:p w14:paraId="4095ABD2" w14:textId="77777777" w:rsidR="005D4B1E" w:rsidRDefault="005D4B1E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14DF" w14:textId="77777777" w:rsidR="005D4B1E" w:rsidRDefault="005D4B1E" w:rsidP="00A25D50">
      <w:r>
        <w:separator/>
      </w:r>
    </w:p>
  </w:footnote>
  <w:footnote w:type="continuationSeparator" w:id="0">
    <w:p w14:paraId="38D74736" w14:textId="77777777" w:rsidR="005D4B1E" w:rsidRDefault="005D4B1E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1072C8"/>
    <w:rsid w:val="00136CF7"/>
    <w:rsid w:val="001447D0"/>
    <w:rsid w:val="00164C51"/>
    <w:rsid w:val="00177F55"/>
    <w:rsid w:val="0018410F"/>
    <w:rsid w:val="001A0044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2691E"/>
    <w:rsid w:val="0023378D"/>
    <w:rsid w:val="00237EC9"/>
    <w:rsid w:val="00243892"/>
    <w:rsid w:val="00243F31"/>
    <w:rsid w:val="00267E62"/>
    <w:rsid w:val="00277377"/>
    <w:rsid w:val="002A143A"/>
    <w:rsid w:val="002A46B8"/>
    <w:rsid w:val="002A74FE"/>
    <w:rsid w:val="002B687E"/>
    <w:rsid w:val="003002C5"/>
    <w:rsid w:val="00333A0F"/>
    <w:rsid w:val="0034189F"/>
    <w:rsid w:val="00347274"/>
    <w:rsid w:val="00356418"/>
    <w:rsid w:val="00365441"/>
    <w:rsid w:val="003771AB"/>
    <w:rsid w:val="00382DCB"/>
    <w:rsid w:val="00394F50"/>
    <w:rsid w:val="003A2DAE"/>
    <w:rsid w:val="003A52D9"/>
    <w:rsid w:val="003A643A"/>
    <w:rsid w:val="003A73E6"/>
    <w:rsid w:val="003E3AB2"/>
    <w:rsid w:val="004328C7"/>
    <w:rsid w:val="00446E08"/>
    <w:rsid w:val="00463C7D"/>
    <w:rsid w:val="004B1F06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3620E"/>
    <w:rsid w:val="00537AF6"/>
    <w:rsid w:val="005409C2"/>
    <w:rsid w:val="00544C5E"/>
    <w:rsid w:val="005503BE"/>
    <w:rsid w:val="00561CB7"/>
    <w:rsid w:val="005D4B1E"/>
    <w:rsid w:val="005D6300"/>
    <w:rsid w:val="006150FC"/>
    <w:rsid w:val="00645F87"/>
    <w:rsid w:val="00685BF9"/>
    <w:rsid w:val="006B0A61"/>
    <w:rsid w:val="006B282B"/>
    <w:rsid w:val="006B5515"/>
    <w:rsid w:val="006C090E"/>
    <w:rsid w:val="006C4593"/>
    <w:rsid w:val="006E31A4"/>
    <w:rsid w:val="00713B57"/>
    <w:rsid w:val="00733833"/>
    <w:rsid w:val="00740F1F"/>
    <w:rsid w:val="007410F9"/>
    <w:rsid w:val="007451A9"/>
    <w:rsid w:val="00763CE4"/>
    <w:rsid w:val="00772CD8"/>
    <w:rsid w:val="00777FC6"/>
    <w:rsid w:val="007840AA"/>
    <w:rsid w:val="007C2A85"/>
    <w:rsid w:val="0080228B"/>
    <w:rsid w:val="00803B21"/>
    <w:rsid w:val="00840BF8"/>
    <w:rsid w:val="00883612"/>
    <w:rsid w:val="00895B38"/>
    <w:rsid w:val="008B3982"/>
    <w:rsid w:val="008C1B0D"/>
    <w:rsid w:val="008E140C"/>
    <w:rsid w:val="008E55E3"/>
    <w:rsid w:val="008F01F8"/>
    <w:rsid w:val="008F5C74"/>
    <w:rsid w:val="008F69B1"/>
    <w:rsid w:val="00901181"/>
    <w:rsid w:val="00904442"/>
    <w:rsid w:val="009558A6"/>
    <w:rsid w:val="009679A1"/>
    <w:rsid w:val="009726DC"/>
    <w:rsid w:val="00980CEC"/>
    <w:rsid w:val="009B6359"/>
    <w:rsid w:val="009D18CC"/>
    <w:rsid w:val="009D2456"/>
    <w:rsid w:val="00A2361E"/>
    <w:rsid w:val="00A23A10"/>
    <w:rsid w:val="00A25D50"/>
    <w:rsid w:val="00A36955"/>
    <w:rsid w:val="00A41325"/>
    <w:rsid w:val="00A547B5"/>
    <w:rsid w:val="00A618D3"/>
    <w:rsid w:val="00A74AA6"/>
    <w:rsid w:val="00A854AA"/>
    <w:rsid w:val="00AE049F"/>
    <w:rsid w:val="00AE0BB1"/>
    <w:rsid w:val="00AE2F64"/>
    <w:rsid w:val="00AE2FF1"/>
    <w:rsid w:val="00B154FD"/>
    <w:rsid w:val="00B2654F"/>
    <w:rsid w:val="00B278C1"/>
    <w:rsid w:val="00B56245"/>
    <w:rsid w:val="00B623C7"/>
    <w:rsid w:val="00BA19DE"/>
    <w:rsid w:val="00BB3259"/>
    <w:rsid w:val="00BC0331"/>
    <w:rsid w:val="00BE5CB4"/>
    <w:rsid w:val="00C04C6A"/>
    <w:rsid w:val="00C17FC9"/>
    <w:rsid w:val="00C20913"/>
    <w:rsid w:val="00C25278"/>
    <w:rsid w:val="00C3730F"/>
    <w:rsid w:val="00C80173"/>
    <w:rsid w:val="00C82382"/>
    <w:rsid w:val="00C84922"/>
    <w:rsid w:val="00C87780"/>
    <w:rsid w:val="00C974AB"/>
    <w:rsid w:val="00CC6E36"/>
    <w:rsid w:val="00D23706"/>
    <w:rsid w:val="00D31EDC"/>
    <w:rsid w:val="00D626C3"/>
    <w:rsid w:val="00D742E0"/>
    <w:rsid w:val="00D8383C"/>
    <w:rsid w:val="00D86F1A"/>
    <w:rsid w:val="00DA0ED2"/>
    <w:rsid w:val="00DB0771"/>
    <w:rsid w:val="00DC6813"/>
    <w:rsid w:val="00DE7244"/>
    <w:rsid w:val="00E4100D"/>
    <w:rsid w:val="00E76C97"/>
    <w:rsid w:val="00E80398"/>
    <w:rsid w:val="00EC1A2D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910CC"/>
    <w:rsid w:val="00FB1FE4"/>
    <w:rsid w:val="00FC23F6"/>
    <w:rsid w:val="00FD53D3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2023-07-12T09:47:00Z</cp:lastPrinted>
  <dcterms:created xsi:type="dcterms:W3CDTF">2023-07-26T09:59:00Z</dcterms:created>
  <dcterms:modified xsi:type="dcterms:W3CDTF">2023-07-26T10:07:00Z</dcterms:modified>
</cp:coreProperties>
</file>