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9BEEA" w14:textId="77777777" w:rsidR="002C02C6" w:rsidRDefault="002C02C6" w:rsidP="00A11762">
      <w:pPr>
        <w:pStyle w:val="xmsonormal0"/>
        <w:shd w:val="clear" w:color="auto" w:fill="FFFFFF"/>
        <w:jc w:val="center"/>
        <w:rPr>
          <w:rFonts w:ascii="Arial" w:hAnsi="Arial" w:cs="Arial"/>
          <w:b/>
          <w:bCs/>
          <w:color w:val="000000"/>
          <w:bdr w:val="none" w:sz="0" w:space="0" w:color="auto" w:frame="1"/>
        </w:rPr>
      </w:pPr>
    </w:p>
    <w:p w14:paraId="4984298B" w14:textId="0EA039E5" w:rsidR="00A06F8E" w:rsidRDefault="00B53783" w:rsidP="00A11762">
      <w:pPr>
        <w:pStyle w:val="xmsonormal0"/>
        <w:shd w:val="clear" w:color="auto" w:fill="FFFFFF"/>
        <w:jc w:val="center"/>
        <w:rPr>
          <w:rFonts w:ascii="Arial" w:hAnsi="Arial" w:cs="Arial"/>
          <w:b/>
          <w:bCs/>
          <w:color w:val="000000"/>
          <w:u w:val="single"/>
          <w:bdr w:val="none" w:sz="0" w:space="0" w:color="auto" w:frame="1"/>
        </w:rPr>
      </w:pPr>
      <w:r w:rsidRPr="00025C44">
        <w:rPr>
          <w:rFonts w:ascii="Arial" w:hAnsi="Arial" w:cs="Arial"/>
          <w:b/>
          <w:bCs/>
          <w:color w:val="000000"/>
          <w:u w:val="single"/>
          <w:bdr w:val="none" w:sz="0" w:space="0" w:color="auto" w:frame="1"/>
        </w:rPr>
        <w:t>Comunicato stampa</w:t>
      </w:r>
    </w:p>
    <w:p w14:paraId="095CC571" w14:textId="77777777" w:rsidR="00025C44" w:rsidRPr="00025C44" w:rsidRDefault="00025C44" w:rsidP="00A11762">
      <w:pPr>
        <w:pStyle w:val="xmsonormal0"/>
        <w:shd w:val="clear" w:color="auto" w:fill="FFFFFF"/>
        <w:jc w:val="center"/>
        <w:rPr>
          <w:rFonts w:ascii="Arial" w:hAnsi="Arial" w:cs="Arial"/>
          <w:b/>
          <w:bCs/>
          <w:color w:val="000000"/>
          <w:u w:val="single"/>
          <w:bdr w:val="none" w:sz="0" w:space="0" w:color="auto" w:frame="1"/>
        </w:rPr>
      </w:pPr>
    </w:p>
    <w:p w14:paraId="63CC01DF" w14:textId="2EE15E7F" w:rsidR="00541A33" w:rsidRPr="00541A33" w:rsidRDefault="00541A33" w:rsidP="00A11762">
      <w:pPr>
        <w:jc w:val="center"/>
        <w:rPr>
          <w:rFonts w:ascii="Arial" w:hAnsi="Arial" w:cs="Arial"/>
          <w:b/>
          <w:bCs/>
          <w:sz w:val="24"/>
          <w:szCs w:val="24"/>
        </w:rPr>
      </w:pPr>
      <w:r w:rsidRPr="00541A33">
        <w:rPr>
          <w:rFonts w:ascii="Arial" w:hAnsi="Arial" w:cs="Arial"/>
          <w:b/>
          <w:bCs/>
          <w:sz w:val="24"/>
          <w:szCs w:val="24"/>
        </w:rPr>
        <w:t>VISTI DI CONFORMIT</w:t>
      </w:r>
      <w:r w:rsidR="00414E0C">
        <w:rPr>
          <w:rFonts w:ascii="Arial" w:hAnsi="Arial" w:cs="Arial"/>
          <w:b/>
          <w:bCs/>
          <w:sz w:val="24"/>
          <w:szCs w:val="24"/>
        </w:rPr>
        <w:t xml:space="preserve">À </w:t>
      </w:r>
      <w:r w:rsidRPr="00541A33">
        <w:rPr>
          <w:rFonts w:ascii="Arial" w:hAnsi="Arial" w:cs="Arial"/>
          <w:b/>
          <w:bCs/>
          <w:sz w:val="24"/>
          <w:szCs w:val="24"/>
        </w:rPr>
        <w:t>TRIBUTARI:</w:t>
      </w:r>
      <w:r w:rsidR="0098798E">
        <w:rPr>
          <w:rFonts w:ascii="Arial" w:hAnsi="Arial" w:cs="Arial"/>
          <w:b/>
          <w:bCs/>
          <w:sz w:val="24"/>
          <w:szCs w:val="24"/>
        </w:rPr>
        <w:t xml:space="preserve"> COMMERCIALISTI, SOLO DA NOI LE </w:t>
      </w:r>
      <w:r w:rsidR="0098798E" w:rsidRPr="00541A33">
        <w:rPr>
          <w:rFonts w:ascii="Arial" w:hAnsi="Arial" w:cs="Arial"/>
          <w:b/>
          <w:bCs/>
          <w:sz w:val="24"/>
          <w:szCs w:val="24"/>
        </w:rPr>
        <w:t>NECESSARIE</w:t>
      </w:r>
      <w:r w:rsidRPr="00541A33">
        <w:rPr>
          <w:rFonts w:ascii="Arial" w:hAnsi="Arial" w:cs="Arial"/>
          <w:b/>
          <w:bCs/>
          <w:sz w:val="24"/>
          <w:szCs w:val="24"/>
        </w:rPr>
        <w:t xml:space="preserve"> GARANZIE</w:t>
      </w:r>
    </w:p>
    <w:p w14:paraId="1578BAC2" w14:textId="77777777" w:rsidR="00541A33" w:rsidRPr="00541A33" w:rsidRDefault="00541A33" w:rsidP="00A11762">
      <w:pPr>
        <w:jc w:val="center"/>
        <w:rPr>
          <w:rFonts w:ascii="Arial" w:hAnsi="Arial" w:cs="Arial"/>
          <w:b/>
          <w:bCs/>
          <w:sz w:val="24"/>
          <w:szCs w:val="24"/>
        </w:rPr>
      </w:pPr>
    </w:p>
    <w:p w14:paraId="0C304FD4" w14:textId="2470C66B" w:rsidR="00541A33" w:rsidRPr="00541A33" w:rsidRDefault="00541A33" w:rsidP="00A11762">
      <w:pPr>
        <w:jc w:val="center"/>
        <w:rPr>
          <w:rFonts w:ascii="Arial" w:hAnsi="Arial" w:cs="Arial"/>
          <w:b/>
          <w:bCs/>
          <w:sz w:val="24"/>
          <w:szCs w:val="24"/>
        </w:rPr>
      </w:pPr>
      <w:r w:rsidRPr="00541A33">
        <w:rPr>
          <w:rFonts w:ascii="Arial" w:hAnsi="Arial" w:cs="Arial"/>
          <w:b/>
          <w:bCs/>
          <w:sz w:val="24"/>
          <w:szCs w:val="24"/>
        </w:rPr>
        <w:t>PRESENTATE PROPOSTE EMENDATIVE ALLA LEGGE DELEGA FISCALE</w:t>
      </w:r>
    </w:p>
    <w:p w14:paraId="72F997CE" w14:textId="77777777" w:rsidR="00541A33" w:rsidRPr="00541A33" w:rsidRDefault="00541A33" w:rsidP="00A11762">
      <w:pPr>
        <w:jc w:val="center"/>
        <w:rPr>
          <w:rFonts w:ascii="Arial" w:hAnsi="Arial" w:cs="Arial"/>
          <w:b/>
          <w:bCs/>
          <w:sz w:val="24"/>
          <w:szCs w:val="24"/>
        </w:rPr>
      </w:pPr>
    </w:p>
    <w:p w14:paraId="34732F77" w14:textId="3E19800E" w:rsidR="00541A33" w:rsidRPr="00541A33" w:rsidRDefault="00541A33" w:rsidP="00A11762">
      <w:pPr>
        <w:jc w:val="center"/>
        <w:rPr>
          <w:rFonts w:ascii="Arial" w:hAnsi="Arial" w:cs="Arial"/>
          <w:b/>
          <w:bCs/>
          <w:sz w:val="24"/>
          <w:szCs w:val="24"/>
        </w:rPr>
      </w:pPr>
      <w:r w:rsidRPr="00541A33">
        <w:rPr>
          <w:rFonts w:ascii="Arial" w:hAnsi="Arial" w:cs="Arial"/>
          <w:b/>
          <w:bCs/>
          <w:sz w:val="24"/>
          <w:szCs w:val="24"/>
        </w:rPr>
        <w:t>De Nuccio: “</w:t>
      </w:r>
      <w:r>
        <w:rPr>
          <w:rFonts w:ascii="Arial" w:hAnsi="Arial" w:cs="Arial"/>
          <w:b/>
          <w:bCs/>
          <w:sz w:val="24"/>
          <w:szCs w:val="24"/>
        </w:rPr>
        <w:t>S</w:t>
      </w:r>
      <w:r w:rsidRPr="00541A33">
        <w:rPr>
          <w:rFonts w:ascii="Arial" w:hAnsi="Arial" w:cs="Arial"/>
          <w:b/>
          <w:bCs/>
          <w:sz w:val="24"/>
          <w:szCs w:val="24"/>
        </w:rPr>
        <w:t>ul visto di conformità ricevute rassicurazioni dalle Istituzioni”</w:t>
      </w:r>
      <w:r w:rsidR="008D0674">
        <w:rPr>
          <w:rFonts w:ascii="Arial" w:hAnsi="Arial" w:cs="Arial"/>
          <w:b/>
          <w:bCs/>
          <w:sz w:val="24"/>
          <w:szCs w:val="24"/>
        </w:rPr>
        <w:t>.</w:t>
      </w:r>
    </w:p>
    <w:p w14:paraId="41F0AB97" w14:textId="0232CE44" w:rsidR="00541A33" w:rsidRDefault="00541A33" w:rsidP="00A11762">
      <w:pPr>
        <w:jc w:val="center"/>
        <w:rPr>
          <w:rFonts w:ascii="Arial" w:hAnsi="Arial" w:cs="Arial"/>
          <w:b/>
          <w:bCs/>
          <w:sz w:val="24"/>
          <w:szCs w:val="24"/>
        </w:rPr>
      </w:pPr>
      <w:r w:rsidRPr="00541A33">
        <w:rPr>
          <w:rFonts w:ascii="Arial" w:hAnsi="Arial" w:cs="Arial"/>
          <w:b/>
          <w:bCs/>
          <w:sz w:val="24"/>
          <w:szCs w:val="24"/>
        </w:rPr>
        <w:t xml:space="preserve">Regalbuto: “Garante del contribuente </w:t>
      </w:r>
      <w:r w:rsidR="00414E0C">
        <w:rPr>
          <w:rFonts w:ascii="Arial" w:hAnsi="Arial" w:cs="Arial"/>
          <w:b/>
          <w:bCs/>
          <w:sz w:val="24"/>
          <w:szCs w:val="24"/>
        </w:rPr>
        <w:t>n</w:t>
      </w:r>
      <w:r w:rsidRPr="00541A33">
        <w:rPr>
          <w:rFonts w:ascii="Arial" w:hAnsi="Arial" w:cs="Arial"/>
          <w:b/>
          <w:bCs/>
          <w:sz w:val="24"/>
          <w:szCs w:val="24"/>
        </w:rPr>
        <w:t>azionale e regime forfettario anche per chi partecipa a società o associazioni professionali”</w:t>
      </w:r>
    </w:p>
    <w:p w14:paraId="61A1E527" w14:textId="77777777" w:rsidR="00541A33" w:rsidRPr="00541A33" w:rsidRDefault="00541A33" w:rsidP="00A11762">
      <w:pPr>
        <w:jc w:val="center"/>
        <w:rPr>
          <w:rFonts w:ascii="Arial" w:hAnsi="Arial" w:cs="Arial"/>
          <w:b/>
          <w:bCs/>
          <w:sz w:val="24"/>
          <w:szCs w:val="24"/>
        </w:rPr>
      </w:pPr>
    </w:p>
    <w:p w14:paraId="48F3A502" w14:textId="5A9B628D" w:rsidR="00541A33" w:rsidRDefault="00541A33" w:rsidP="00A11762">
      <w:pPr>
        <w:jc w:val="both"/>
        <w:rPr>
          <w:rFonts w:ascii="Arial" w:hAnsi="Arial" w:cs="Arial"/>
          <w:sz w:val="24"/>
          <w:szCs w:val="24"/>
        </w:rPr>
      </w:pPr>
      <w:r w:rsidRPr="00541A33">
        <w:rPr>
          <w:rFonts w:ascii="Arial" w:hAnsi="Arial" w:cs="Arial"/>
          <w:i/>
          <w:iCs/>
          <w:sz w:val="24"/>
          <w:szCs w:val="24"/>
        </w:rPr>
        <w:t>Roma, 24 maggio 2023</w:t>
      </w:r>
      <w:r w:rsidR="00E02D3F">
        <w:rPr>
          <w:rFonts w:ascii="Arial" w:hAnsi="Arial" w:cs="Arial"/>
          <w:i/>
          <w:iCs/>
          <w:sz w:val="24"/>
          <w:szCs w:val="24"/>
        </w:rPr>
        <w:t xml:space="preserve"> –</w:t>
      </w:r>
      <w:r w:rsidRPr="00541A33">
        <w:rPr>
          <w:rFonts w:ascii="Arial" w:hAnsi="Arial" w:cs="Arial"/>
          <w:sz w:val="24"/>
          <w:szCs w:val="24"/>
        </w:rPr>
        <w:t xml:space="preserve"> “Nel riscontrare l’ennesimo</w:t>
      </w:r>
      <w:r w:rsidR="000A2F6B">
        <w:rPr>
          <w:rFonts w:ascii="Arial" w:hAnsi="Arial" w:cs="Arial"/>
          <w:sz w:val="24"/>
          <w:szCs w:val="24"/>
        </w:rPr>
        <w:t>,</w:t>
      </w:r>
      <w:r w:rsidRPr="00541A33">
        <w:rPr>
          <w:rFonts w:ascii="Arial" w:hAnsi="Arial" w:cs="Arial"/>
          <w:sz w:val="24"/>
          <w:szCs w:val="24"/>
        </w:rPr>
        <w:t xml:space="preserve"> sterile tentativo di estendere la competenza ad apporre i visti di conformità tributari a soggetti non ordinistici, il Consiglio Nazionale si è già attivato con i vertici delle Istituzioni interessate </w:t>
      </w:r>
      <w:r w:rsidRPr="00541A33">
        <w:rPr>
          <w:rFonts w:ascii="Arial" w:hAnsi="Arial" w:cs="Arial"/>
          <w:b/>
          <w:bCs/>
          <w:sz w:val="24"/>
          <w:szCs w:val="24"/>
        </w:rPr>
        <w:t xml:space="preserve">ricevendo rassicurazioni che, com’è naturale che sia, queste attività professionali permangano nella sfera di esclusiva dei </w:t>
      </w:r>
      <w:r w:rsidR="000A2F6B">
        <w:rPr>
          <w:rFonts w:ascii="Arial" w:hAnsi="Arial" w:cs="Arial"/>
          <w:b/>
          <w:bCs/>
          <w:sz w:val="24"/>
          <w:szCs w:val="24"/>
        </w:rPr>
        <w:t>c</w:t>
      </w:r>
      <w:r w:rsidRPr="00541A33">
        <w:rPr>
          <w:rFonts w:ascii="Arial" w:hAnsi="Arial" w:cs="Arial"/>
          <w:b/>
          <w:bCs/>
          <w:sz w:val="24"/>
          <w:szCs w:val="24"/>
        </w:rPr>
        <w:t>ommercialisti</w:t>
      </w:r>
      <w:r w:rsidRPr="00541A33">
        <w:rPr>
          <w:rFonts w:ascii="Arial" w:hAnsi="Arial" w:cs="Arial"/>
          <w:sz w:val="24"/>
          <w:szCs w:val="24"/>
        </w:rPr>
        <w:t xml:space="preserve">, soggetti sottoposti alla vigilanza del Ministero della Giustizia, a cogenti obblighi deontologici, all’obbligo di assicurazione, a codificati percorsi di formazione professionale continua”. </w:t>
      </w:r>
      <w:r w:rsidR="0098798E" w:rsidRPr="00541A33">
        <w:rPr>
          <w:rFonts w:ascii="Arial" w:hAnsi="Arial" w:cs="Arial"/>
          <w:sz w:val="24"/>
          <w:szCs w:val="24"/>
        </w:rPr>
        <w:t>È</w:t>
      </w:r>
      <w:r w:rsidRPr="00541A33">
        <w:rPr>
          <w:rFonts w:ascii="Arial" w:hAnsi="Arial" w:cs="Arial"/>
          <w:sz w:val="24"/>
          <w:szCs w:val="24"/>
        </w:rPr>
        <w:t xml:space="preserve"> quanto afferma il </w:t>
      </w:r>
      <w:r w:rsidR="000A2F6B">
        <w:rPr>
          <w:rFonts w:ascii="Arial" w:hAnsi="Arial" w:cs="Arial"/>
          <w:sz w:val="24"/>
          <w:szCs w:val="24"/>
        </w:rPr>
        <w:t>p</w:t>
      </w:r>
      <w:r w:rsidRPr="00541A33">
        <w:rPr>
          <w:rFonts w:ascii="Arial" w:hAnsi="Arial" w:cs="Arial"/>
          <w:sz w:val="24"/>
          <w:szCs w:val="24"/>
        </w:rPr>
        <w:t>residente</w:t>
      </w:r>
      <w:r w:rsidR="00D04269">
        <w:rPr>
          <w:rFonts w:ascii="Arial" w:hAnsi="Arial" w:cs="Arial"/>
          <w:sz w:val="24"/>
          <w:szCs w:val="24"/>
        </w:rPr>
        <w:t xml:space="preserve"> del Consiglio nazionale dei commercialisti</w:t>
      </w:r>
      <w:r w:rsidR="000A2F6B">
        <w:rPr>
          <w:rFonts w:ascii="Arial" w:hAnsi="Arial" w:cs="Arial"/>
          <w:sz w:val="24"/>
          <w:szCs w:val="24"/>
        </w:rPr>
        <w:t>,</w:t>
      </w:r>
      <w:r w:rsidR="00D04269">
        <w:rPr>
          <w:rFonts w:ascii="Arial" w:hAnsi="Arial" w:cs="Arial"/>
          <w:sz w:val="24"/>
          <w:szCs w:val="24"/>
        </w:rPr>
        <w:t xml:space="preserve"> Elbano </w:t>
      </w:r>
      <w:r w:rsidRPr="00541A33">
        <w:rPr>
          <w:rFonts w:ascii="Arial" w:hAnsi="Arial" w:cs="Arial"/>
          <w:sz w:val="24"/>
          <w:szCs w:val="24"/>
        </w:rPr>
        <w:t>de Nuccio, in risposta all’ordine del giorno presentato da alcuni parlamentari e che, alla luce delle rassicurazioni ricevute, appare destinato a non avere alcun impatto normativo tangibile.</w:t>
      </w:r>
    </w:p>
    <w:p w14:paraId="2D0A95C9" w14:textId="77777777" w:rsidR="00025C44" w:rsidRPr="00541A33" w:rsidRDefault="00025C44" w:rsidP="00A11762">
      <w:pPr>
        <w:jc w:val="both"/>
        <w:rPr>
          <w:rFonts w:ascii="Arial" w:hAnsi="Arial" w:cs="Arial"/>
          <w:sz w:val="24"/>
          <w:szCs w:val="24"/>
        </w:rPr>
      </w:pPr>
    </w:p>
    <w:p w14:paraId="460E1FCF" w14:textId="7E86A6C5" w:rsidR="00541A33" w:rsidRPr="007B1E56" w:rsidRDefault="00541A33" w:rsidP="00A11762">
      <w:pPr>
        <w:jc w:val="both"/>
        <w:rPr>
          <w:rFonts w:ascii="Arial" w:hAnsi="Arial" w:cs="Arial"/>
          <w:sz w:val="24"/>
          <w:szCs w:val="24"/>
        </w:rPr>
      </w:pPr>
      <w:r w:rsidRPr="00541A33">
        <w:rPr>
          <w:rFonts w:ascii="Arial" w:hAnsi="Arial" w:cs="Arial"/>
          <w:sz w:val="24"/>
          <w:szCs w:val="24"/>
        </w:rPr>
        <w:t>“L’attività di certificazione tributaria, peraltro ampiamente prevista anche nella Legge Delega di riforma del sistema tributario</w:t>
      </w:r>
      <w:r w:rsidR="000A2F6B">
        <w:rPr>
          <w:rFonts w:ascii="Arial" w:hAnsi="Arial" w:cs="Arial"/>
          <w:sz w:val="24"/>
          <w:szCs w:val="24"/>
        </w:rPr>
        <w:t>,</w:t>
      </w:r>
      <w:r w:rsidRPr="00541A33">
        <w:rPr>
          <w:rFonts w:ascii="Arial" w:hAnsi="Arial" w:cs="Arial"/>
          <w:sz w:val="24"/>
          <w:szCs w:val="24"/>
        </w:rPr>
        <w:t xml:space="preserve"> – continua de Nuccio – richiede che il professionista, a cui si delegano attività di estrema delicatezza anche nell’interesse pubblico, sia in condizione di offrire </w:t>
      </w:r>
      <w:r w:rsidRPr="00541A33">
        <w:rPr>
          <w:rFonts w:ascii="Arial" w:hAnsi="Arial" w:cs="Arial"/>
          <w:b/>
          <w:bCs/>
          <w:sz w:val="24"/>
          <w:szCs w:val="24"/>
        </w:rPr>
        <w:t>adeguate garanzie che solo il presidio degli Ordini professionali p</w:t>
      </w:r>
      <w:r w:rsidR="000A2F6B">
        <w:rPr>
          <w:rFonts w:ascii="Arial" w:hAnsi="Arial" w:cs="Arial"/>
          <w:b/>
          <w:bCs/>
          <w:sz w:val="24"/>
          <w:szCs w:val="24"/>
        </w:rPr>
        <w:t>uò</w:t>
      </w:r>
      <w:r w:rsidRPr="00541A33">
        <w:rPr>
          <w:rFonts w:ascii="Arial" w:hAnsi="Arial" w:cs="Arial"/>
          <w:b/>
          <w:bCs/>
          <w:sz w:val="24"/>
          <w:szCs w:val="24"/>
        </w:rPr>
        <w:t xml:space="preserve"> assicurare</w:t>
      </w:r>
      <w:r w:rsidRPr="00541A33">
        <w:rPr>
          <w:rFonts w:ascii="Arial" w:hAnsi="Arial" w:cs="Arial"/>
          <w:sz w:val="24"/>
          <w:szCs w:val="24"/>
        </w:rPr>
        <w:t xml:space="preserve">”. “Anche per questo – conclude – nell’ambito del percorso che porterà all’attuazione della Legge Delega, dialogheremo con gli interlocutori istituzionali affinché tali garanzie siano ulteriormente rafforzate, confermando </w:t>
      </w:r>
      <w:r w:rsidRPr="00541A33">
        <w:rPr>
          <w:rFonts w:ascii="Arial" w:hAnsi="Arial" w:cs="Arial"/>
          <w:b/>
          <w:bCs/>
          <w:sz w:val="24"/>
          <w:szCs w:val="24"/>
        </w:rPr>
        <w:t xml:space="preserve">esclusive che pongano il </w:t>
      </w:r>
      <w:r w:rsidR="000A2F6B">
        <w:rPr>
          <w:rFonts w:ascii="Arial" w:hAnsi="Arial" w:cs="Arial"/>
          <w:b/>
          <w:bCs/>
          <w:sz w:val="24"/>
          <w:szCs w:val="24"/>
        </w:rPr>
        <w:t>c</w:t>
      </w:r>
      <w:r w:rsidRPr="00541A33">
        <w:rPr>
          <w:rFonts w:ascii="Arial" w:hAnsi="Arial" w:cs="Arial"/>
          <w:b/>
          <w:bCs/>
          <w:sz w:val="24"/>
          <w:szCs w:val="24"/>
        </w:rPr>
        <w:t>ommercialista al centro del progetto di riforma del sistema tributario</w:t>
      </w:r>
      <w:r w:rsidR="0098798E">
        <w:rPr>
          <w:rFonts w:ascii="Arial" w:hAnsi="Arial" w:cs="Arial"/>
          <w:b/>
          <w:bCs/>
          <w:sz w:val="24"/>
          <w:szCs w:val="24"/>
        </w:rPr>
        <w:t xml:space="preserve">. </w:t>
      </w:r>
      <w:r w:rsidR="0098798E" w:rsidRPr="007B1E56">
        <w:rPr>
          <w:rFonts w:ascii="Arial" w:hAnsi="Arial" w:cs="Arial"/>
          <w:sz w:val="24"/>
          <w:szCs w:val="24"/>
        </w:rPr>
        <w:t xml:space="preserve">Il nostro è un approccio che evita la </w:t>
      </w:r>
      <w:r w:rsidR="0098798E" w:rsidRPr="007B1E56">
        <w:rPr>
          <w:rFonts w:ascii="Arial" w:hAnsi="Arial" w:cs="Arial"/>
          <w:b/>
          <w:bCs/>
          <w:sz w:val="24"/>
          <w:szCs w:val="24"/>
        </w:rPr>
        <w:t>politica degli</w:t>
      </w:r>
      <w:r w:rsidR="0098798E" w:rsidRPr="007B1E56">
        <w:rPr>
          <w:rFonts w:ascii="Arial" w:hAnsi="Arial" w:cs="Arial"/>
          <w:sz w:val="24"/>
          <w:szCs w:val="24"/>
        </w:rPr>
        <w:t xml:space="preserve"> </w:t>
      </w:r>
      <w:r w:rsidR="0098798E" w:rsidRPr="007B1E56">
        <w:rPr>
          <w:rFonts w:ascii="Arial" w:hAnsi="Arial" w:cs="Arial"/>
          <w:b/>
          <w:bCs/>
          <w:sz w:val="24"/>
          <w:szCs w:val="24"/>
        </w:rPr>
        <w:t>annunci, che non pone problemi ma trova soluzioni</w:t>
      </w:r>
      <w:r w:rsidRPr="007B1E56">
        <w:rPr>
          <w:rFonts w:ascii="Arial" w:hAnsi="Arial" w:cs="Arial"/>
          <w:sz w:val="24"/>
          <w:szCs w:val="24"/>
        </w:rPr>
        <w:t>”.</w:t>
      </w:r>
    </w:p>
    <w:p w14:paraId="4BF09786" w14:textId="77777777" w:rsidR="0098798E" w:rsidRPr="00541A33" w:rsidRDefault="0098798E" w:rsidP="00A11762">
      <w:pPr>
        <w:jc w:val="both"/>
        <w:rPr>
          <w:rFonts w:ascii="Arial" w:hAnsi="Arial" w:cs="Arial"/>
          <w:sz w:val="24"/>
          <w:szCs w:val="24"/>
        </w:rPr>
      </w:pPr>
    </w:p>
    <w:p w14:paraId="26E71920" w14:textId="77777777" w:rsidR="00541A33" w:rsidRDefault="00541A33" w:rsidP="00A11762">
      <w:pPr>
        <w:jc w:val="both"/>
        <w:rPr>
          <w:rFonts w:ascii="Arial" w:hAnsi="Arial" w:cs="Arial"/>
          <w:sz w:val="24"/>
          <w:szCs w:val="24"/>
        </w:rPr>
      </w:pPr>
      <w:r w:rsidRPr="00541A33">
        <w:rPr>
          <w:rFonts w:ascii="Arial" w:hAnsi="Arial" w:cs="Arial"/>
          <w:sz w:val="24"/>
          <w:szCs w:val="24"/>
        </w:rPr>
        <w:t>Nella giornata di oggi il Consiglio Nazionale, in vista della scadenza del termine per la presentazione di emendamenti alla Legge Delega, prevista per venerdì prossimo, ha elaborato alcune proposte con l’obiettivo di fornire un ulteriore e costruttivo contributo al dibattito parlamentare in corso.</w:t>
      </w:r>
    </w:p>
    <w:p w14:paraId="45369DAC" w14:textId="77777777" w:rsidR="0098798E" w:rsidRPr="00541A33" w:rsidRDefault="0098798E" w:rsidP="00A11762">
      <w:pPr>
        <w:jc w:val="both"/>
        <w:rPr>
          <w:rFonts w:ascii="Arial" w:hAnsi="Arial" w:cs="Arial"/>
          <w:sz w:val="24"/>
          <w:szCs w:val="24"/>
        </w:rPr>
      </w:pPr>
    </w:p>
    <w:p w14:paraId="0ABB9AB3" w14:textId="500A00A7" w:rsidR="00541A33" w:rsidRDefault="00541A33" w:rsidP="00A11762">
      <w:pPr>
        <w:jc w:val="both"/>
        <w:rPr>
          <w:rFonts w:ascii="Arial" w:hAnsi="Arial" w:cs="Arial"/>
          <w:sz w:val="24"/>
          <w:szCs w:val="24"/>
        </w:rPr>
      </w:pPr>
      <w:r w:rsidRPr="00541A33">
        <w:rPr>
          <w:rFonts w:ascii="Arial" w:hAnsi="Arial" w:cs="Arial"/>
          <w:sz w:val="24"/>
          <w:szCs w:val="24"/>
        </w:rPr>
        <w:t xml:space="preserve">Le proposte spaziano dall’istituzione del </w:t>
      </w:r>
      <w:r w:rsidRPr="00541A33">
        <w:rPr>
          <w:rFonts w:ascii="Arial" w:hAnsi="Arial" w:cs="Arial"/>
          <w:b/>
          <w:bCs/>
          <w:sz w:val="24"/>
          <w:szCs w:val="24"/>
        </w:rPr>
        <w:t>Garante nazionale del contribuente</w:t>
      </w:r>
      <w:r w:rsidRPr="00541A33">
        <w:rPr>
          <w:rFonts w:ascii="Arial" w:hAnsi="Arial" w:cs="Arial"/>
          <w:sz w:val="24"/>
          <w:szCs w:val="24"/>
        </w:rPr>
        <w:t xml:space="preserve"> alla </w:t>
      </w:r>
      <w:r w:rsidRPr="00541A33">
        <w:rPr>
          <w:rFonts w:ascii="Arial" w:hAnsi="Arial" w:cs="Arial"/>
          <w:b/>
          <w:bCs/>
          <w:sz w:val="24"/>
          <w:szCs w:val="24"/>
        </w:rPr>
        <w:t>richiesta di abrogazione del contributo per l’ammissibilità delle istanze di interpello</w:t>
      </w:r>
      <w:r w:rsidRPr="00541A33">
        <w:rPr>
          <w:rFonts w:ascii="Arial" w:hAnsi="Arial" w:cs="Arial"/>
          <w:sz w:val="24"/>
          <w:szCs w:val="24"/>
        </w:rPr>
        <w:t xml:space="preserve">, </w:t>
      </w:r>
      <w:r w:rsidR="0014785D">
        <w:rPr>
          <w:rFonts w:ascii="Arial" w:hAnsi="Arial" w:cs="Arial"/>
          <w:sz w:val="24"/>
          <w:szCs w:val="24"/>
        </w:rPr>
        <w:t>d</w:t>
      </w:r>
      <w:r w:rsidRPr="00541A33">
        <w:rPr>
          <w:rFonts w:ascii="Arial" w:hAnsi="Arial" w:cs="Arial"/>
          <w:sz w:val="24"/>
          <w:szCs w:val="24"/>
        </w:rPr>
        <w:t>all’</w:t>
      </w:r>
      <w:r w:rsidRPr="00541A33">
        <w:rPr>
          <w:rFonts w:ascii="Arial" w:hAnsi="Arial" w:cs="Arial"/>
          <w:b/>
          <w:bCs/>
          <w:sz w:val="24"/>
          <w:szCs w:val="24"/>
        </w:rPr>
        <w:t>estensione del regime forfettario ai redditi di partecipazione in società di persone e associazioni</w:t>
      </w:r>
      <w:r w:rsidRPr="00541A33">
        <w:rPr>
          <w:rFonts w:ascii="Arial" w:hAnsi="Arial" w:cs="Arial"/>
          <w:sz w:val="24"/>
          <w:szCs w:val="24"/>
        </w:rPr>
        <w:t xml:space="preserve">, alla possibilità, in via opzionale, di </w:t>
      </w:r>
      <w:r w:rsidRPr="00541A33">
        <w:rPr>
          <w:rFonts w:ascii="Arial" w:hAnsi="Arial" w:cs="Arial"/>
          <w:b/>
          <w:bCs/>
          <w:sz w:val="24"/>
          <w:szCs w:val="24"/>
        </w:rPr>
        <w:t>determinare con</w:t>
      </w:r>
      <w:r w:rsidRPr="00541A33">
        <w:rPr>
          <w:rFonts w:ascii="Arial" w:hAnsi="Arial" w:cs="Arial"/>
          <w:sz w:val="24"/>
          <w:szCs w:val="24"/>
        </w:rPr>
        <w:t xml:space="preserve"> </w:t>
      </w:r>
      <w:r w:rsidRPr="00541A33">
        <w:rPr>
          <w:rFonts w:ascii="Arial" w:hAnsi="Arial" w:cs="Arial"/>
          <w:b/>
          <w:bCs/>
          <w:sz w:val="24"/>
          <w:szCs w:val="24"/>
        </w:rPr>
        <w:t>criteri di cassa il reddito delle società tra professionisti</w:t>
      </w:r>
      <w:r w:rsidRPr="00541A33">
        <w:rPr>
          <w:rFonts w:ascii="Arial" w:hAnsi="Arial" w:cs="Arial"/>
          <w:sz w:val="24"/>
          <w:szCs w:val="24"/>
        </w:rPr>
        <w:t xml:space="preserve">, </w:t>
      </w:r>
      <w:r w:rsidR="001812AA">
        <w:rPr>
          <w:rFonts w:ascii="Arial" w:hAnsi="Arial" w:cs="Arial"/>
          <w:sz w:val="24"/>
          <w:szCs w:val="24"/>
        </w:rPr>
        <w:t>d</w:t>
      </w:r>
      <w:r w:rsidRPr="00541A33">
        <w:rPr>
          <w:rFonts w:ascii="Arial" w:hAnsi="Arial" w:cs="Arial"/>
          <w:sz w:val="24"/>
          <w:szCs w:val="24"/>
        </w:rPr>
        <w:t xml:space="preserve">alla </w:t>
      </w:r>
      <w:r w:rsidRPr="00541A33">
        <w:rPr>
          <w:rFonts w:ascii="Arial" w:hAnsi="Arial" w:cs="Arial"/>
          <w:b/>
          <w:bCs/>
          <w:sz w:val="24"/>
          <w:szCs w:val="24"/>
        </w:rPr>
        <w:t>revisione della disciplina IVA</w:t>
      </w:r>
      <w:r w:rsidRPr="00541A33">
        <w:rPr>
          <w:rFonts w:ascii="Arial" w:hAnsi="Arial" w:cs="Arial"/>
          <w:sz w:val="24"/>
          <w:szCs w:val="24"/>
        </w:rPr>
        <w:t xml:space="preserve">, anche sanzionatoria, </w:t>
      </w:r>
      <w:r w:rsidRPr="00541A33">
        <w:rPr>
          <w:rFonts w:ascii="Arial" w:hAnsi="Arial" w:cs="Arial"/>
          <w:b/>
          <w:bCs/>
          <w:sz w:val="24"/>
          <w:szCs w:val="24"/>
        </w:rPr>
        <w:t>in caso di errori di fatturazione</w:t>
      </w:r>
      <w:r w:rsidRPr="00541A33">
        <w:rPr>
          <w:rFonts w:ascii="Arial" w:hAnsi="Arial" w:cs="Arial"/>
          <w:sz w:val="24"/>
          <w:szCs w:val="24"/>
        </w:rPr>
        <w:t xml:space="preserve"> o di applicazione dell’imposta in misura superiore a quella effettiva, al </w:t>
      </w:r>
      <w:r w:rsidRPr="00541A33">
        <w:rPr>
          <w:rFonts w:ascii="Arial" w:hAnsi="Arial" w:cs="Arial"/>
          <w:b/>
          <w:bCs/>
          <w:sz w:val="24"/>
          <w:szCs w:val="24"/>
        </w:rPr>
        <w:t xml:space="preserve">potenziamento degli effetti premiali connessi alla c.d. </w:t>
      </w:r>
      <w:r w:rsidRPr="00541A33">
        <w:rPr>
          <w:rFonts w:ascii="Arial" w:hAnsi="Arial" w:cs="Arial"/>
          <w:b/>
          <w:bCs/>
          <w:i/>
          <w:iCs/>
          <w:sz w:val="24"/>
          <w:szCs w:val="24"/>
        </w:rPr>
        <w:t>cooperative compliance</w:t>
      </w:r>
      <w:r w:rsidRPr="00541A33">
        <w:rPr>
          <w:rFonts w:ascii="Arial" w:hAnsi="Arial" w:cs="Arial"/>
          <w:sz w:val="24"/>
          <w:szCs w:val="24"/>
        </w:rPr>
        <w:t xml:space="preserve">, alla previsione della possibilità della </w:t>
      </w:r>
      <w:r w:rsidRPr="00541A33">
        <w:rPr>
          <w:rFonts w:ascii="Arial" w:hAnsi="Arial" w:cs="Arial"/>
          <w:b/>
          <w:bCs/>
          <w:sz w:val="24"/>
          <w:szCs w:val="24"/>
        </w:rPr>
        <w:t>trattazione in presenza delle udienze anche in caso di controversie demandate al giudice monocratico</w:t>
      </w:r>
      <w:r w:rsidRPr="00541A33">
        <w:rPr>
          <w:rFonts w:ascii="Arial" w:hAnsi="Arial" w:cs="Arial"/>
          <w:sz w:val="24"/>
          <w:szCs w:val="24"/>
        </w:rPr>
        <w:t>.</w:t>
      </w:r>
    </w:p>
    <w:p w14:paraId="0EEE1775" w14:textId="77777777" w:rsidR="0098798E" w:rsidRPr="00541A33" w:rsidRDefault="0098798E" w:rsidP="00A11762">
      <w:pPr>
        <w:jc w:val="both"/>
        <w:rPr>
          <w:rFonts w:ascii="Arial" w:hAnsi="Arial" w:cs="Arial"/>
          <w:sz w:val="24"/>
          <w:szCs w:val="24"/>
        </w:rPr>
      </w:pPr>
    </w:p>
    <w:p w14:paraId="12B0EF73" w14:textId="77777777" w:rsidR="0014785D" w:rsidRDefault="0014785D" w:rsidP="00A11762">
      <w:pPr>
        <w:jc w:val="both"/>
        <w:rPr>
          <w:rFonts w:ascii="Arial" w:hAnsi="Arial" w:cs="Arial"/>
          <w:sz w:val="24"/>
          <w:szCs w:val="24"/>
        </w:rPr>
      </w:pPr>
    </w:p>
    <w:p w14:paraId="06AC33D2" w14:textId="77777777" w:rsidR="0014785D" w:rsidRDefault="0014785D" w:rsidP="00A11762">
      <w:pPr>
        <w:jc w:val="both"/>
        <w:rPr>
          <w:rFonts w:ascii="Arial" w:hAnsi="Arial" w:cs="Arial"/>
          <w:sz w:val="24"/>
          <w:szCs w:val="24"/>
        </w:rPr>
      </w:pPr>
    </w:p>
    <w:p w14:paraId="2438156E" w14:textId="09E2775E" w:rsidR="001812AA" w:rsidRDefault="00541A33" w:rsidP="00A11762">
      <w:pPr>
        <w:jc w:val="both"/>
        <w:rPr>
          <w:rFonts w:ascii="Arial" w:hAnsi="Arial" w:cs="Arial"/>
          <w:sz w:val="24"/>
          <w:szCs w:val="24"/>
        </w:rPr>
      </w:pPr>
      <w:r w:rsidRPr="00541A33">
        <w:rPr>
          <w:rFonts w:ascii="Arial" w:hAnsi="Arial" w:cs="Arial"/>
          <w:sz w:val="24"/>
          <w:szCs w:val="24"/>
        </w:rPr>
        <w:t xml:space="preserve">“Sono proposte che tendono a </w:t>
      </w:r>
      <w:r w:rsidRPr="00541A33">
        <w:rPr>
          <w:rFonts w:ascii="Arial" w:hAnsi="Arial" w:cs="Arial"/>
          <w:b/>
          <w:bCs/>
          <w:sz w:val="24"/>
          <w:szCs w:val="24"/>
        </w:rPr>
        <w:t>migliorare ulteriormente l’attuale impianto della Legge Delega e confidiamo che possano trovare accoglimento</w:t>
      </w:r>
      <w:r w:rsidRPr="00541A33">
        <w:rPr>
          <w:rFonts w:ascii="Arial" w:hAnsi="Arial" w:cs="Arial"/>
          <w:sz w:val="24"/>
          <w:szCs w:val="24"/>
        </w:rPr>
        <w:t xml:space="preserve"> </w:t>
      </w:r>
      <w:r w:rsidR="001812AA">
        <w:rPr>
          <w:rFonts w:ascii="Arial" w:hAnsi="Arial" w:cs="Arial"/>
          <w:sz w:val="24"/>
          <w:szCs w:val="24"/>
        </w:rPr>
        <w:t xml:space="preserve">– </w:t>
      </w:r>
      <w:r w:rsidRPr="00541A33">
        <w:rPr>
          <w:rFonts w:ascii="Arial" w:hAnsi="Arial" w:cs="Arial"/>
          <w:sz w:val="24"/>
          <w:szCs w:val="24"/>
        </w:rPr>
        <w:t xml:space="preserve">afferma Salvatore Regalbuto, </w:t>
      </w:r>
      <w:r w:rsidR="001812AA">
        <w:rPr>
          <w:rFonts w:ascii="Arial" w:hAnsi="Arial" w:cs="Arial"/>
          <w:sz w:val="24"/>
          <w:szCs w:val="24"/>
        </w:rPr>
        <w:t>t</w:t>
      </w:r>
      <w:r w:rsidRPr="00541A33">
        <w:rPr>
          <w:rFonts w:ascii="Arial" w:hAnsi="Arial" w:cs="Arial"/>
          <w:sz w:val="24"/>
          <w:szCs w:val="24"/>
        </w:rPr>
        <w:t xml:space="preserve">esoriere </w:t>
      </w:r>
      <w:r w:rsidR="0098798E">
        <w:rPr>
          <w:rFonts w:ascii="Arial" w:hAnsi="Arial" w:cs="Arial"/>
          <w:sz w:val="24"/>
          <w:szCs w:val="24"/>
        </w:rPr>
        <w:t xml:space="preserve">del Consiglio nazionale </w:t>
      </w:r>
      <w:r w:rsidRPr="00541A33">
        <w:rPr>
          <w:rFonts w:ascii="Arial" w:hAnsi="Arial" w:cs="Arial"/>
          <w:sz w:val="24"/>
          <w:szCs w:val="24"/>
        </w:rPr>
        <w:t>con delega alla fiscalità</w:t>
      </w:r>
      <w:r w:rsidR="0098798E">
        <w:rPr>
          <w:rFonts w:ascii="Arial" w:hAnsi="Arial" w:cs="Arial"/>
          <w:sz w:val="24"/>
          <w:szCs w:val="24"/>
        </w:rPr>
        <w:t>.</w:t>
      </w:r>
      <w:r w:rsidRPr="00541A33">
        <w:rPr>
          <w:rFonts w:ascii="Arial" w:hAnsi="Arial" w:cs="Arial"/>
          <w:sz w:val="24"/>
          <w:szCs w:val="24"/>
        </w:rPr>
        <w:t xml:space="preserve"> “</w:t>
      </w:r>
      <w:r w:rsidR="0098798E">
        <w:rPr>
          <w:rFonts w:ascii="Arial" w:hAnsi="Arial" w:cs="Arial"/>
          <w:sz w:val="24"/>
          <w:szCs w:val="24"/>
        </w:rPr>
        <w:t>I</w:t>
      </w:r>
      <w:r w:rsidRPr="00541A33">
        <w:rPr>
          <w:rFonts w:ascii="Arial" w:hAnsi="Arial" w:cs="Arial"/>
          <w:sz w:val="24"/>
          <w:szCs w:val="24"/>
        </w:rPr>
        <w:t xml:space="preserve">n particolare riteniamo molto interessante l’istituzione del Garante </w:t>
      </w:r>
      <w:r w:rsidR="001812AA">
        <w:rPr>
          <w:rFonts w:ascii="Arial" w:hAnsi="Arial" w:cs="Arial"/>
          <w:sz w:val="24"/>
          <w:szCs w:val="24"/>
        </w:rPr>
        <w:t>n</w:t>
      </w:r>
      <w:r w:rsidRPr="00541A33">
        <w:rPr>
          <w:rFonts w:ascii="Arial" w:hAnsi="Arial" w:cs="Arial"/>
          <w:sz w:val="24"/>
          <w:szCs w:val="24"/>
        </w:rPr>
        <w:t xml:space="preserve">azionale del contribuente, che sia dotato di autonomia organizzativa ed economica, per </w:t>
      </w:r>
      <w:r w:rsidRPr="00541A33">
        <w:rPr>
          <w:rFonts w:ascii="Arial" w:hAnsi="Arial" w:cs="Arial"/>
          <w:b/>
          <w:bCs/>
          <w:sz w:val="24"/>
          <w:szCs w:val="24"/>
        </w:rPr>
        <w:t>rendere più incisiva la figura di garanzia prevista dallo Statuto dei diritti del contribuente</w:t>
      </w:r>
      <w:r w:rsidRPr="00541A33">
        <w:rPr>
          <w:rFonts w:ascii="Arial" w:hAnsi="Arial" w:cs="Arial"/>
          <w:sz w:val="24"/>
          <w:szCs w:val="24"/>
        </w:rPr>
        <w:t xml:space="preserve">”. “Di altrettanta importanza </w:t>
      </w:r>
      <w:r w:rsidR="0098798E">
        <w:rPr>
          <w:rFonts w:ascii="Arial" w:hAnsi="Arial" w:cs="Arial"/>
          <w:sz w:val="24"/>
          <w:szCs w:val="24"/>
        </w:rPr>
        <w:t xml:space="preserve">– prosegue </w:t>
      </w:r>
      <w:r w:rsidR="00025C44">
        <w:rPr>
          <w:rFonts w:ascii="Arial" w:hAnsi="Arial" w:cs="Arial"/>
          <w:sz w:val="24"/>
          <w:szCs w:val="24"/>
        </w:rPr>
        <w:t>–</w:t>
      </w:r>
      <w:r w:rsidR="0098798E">
        <w:rPr>
          <w:rFonts w:ascii="Arial" w:hAnsi="Arial" w:cs="Arial"/>
          <w:sz w:val="24"/>
          <w:szCs w:val="24"/>
        </w:rPr>
        <w:t xml:space="preserve"> </w:t>
      </w:r>
      <w:r w:rsidRPr="00541A33">
        <w:rPr>
          <w:rFonts w:ascii="Arial" w:hAnsi="Arial" w:cs="Arial"/>
          <w:sz w:val="24"/>
          <w:szCs w:val="24"/>
        </w:rPr>
        <w:t xml:space="preserve">riteniamo la proposta, che già inserimmo nel nostro programma di mandato e proponemmo alle forze politiche nella fase preelettorale a settembre 2022, dell’ampliamento dell’attuale regime forfettario anche in caso di partecipazione a società di persone, associazioni professionali e imprese familiari. Riteniamo, infatti, che l’attuale formulazione normativa rappresenti un </w:t>
      </w:r>
      <w:r w:rsidRPr="00541A33">
        <w:rPr>
          <w:rFonts w:ascii="Arial" w:hAnsi="Arial" w:cs="Arial"/>
          <w:b/>
          <w:bCs/>
          <w:sz w:val="24"/>
          <w:szCs w:val="24"/>
        </w:rPr>
        <w:t>incentivo alla disaggregazione che, con opportuni accorgimenti tecnici, possa essere superato</w:t>
      </w:r>
      <w:r w:rsidRPr="00541A33">
        <w:rPr>
          <w:rFonts w:ascii="Arial" w:hAnsi="Arial" w:cs="Arial"/>
          <w:sz w:val="24"/>
          <w:szCs w:val="24"/>
        </w:rPr>
        <w:t>”.</w:t>
      </w:r>
    </w:p>
    <w:p w14:paraId="4F7CC4DB" w14:textId="77777777" w:rsidR="001812AA" w:rsidRDefault="001812AA" w:rsidP="00A11762">
      <w:pPr>
        <w:jc w:val="both"/>
        <w:rPr>
          <w:rFonts w:ascii="Arial" w:hAnsi="Arial" w:cs="Arial"/>
          <w:sz w:val="24"/>
          <w:szCs w:val="24"/>
        </w:rPr>
      </w:pPr>
    </w:p>
    <w:p w14:paraId="4BD592C0" w14:textId="01DB2E41" w:rsidR="007A7379" w:rsidRPr="00541A33" w:rsidRDefault="00541A33" w:rsidP="00A11762">
      <w:pPr>
        <w:jc w:val="both"/>
        <w:rPr>
          <w:rFonts w:ascii="Arial" w:hAnsi="Arial" w:cs="Arial"/>
          <w:sz w:val="24"/>
          <w:szCs w:val="24"/>
        </w:rPr>
      </w:pPr>
      <w:r w:rsidRPr="00541A33">
        <w:rPr>
          <w:rFonts w:ascii="Arial" w:hAnsi="Arial" w:cs="Arial"/>
          <w:sz w:val="24"/>
          <w:szCs w:val="24"/>
        </w:rPr>
        <w:t xml:space="preserve">“Anche una maggiore certezza delle regole per </w:t>
      </w:r>
      <w:r w:rsidRPr="00541A33">
        <w:rPr>
          <w:rFonts w:ascii="Arial" w:hAnsi="Arial" w:cs="Arial"/>
          <w:b/>
          <w:bCs/>
          <w:sz w:val="24"/>
          <w:szCs w:val="24"/>
        </w:rPr>
        <w:t>rendere effettiva e neutralità la detraibilità dell’IVA</w:t>
      </w:r>
      <w:r w:rsidRPr="00541A33">
        <w:rPr>
          <w:rFonts w:ascii="Arial" w:hAnsi="Arial" w:cs="Arial"/>
          <w:sz w:val="24"/>
          <w:szCs w:val="24"/>
        </w:rPr>
        <w:t xml:space="preserve"> è una proposta di cui si avverte particolare necessità nell’ordinamento</w:t>
      </w:r>
      <w:r w:rsidR="001812AA">
        <w:rPr>
          <w:rFonts w:ascii="Arial" w:hAnsi="Arial" w:cs="Arial"/>
          <w:sz w:val="24"/>
          <w:szCs w:val="24"/>
        </w:rPr>
        <w:t xml:space="preserve"> – </w:t>
      </w:r>
      <w:r w:rsidRPr="00541A33">
        <w:rPr>
          <w:rFonts w:ascii="Arial" w:hAnsi="Arial" w:cs="Arial"/>
          <w:sz w:val="24"/>
          <w:szCs w:val="24"/>
        </w:rPr>
        <w:t xml:space="preserve">conclude Regalbuto </w:t>
      </w:r>
      <w:r w:rsidR="001812AA">
        <w:rPr>
          <w:rFonts w:ascii="Arial" w:hAnsi="Arial" w:cs="Arial"/>
          <w:sz w:val="24"/>
          <w:szCs w:val="24"/>
        </w:rPr>
        <w:t xml:space="preserve">– </w:t>
      </w:r>
      <w:r w:rsidRPr="00541A33">
        <w:rPr>
          <w:rFonts w:ascii="Arial" w:hAnsi="Arial" w:cs="Arial"/>
          <w:sz w:val="24"/>
          <w:szCs w:val="24"/>
        </w:rPr>
        <w:t>così come appaiono ampiamente condivisibili la determinazione opzionale per cassa del reddito prodotto dalle STP, il potenziamento degli effetti premiali dell’adempimento collaborativo e la possibilità di mantenere le udienze in presenza in caso di controversie anche innanzi al giudice monocratico al fine garantire a pieno un adeguato contradditorio anche in sede giurisdizionale”</w:t>
      </w:r>
      <w:r w:rsidR="00025C44">
        <w:rPr>
          <w:rFonts w:ascii="Arial" w:hAnsi="Arial" w:cs="Arial"/>
          <w:sz w:val="24"/>
          <w:szCs w:val="24"/>
        </w:rPr>
        <w:t>.</w:t>
      </w:r>
    </w:p>
    <w:sectPr w:rsidR="007A7379" w:rsidRPr="00541A33">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E6A52" w14:textId="77777777" w:rsidR="00FC11AF" w:rsidRDefault="00FC11AF" w:rsidP="0078332C">
      <w:r>
        <w:separator/>
      </w:r>
    </w:p>
  </w:endnote>
  <w:endnote w:type="continuationSeparator" w:id="0">
    <w:p w14:paraId="077EBEC8" w14:textId="77777777" w:rsidR="00FC11AF" w:rsidRDefault="00FC11AF"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C2053" w14:textId="77777777" w:rsidR="00FC11AF" w:rsidRDefault="00FC11AF" w:rsidP="0078332C">
      <w:r>
        <w:separator/>
      </w:r>
    </w:p>
  </w:footnote>
  <w:footnote w:type="continuationSeparator" w:id="0">
    <w:p w14:paraId="7589BA9E" w14:textId="77777777" w:rsidR="00FC11AF" w:rsidRDefault="00FC11AF"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49D" w14:textId="298E1543" w:rsidR="0078332C" w:rsidRPr="005816F1" w:rsidRDefault="00C66852" w:rsidP="00C66852">
    <w:pPr>
      <w:pStyle w:val="Intestazione"/>
      <w:tabs>
        <w:tab w:val="clear" w:pos="4819"/>
        <w:tab w:val="clear" w:pos="9638"/>
        <w:tab w:val="left" w:pos="1605"/>
        <w:tab w:val="left" w:pos="2745"/>
      </w:tabs>
      <w:jc w:val="center"/>
      <w:rPr>
        <w:sz w:val="24"/>
        <w:szCs w:val="24"/>
      </w:rPr>
    </w:pPr>
    <w:r>
      <w:rPr>
        <w:noProof/>
      </w:rPr>
      <w:drawing>
        <wp:inline distT="0" distB="0" distL="0" distR="0" wp14:anchorId="4AD27CA3" wp14:editId="259CC490">
          <wp:extent cx="2494036" cy="847159"/>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8764" cy="858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C15779"/>
    <w:multiLevelType w:val="hybridMultilevel"/>
    <w:tmpl w:val="2CDC83C4"/>
    <w:lvl w:ilvl="0" w:tplc="5002C99E">
      <w:numFmt w:val="bullet"/>
      <w:lvlText w:val="-"/>
      <w:lvlJc w:val="left"/>
      <w:pPr>
        <w:ind w:left="420" w:hanging="360"/>
      </w:pPr>
      <w:rPr>
        <w:rFonts w:ascii="Arial" w:eastAsiaTheme="minorHAnsi"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6"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7"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8"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CFA613C"/>
    <w:multiLevelType w:val="multilevel"/>
    <w:tmpl w:val="0A76B834"/>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5"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6"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16cid:durableId="375668910">
    <w:abstractNumId w:val="10"/>
  </w:num>
  <w:num w:numId="2" w16cid:durableId="1916737682">
    <w:abstractNumId w:val="6"/>
  </w:num>
  <w:num w:numId="3" w16cid:durableId="1871064873">
    <w:abstractNumId w:val="12"/>
  </w:num>
  <w:num w:numId="4" w16cid:durableId="1098716775">
    <w:abstractNumId w:val="7"/>
  </w:num>
  <w:num w:numId="5" w16cid:durableId="43261862">
    <w:abstractNumId w:val="16"/>
  </w:num>
  <w:num w:numId="6" w16cid:durableId="1198157342">
    <w:abstractNumId w:val="4"/>
  </w:num>
  <w:num w:numId="7" w16cid:durableId="876697406">
    <w:abstractNumId w:val="0"/>
  </w:num>
  <w:num w:numId="8" w16cid:durableId="865141477">
    <w:abstractNumId w:val="14"/>
  </w:num>
  <w:num w:numId="9" w16cid:durableId="1001546098">
    <w:abstractNumId w:val="8"/>
  </w:num>
  <w:num w:numId="10" w16cid:durableId="1879321125">
    <w:abstractNumId w:val="8"/>
  </w:num>
  <w:num w:numId="11" w16cid:durableId="48921069">
    <w:abstractNumId w:val="9"/>
  </w:num>
  <w:num w:numId="12" w16cid:durableId="799566892">
    <w:abstractNumId w:val="2"/>
  </w:num>
  <w:num w:numId="13" w16cid:durableId="1656913075">
    <w:abstractNumId w:val="15"/>
  </w:num>
  <w:num w:numId="14" w16cid:durableId="581449388">
    <w:abstractNumId w:val="3"/>
  </w:num>
  <w:num w:numId="15" w16cid:durableId="1659111610">
    <w:abstractNumId w:val="9"/>
    <w:lvlOverride w:ilvl="0">
      <w:startOverride w:val="1"/>
    </w:lvlOverride>
  </w:num>
  <w:num w:numId="16" w16cid:durableId="1879202849">
    <w:abstractNumId w:val="3"/>
    <w:lvlOverride w:ilvl="0">
      <w:startOverride w:val="1"/>
    </w:lvlOverride>
  </w:num>
  <w:num w:numId="17" w16cid:durableId="1951089761">
    <w:abstractNumId w:val="1"/>
  </w:num>
  <w:num w:numId="18" w16cid:durableId="18756563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14740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0152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990573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3250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0923424">
    <w:abstractNumId w:val="9"/>
    <w:lvlOverride w:ilvl="0">
      <w:startOverride w:val="1"/>
    </w:lvlOverride>
    <w:lvlOverride w:ilvl="1"/>
    <w:lvlOverride w:ilvl="2"/>
    <w:lvlOverride w:ilvl="3"/>
    <w:lvlOverride w:ilvl="4"/>
    <w:lvlOverride w:ilvl="5"/>
    <w:lvlOverride w:ilvl="6"/>
    <w:lvlOverride w:ilvl="7"/>
    <w:lvlOverride w:ilvl="8"/>
  </w:num>
  <w:num w:numId="24" w16cid:durableId="1686057885">
    <w:abstractNumId w:val="13"/>
  </w:num>
  <w:num w:numId="25" w16cid:durableId="1422482387">
    <w:abstractNumId w:val="11"/>
  </w:num>
  <w:num w:numId="26" w16cid:durableId="416906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4BCE"/>
    <w:rsid w:val="000056EC"/>
    <w:rsid w:val="00022A7F"/>
    <w:rsid w:val="00024A50"/>
    <w:rsid w:val="00025C44"/>
    <w:rsid w:val="00031015"/>
    <w:rsid w:val="00032856"/>
    <w:rsid w:val="000329A4"/>
    <w:rsid w:val="00032BD6"/>
    <w:rsid w:val="00032DE7"/>
    <w:rsid w:val="00037091"/>
    <w:rsid w:val="00037896"/>
    <w:rsid w:val="00040CAD"/>
    <w:rsid w:val="0004434F"/>
    <w:rsid w:val="00053052"/>
    <w:rsid w:val="000539AC"/>
    <w:rsid w:val="0005504B"/>
    <w:rsid w:val="0006018A"/>
    <w:rsid w:val="0007464D"/>
    <w:rsid w:val="000806B0"/>
    <w:rsid w:val="00082FFB"/>
    <w:rsid w:val="00085FC5"/>
    <w:rsid w:val="00086BFA"/>
    <w:rsid w:val="00090CE4"/>
    <w:rsid w:val="0009108B"/>
    <w:rsid w:val="00093834"/>
    <w:rsid w:val="000971A3"/>
    <w:rsid w:val="000A2F6B"/>
    <w:rsid w:val="000B3EFF"/>
    <w:rsid w:val="000C0552"/>
    <w:rsid w:val="000C19B1"/>
    <w:rsid w:val="000C4B9F"/>
    <w:rsid w:val="000D01B1"/>
    <w:rsid w:val="000D7385"/>
    <w:rsid w:val="000D7847"/>
    <w:rsid w:val="000E1AE4"/>
    <w:rsid w:val="000E22EF"/>
    <w:rsid w:val="000E2C59"/>
    <w:rsid w:val="000E4AF7"/>
    <w:rsid w:val="000E5756"/>
    <w:rsid w:val="000F003C"/>
    <w:rsid w:val="000F3853"/>
    <w:rsid w:val="00103B90"/>
    <w:rsid w:val="00105755"/>
    <w:rsid w:val="001155C4"/>
    <w:rsid w:val="00117671"/>
    <w:rsid w:val="00121A2C"/>
    <w:rsid w:val="00121C2D"/>
    <w:rsid w:val="00123B69"/>
    <w:rsid w:val="00142E95"/>
    <w:rsid w:val="0014785D"/>
    <w:rsid w:val="001617C7"/>
    <w:rsid w:val="00173E3A"/>
    <w:rsid w:val="00174310"/>
    <w:rsid w:val="00177A7F"/>
    <w:rsid w:val="001812AA"/>
    <w:rsid w:val="00183DF0"/>
    <w:rsid w:val="00184600"/>
    <w:rsid w:val="00186787"/>
    <w:rsid w:val="00191BB6"/>
    <w:rsid w:val="00194C03"/>
    <w:rsid w:val="001A0166"/>
    <w:rsid w:val="001B4337"/>
    <w:rsid w:val="001B67D7"/>
    <w:rsid w:val="001C67E1"/>
    <w:rsid w:val="001C6BDD"/>
    <w:rsid w:val="001C7913"/>
    <w:rsid w:val="001C7A99"/>
    <w:rsid w:val="001C7E5F"/>
    <w:rsid w:val="001D456F"/>
    <w:rsid w:val="001E690E"/>
    <w:rsid w:val="001E6BFD"/>
    <w:rsid w:val="001E7260"/>
    <w:rsid w:val="001F19BC"/>
    <w:rsid w:val="001F2D0B"/>
    <w:rsid w:val="00202900"/>
    <w:rsid w:val="002062BE"/>
    <w:rsid w:val="00213B55"/>
    <w:rsid w:val="00215734"/>
    <w:rsid w:val="0021644F"/>
    <w:rsid w:val="00216654"/>
    <w:rsid w:val="002204CC"/>
    <w:rsid w:val="00221234"/>
    <w:rsid w:val="0022138F"/>
    <w:rsid w:val="0022378E"/>
    <w:rsid w:val="00224F32"/>
    <w:rsid w:val="0022580D"/>
    <w:rsid w:val="0024011F"/>
    <w:rsid w:val="002438B0"/>
    <w:rsid w:val="00243BD7"/>
    <w:rsid w:val="002454F3"/>
    <w:rsid w:val="00253A52"/>
    <w:rsid w:val="00267A59"/>
    <w:rsid w:val="00272605"/>
    <w:rsid w:val="002777E7"/>
    <w:rsid w:val="00280321"/>
    <w:rsid w:val="00281202"/>
    <w:rsid w:val="0028246D"/>
    <w:rsid w:val="00286C68"/>
    <w:rsid w:val="002933D0"/>
    <w:rsid w:val="00294D14"/>
    <w:rsid w:val="002973C7"/>
    <w:rsid w:val="00297CA4"/>
    <w:rsid w:val="002A1399"/>
    <w:rsid w:val="002A3814"/>
    <w:rsid w:val="002A59A1"/>
    <w:rsid w:val="002A70B5"/>
    <w:rsid w:val="002A76BF"/>
    <w:rsid w:val="002A7C92"/>
    <w:rsid w:val="002A7FD0"/>
    <w:rsid w:val="002B0732"/>
    <w:rsid w:val="002B4C29"/>
    <w:rsid w:val="002B74D5"/>
    <w:rsid w:val="002C02C6"/>
    <w:rsid w:val="002C27DE"/>
    <w:rsid w:val="002C7311"/>
    <w:rsid w:val="002D2034"/>
    <w:rsid w:val="002E00E7"/>
    <w:rsid w:val="002E0E5F"/>
    <w:rsid w:val="002F0668"/>
    <w:rsid w:val="002F2C7A"/>
    <w:rsid w:val="002F3E9E"/>
    <w:rsid w:val="002F4704"/>
    <w:rsid w:val="002F4F8D"/>
    <w:rsid w:val="002F6036"/>
    <w:rsid w:val="00303A76"/>
    <w:rsid w:val="0030574C"/>
    <w:rsid w:val="0030755E"/>
    <w:rsid w:val="00312A48"/>
    <w:rsid w:val="00313354"/>
    <w:rsid w:val="00313737"/>
    <w:rsid w:val="0031710A"/>
    <w:rsid w:val="00320A8F"/>
    <w:rsid w:val="0032141D"/>
    <w:rsid w:val="003219BE"/>
    <w:rsid w:val="00321FE4"/>
    <w:rsid w:val="0033082E"/>
    <w:rsid w:val="00332874"/>
    <w:rsid w:val="00333505"/>
    <w:rsid w:val="00333957"/>
    <w:rsid w:val="003479A2"/>
    <w:rsid w:val="00353EE3"/>
    <w:rsid w:val="0036445C"/>
    <w:rsid w:val="00365C91"/>
    <w:rsid w:val="00366188"/>
    <w:rsid w:val="003808D1"/>
    <w:rsid w:val="00383902"/>
    <w:rsid w:val="00384C9E"/>
    <w:rsid w:val="00392245"/>
    <w:rsid w:val="00397281"/>
    <w:rsid w:val="003A03BB"/>
    <w:rsid w:val="003A0939"/>
    <w:rsid w:val="003A3D9E"/>
    <w:rsid w:val="003A4565"/>
    <w:rsid w:val="003B000F"/>
    <w:rsid w:val="003B24D0"/>
    <w:rsid w:val="003B7329"/>
    <w:rsid w:val="003C1AD8"/>
    <w:rsid w:val="003C2FF2"/>
    <w:rsid w:val="003C53E7"/>
    <w:rsid w:val="003D1DEE"/>
    <w:rsid w:val="003D3F60"/>
    <w:rsid w:val="003D59CF"/>
    <w:rsid w:val="003E0F52"/>
    <w:rsid w:val="003E1A7E"/>
    <w:rsid w:val="003E753F"/>
    <w:rsid w:val="003E78D0"/>
    <w:rsid w:val="003F7A1D"/>
    <w:rsid w:val="00400CE9"/>
    <w:rsid w:val="00414E0C"/>
    <w:rsid w:val="00422B71"/>
    <w:rsid w:val="0042489D"/>
    <w:rsid w:val="004251EF"/>
    <w:rsid w:val="00434025"/>
    <w:rsid w:val="00443042"/>
    <w:rsid w:val="00445350"/>
    <w:rsid w:val="0046629D"/>
    <w:rsid w:val="0047270A"/>
    <w:rsid w:val="00472F6D"/>
    <w:rsid w:val="00476C15"/>
    <w:rsid w:val="00485F00"/>
    <w:rsid w:val="004875FA"/>
    <w:rsid w:val="00493DC9"/>
    <w:rsid w:val="00494B2B"/>
    <w:rsid w:val="00496213"/>
    <w:rsid w:val="004964DA"/>
    <w:rsid w:val="004A29D0"/>
    <w:rsid w:val="004A44B8"/>
    <w:rsid w:val="004A6888"/>
    <w:rsid w:val="004B2695"/>
    <w:rsid w:val="004E435B"/>
    <w:rsid w:val="004E692D"/>
    <w:rsid w:val="004F1170"/>
    <w:rsid w:val="004F4736"/>
    <w:rsid w:val="004F56A8"/>
    <w:rsid w:val="004F7362"/>
    <w:rsid w:val="00500E13"/>
    <w:rsid w:val="00505AE2"/>
    <w:rsid w:val="00511C1B"/>
    <w:rsid w:val="005122BE"/>
    <w:rsid w:val="00513477"/>
    <w:rsid w:val="00513967"/>
    <w:rsid w:val="00516C97"/>
    <w:rsid w:val="00520E1B"/>
    <w:rsid w:val="00522FFA"/>
    <w:rsid w:val="005306FA"/>
    <w:rsid w:val="00531523"/>
    <w:rsid w:val="00531D32"/>
    <w:rsid w:val="00534AD7"/>
    <w:rsid w:val="00536016"/>
    <w:rsid w:val="005403EC"/>
    <w:rsid w:val="00541A33"/>
    <w:rsid w:val="00542311"/>
    <w:rsid w:val="00542F01"/>
    <w:rsid w:val="00543860"/>
    <w:rsid w:val="00544970"/>
    <w:rsid w:val="00555885"/>
    <w:rsid w:val="005625A8"/>
    <w:rsid w:val="005636DE"/>
    <w:rsid w:val="00564A2D"/>
    <w:rsid w:val="005673AC"/>
    <w:rsid w:val="0057755A"/>
    <w:rsid w:val="005779CB"/>
    <w:rsid w:val="0058002D"/>
    <w:rsid w:val="00580C25"/>
    <w:rsid w:val="005816F1"/>
    <w:rsid w:val="00582D74"/>
    <w:rsid w:val="00583CB0"/>
    <w:rsid w:val="00585518"/>
    <w:rsid w:val="00590F83"/>
    <w:rsid w:val="0059237D"/>
    <w:rsid w:val="005959E4"/>
    <w:rsid w:val="005A3A3F"/>
    <w:rsid w:val="005B45B5"/>
    <w:rsid w:val="005C1E5D"/>
    <w:rsid w:val="005C2B99"/>
    <w:rsid w:val="005D1AAA"/>
    <w:rsid w:val="005D1B57"/>
    <w:rsid w:val="005D2CEA"/>
    <w:rsid w:val="005D2D5F"/>
    <w:rsid w:val="005D33AA"/>
    <w:rsid w:val="005D35A5"/>
    <w:rsid w:val="005D3873"/>
    <w:rsid w:val="005D3F93"/>
    <w:rsid w:val="005D455A"/>
    <w:rsid w:val="005D6006"/>
    <w:rsid w:val="005D610E"/>
    <w:rsid w:val="005E246F"/>
    <w:rsid w:val="005E42F5"/>
    <w:rsid w:val="005E4810"/>
    <w:rsid w:val="005E4D40"/>
    <w:rsid w:val="005F2F00"/>
    <w:rsid w:val="005F454F"/>
    <w:rsid w:val="005F5B57"/>
    <w:rsid w:val="005F684F"/>
    <w:rsid w:val="00616BA6"/>
    <w:rsid w:val="00616CB9"/>
    <w:rsid w:val="00616CEE"/>
    <w:rsid w:val="006273CC"/>
    <w:rsid w:val="00631E07"/>
    <w:rsid w:val="00637B93"/>
    <w:rsid w:val="00640434"/>
    <w:rsid w:val="00641C3C"/>
    <w:rsid w:val="00645575"/>
    <w:rsid w:val="00651FFD"/>
    <w:rsid w:val="00656C55"/>
    <w:rsid w:val="0066338C"/>
    <w:rsid w:val="00667B8F"/>
    <w:rsid w:val="00677A10"/>
    <w:rsid w:val="00684F9D"/>
    <w:rsid w:val="00691FBF"/>
    <w:rsid w:val="006A0B5D"/>
    <w:rsid w:val="006A0D3B"/>
    <w:rsid w:val="006A4451"/>
    <w:rsid w:val="006B322C"/>
    <w:rsid w:val="006C3945"/>
    <w:rsid w:val="006C3D47"/>
    <w:rsid w:val="006C6818"/>
    <w:rsid w:val="006C6D0E"/>
    <w:rsid w:val="006C7063"/>
    <w:rsid w:val="006E43CD"/>
    <w:rsid w:val="006F4DC7"/>
    <w:rsid w:val="00711988"/>
    <w:rsid w:val="00713479"/>
    <w:rsid w:val="00715BA2"/>
    <w:rsid w:val="00717DC7"/>
    <w:rsid w:val="00726188"/>
    <w:rsid w:val="007262E1"/>
    <w:rsid w:val="00736E95"/>
    <w:rsid w:val="007413CC"/>
    <w:rsid w:val="007415B1"/>
    <w:rsid w:val="007423B1"/>
    <w:rsid w:val="00742F7F"/>
    <w:rsid w:val="007513BE"/>
    <w:rsid w:val="00752448"/>
    <w:rsid w:val="007551B7"/>
    <w:rsid w:val="0075696B"/>
    <w:rsid w:val="00764D9D"/>
    <w:rsid w:val="00777458"/>
    <w:rsid w:val="007816BA"/>
    <w:rsid w:val="00782159"/>
    <w:rsid w:val="0078332C"/>
    <w:rsid w:val="007835B6"/>
    <w:rsid w:val="0079297E"/>
    <w:rsid w:val="007950EA"/>
    <w:rsid w:val="007A7379"/>
    <w:rsid w:val="007B0E6A"/>
    <w:rsid w:val="007B1E56"/>
    <w:rsid w:val="007C0C2D"/>
    <w:rsid w:val="007C14B1"/>
    <w:rsid w:val="007C3A93"/>
    <w:rsid w:val="007C5CCD"/>
    <w:rsid w:val="007D296F"/>
    <w:rsid w:val="007D4196"/>
    <w:rsid w:val="007E44E2"/>
    <w:rsid w:val="007F5FE2"/>
    <w:rsid w:val="0080283B"/>
    <w:rsid w:val="00803939"/>
    <w:rsid w:val="00803C14"/>
    <w:rsid w:val="0080797B"/>
    <w:rsid w:val="0081381B"/>
    <w:rsid w:val="00813FF6"/>
    <w:rsid w:val="00817E20"/>
    <w:rsid w:val="00831294"/>
    <w:rsid w:val="00832BE3"/>
    <w:rsid w:val="00841053"/>
    <w:rsid w:val="00851572"/>
    <w:rsid w:val="00855840"/>
    <w:rsid w:val="008600AC"/>
    <w:rsid w:val="008603A5"/>
    <w:rsid w:val="00863104"/>
    <w:rsid w:val="00866A5A"/>
    <w:rsid w:val="00873EA2"/>
    <w:rsid w:val="0087487D"/>
    <w:rsid w:val="00877803"/>
    <w:rsid w:val="00882DBD"/>
    <w:rsid w:val="00886628"/>
    <w:rsid w:val="00892238"/>
    <w:rsid w:val="00892C1F"/>
    <w:rsid w:val="00893AB6"/>
    <w:rsid w:val="008940B2"/>
    <w:rsid w:val="00897D6B"/>
    <w:rsid w:val="008B3BB7"/>
    <w:rsid w:val="008C0C0D"/>
    <w:rsid w:val="008C5ED3"/>
    <w:rsid w:val="008C7690"/>
    <w:rsid w:val="008D0674"/>
    <w:rsid w:val="008D5C4B"/>
    <w:rsid w:val="008E141E"/>
    <w:rsid w:val="00900B88"/>
    <w:rsid w:val="0090438E"/>
    <w:rsid w:val="00906D46"/>
    <w:rsid w:val="00907687"/>
    <w:rsid w:val="00920E08"/>
    <w:rsid w:val="0093430A"/>
    <w:rsid w:val="00934F3D"/>
    <w:rsid w:val="00935333"/>
    <w:rsid w:val="009400B3"/>
    <w:rsid w:val="009477ED"/>
    <w:rsid w:val="009618F5"/>
    <w:rsid w:val="0096544D"/>
    <w:rsid w:val="0097646E"/>
    <w:rsid w:val="00980E02"/>
    <w:rsid w:val="009813D9"/>
    <w:rsid w:val="00986756"/>
    <w:rsid w:val="0098798E"/>
    <w:rsid w:val="00987ED2"/>
    <w:rsid w:val="00993E86"/>
    <w:rsid w:val="009965B6"/>
    <w:rsid w:val="009A1934"/>
    <w:rsid w:val="009A33C1"/>
    <w:rsid w:val="009A3EB5"/>
    <w:rsid w:val="009C468C"/>
    <w:rsid w:val="009D0B50"/>
    <w:rsid w:val="009D1F36"/>
    <w:rsid w:val="009D5B30"/>
    <w:rsid w:val="009E093B"/>
    <w:rsid w:val="009E0C7E"/>
    <w:rsid w:val="009E4B9A"/>
    <w:rsid w:val="009F0C91"/>
    <w:rsid w:val="009F4399"/>
    <w:rsid w:val="00A057F7"/>
    <w:rsid w:val="00A06F8E"/>
    <w:rsid w:val="00A07FB9"/>
    <w:rsid w:val="00A1077C"/>
    <w:rsid w:val="00A11762"/>
    <w:rsid w:val="00A122FC"/>
    <w:rsid w:val="00A12594"/>
    <w:rsid w:val="00A22498"/>
    <w:rsid w:val="00A250F1"/>
    <w:rsid w:val="00A27E42"/>
    <w:rsid w:val="00A32F29"/>
    <w:rsid w:val="00A34135"/>
    <w:rsid w:val="00A41F47"/>
    <w:rsid w:val="00A428F4"/>
    <w:rsid w:val="00A43F56"/>
    <w:rsid w:val="00A46131"/>
    <w:rsid w:val="00A47BEF"/>
    <w:rsid w:val="00A52294"/>
    <w:rsid w:val="00A6097D"/>
    <w:rsid w:val="00A614F2"/>
    <w:rsid w:val="00A641E3"/>
    <w:rsid w:val="00A6546B"/>
    <w:rsid w:val="00A67293"/>
    <w:rsid w:val="00A67A90"/>
    <w:rsid w:val="00A77B1B"/>
    <w:rsid w:val="00A81EED"/>
    <w:rsid w:val="00A8203D"/>
    <w:rsid w:val="00A837E6"/>
    <w:rsid w:val="00A93F12"/>
    <w:rsid w:val="00A945B6"/>
    <w:rsid w:val="00A95EE2"/>
    <w:rsid w:val="00A978C3"/>
    <w:rsid w:val="00AA004A"/>
    <w:rsid w:val="00AA33E3"/>
    <w:rsid w:val="00AA59C8"/>
    <w:rsid w:val="00AA66A8"/>
    <w:rsid w:val="00AA7145"/>
    <w:rsid w:val="00AA7477"/>
    <w:rsid w:val="00AB02A8"/>
    <w:rsid w:val="00AB092F"/>
    <w:rsid w:val="00AB3679"/>
    <w:rsid w:val="00AB4CC5"/>
    <w:rsid w:val="00AC131C"/>
    <w:rsid w:val="00AC1CEB"/>
    <w:rsid w:val="00AC2BD9"/>
    <w:rsid w:val="00AD5F80"/>
    <w:rsid w:val="00AE3DBA"/>
    <w:rsid w:val="00AE61AD"/>
    <w:rsid w:val="00AF0885"/>
    <w:rsid w:val="00AF747D"/>
    <w:rsid w:val="00B01322"/>
    <w:rsid w:val="00B14747"/>
    <w:rsid w:val="00B15621"/>
    <w:rsid w:val="00B34200"/>
    <w:rsid w:val="00B42691"/>
    <w:rsid w:val="00B51B4A"/>
    <w:rsid w:val="00B53783"/>
    <w:rsid w:val="00B55558"/>
    <w:rsid w:val="00B61CE7"/>
    <w:rsid w:val="00B62562"/>
    <w:rsid w:val="00B738BB"/>
    <w:rsid w:val="00B74510"/>
    <w:rsid w:val="00B7473D"/>
    <w:rsid w:val="00B8310D"/>
    <w:rsid w:val="00B84EF5"/>
    <w:rsid w:val="00B90683"/>
    <w:rsid w:val="00B90CEE"/>
    <w:rsid w:val="00B926C3"/>
    <w:rsid w:val="00BA04F4"/>
    <w:rsid w:val="00BA499D"/>
    <w:rsid w:val="00BA5D2E"/>
    <w:rsid w:val="00BA656E"/>
    <w:rsid w:val="00BB02DF"/>
    <w:rsid w:val="00BB2E5B"/>
    <w:rsid w:val="00BB41B0"/>
    <w:rsid w:val="00BB7DCC"/>
    <w:rsid w:val="00BB7EE6"/>
    <w:rsid w:val="00BC3B89"/>
    <w:rsid w:val="00BC5E35"/>
    <w:rsid w:val="00BC6A04"/>
    <w:rsid w:val="00BD0164"/>
    <w:rsid w:val="00BD0510"/>
    <w:rsid w:val="00BD1BC0"/>
    <w:rsid w:val="00BD2206"/>
    <w:rsid w:val="00BD6259"/>
    <w:rsid w:val="00BF096F"/>
    <w:rsid w:val="00BF37E8"/>
    <w:rsid w:val="00BF3A80"/>
    <w:rsid w:val="00BF67C5"/>
    <w:rsid w:val="00C01E28"/>
    <w:rsid w:val="00C26685"/>
    <w:rsid w:val="00C27F27"/>
    <w:rsid w:val="00C302BD"/>
    <w:rsid w:val="00C30E85"/>
    <w:rsid w:val="00C33494"/>
    <w:rsid w:val="00C342D6"/>
    <w:rsid w:val="00C418FB"/>
    <w:rsid w:val="00C43099"/>
    <w:rsid w:val="00C51F27"/>
    <w:rsid w:val="00C6198B"/>
    <w:rsid w:val="00C61B6E"/>
    <w:rsid w:val="00C62181"/>
    <w:rsid w:val="00C630E0"/>
    <w:rsid w:val="00C66852"/>
    <w:rsid w:val="00C81BB1"/>
    <w:rsid w:val="00C844EB"/>
    <w:rsid w:val="00C867A7"/>
    <w:rsid w:val="00C924CB"/>
    <w:rsid w:val="00C92F98"/>
    <w:rsid w:val="00C93548"/>
    <w:rsid w:val="00CA4152"/>
    <w:rsid w:val="00CB14A8"/>
    <w:rsid w:val="00CC07C8"/>
    <w:rsid w:val="00CC4763"/>
    <w:rsid w:val="00CD0D0C"/>
    <w:rsid w:val="00CD3262"/>
    <w:rsid w:val="00CE403B"/>
    <w:rsid w:val="00CF22E4"/>
    <w:rsid w:val="00CF6388"/>
    <w:rsid w:val="00CF7BCA"/>
    <w:rsid w:val="00D027DD"/>
    <w:rsid w:val="00D02F53"/>
    <w:rsid w:val="00D041E9"/>
    <w:rsid w:val="00D04269"/>
    <w:rsid w:val="00D04ABF"/>
    <w:rsid w:val="00D078C6"/>
    <w:rsid w:val="00D07944"/>
    <w:rsid w:val="00D10DCB"/>
    <w:rsid w:val="00D12802"/>
    <w:rsid w:val="00D14366"/>
    <w:rsid w:val="00D21FB3"/>
    <w:rsid w:val="00D234CB"/>
    <w:rsid w:val="00D27080"/>
    <w:rsid w:val="00D2761B"/>
    <w:rsid w:val="00D37415"/>
    <w:rsid w:val="00D53F64"/>
    <w:rsid w:val="00D569A1"/>
    <w:rsid w:val="00D5740A"/>
    <w:rsid w:val="00D65875"/>
    <w:rsid w:val="00D707E4"/>
    <w:rsid w:val="00D71D44"/>
    <w:rsid w:val="00D748BF"/>
    <w:rsid w:val="00D75105"/>
    <w:rsid w:val="00D7526D"/>
    <w:rsid w:val="00D92E6B"/>
    <w:rsid w:val="00DA27BF"/>
    <w:rsid w:val="00DA73B5"/>
    <w:rsid w:val="00DA7914"/>
    <w:rsid w:val="00DB6F21"/>
    <w:rsid w:val="00DC2C88"/>
    <w:rsid w:val="00DC2C9E"/>
    <w:rsid w:val="00DD07C2"/>
    <w:rsid w:val="00DD1DF9"/>
    <w:rsid w:val="00DD43CD"/>
    <w:rsid w:val="00DD6F05"/>
    <w:rsid w:val="00DE78C6"/>
    <w:rsid w:val="00DF3164"/>
    <w:rsid w:val="00DF3633"/>
    <w:rsid w:val="00DF6F21"/>
    <w:rsid w:val="00E02D3F"/>
    <w:rsid w:val="00E03601"/>
    <w:rsid w:val="00E0710C"/>
    <w:rsid w:val="00E1355A"/>
    <w:rsid w:val="00E17A3E"/>
    <w:rsid w:val="00E22AF3"/>
    <w:rsid w:val="00E27BC3"/>
    <w:rsid w:val="00E30769"/>
    <w:rsid w:val="00E3236B"/>
    <w:rsid w:val="00E33070"/>
    <w:rsid w:val="00E3336E"/>
    <w:rsid w:val="00E3435A"/>
    <w:rsid w:val="00E42ED7"/>
    <w:rsid w:val="00E45552"/>
    <w:rsid w:val="00E6228E"/>
    <w:rsid w:val="00E6797B"/>
    <w:rsid w:val="00E67E9C"/>
    <w:rsid w:val="00E701F3"/>
    <w:rsid w:val="00E855E0"/>
    <w:rsid w:val="00E9545A"/>
    <w:rsid w:val="00EA25EF"/>
    <w:rsid w:val="00EA5CE8"/>
    <w:rsid w:val="00EB67A4"/>
    <w:rsid w:val="00EB7E70"/>
    <w:rsid w:val="00EC2A7C"/>
    <w:rsid w:val="00ED08A8"/>
    <w:rsid w:val="00ED2970"/>
    <w:rsid w:val="00ED2BA2"/>
    <w:rsid w:val="00EE3C69"/>
    <w:rsid w:val="00EE51A4"/>
    <w:rsid w:val="00EF1D49"/>
    <w:rsid w:val="00EF49EF"/>
    <w:rsid w:val="00EF561D"/>
    <w:rsid w:val="00EF57D4"/>
    <w:rsid w:val="00EF7D25"/>
    <w:rsid w:val="00F00503"/>
    <w:rsid w:val="00F066B1"/>
    <w:rsid w:val="00F079D1"/>
    <w:rsid w:val="00F177D2"/>
    <w:rsid w:val="00F3503B"/>
    <w:rsid w:val="00F45D3A"/>
    <w:rsid w:val="00F53A8A"/>
    <w:rsid w:val="00F547BE"/>
    <w:rsid w:val="00F61CBC"/>
    <w:rsid w:val="00F653F9"/>
    <w:rsid w:val="00F67F0B"/>
    <w:rsid w:val="00F7125B"/>
    <w:rsid w:val="00F8058C"/>
    <w:rsid w:val="00F8394A"/>
    <w:rsid w:val="00F85CD4"/>
    <w:rsid w:val="00FA1AE0"/>
    <w:rsid w:val="00FA5AD9"/>
    <w:rsid w:val="00FB2C0A"/>
    <w:rsid w:val="00FB67E0"/>
    <w:rsid w:val="00FC11AF"/>
    <w:rsid w:val="00FC274B"/>
    <w:rsid w:val="00FC600A"/>
    <w:rsid w:val="00FE009E"/>
    <w:rsid w:val="00FE08C9"/>
    <w:rsid w:val="00FF670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6D760"/>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paragraph" w:styleId="Titolo3">
    <w:name w:val="heading 3"/>
    <w:basedOn w:val="Normale"/>
    <w:next w:val="Normale"/>
    <w:link w:val="Titolo3Carattere"/>
    <w:uiPriority w:val="9"/>
    <w:unhideWhenUsed/>
    <w:qFormat/>
    <w:rsid w:val="004E692D"/>
    <w:pPr>
      <w:keepNext/>
      <w:keepLines/>
      <w:spacing w:before="40" w:line="276" w:lineRule="auto"/>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 w:type="paragraph" w:customStyle="1" w:styleId="xmsonormal">
    <w:name w:val="x_msonormal"/>
    <w:basedOn w:val="Normale"/>
    <w:rsid w:val="009400B3"/>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mark91k5tr8vo">
    <w:name w:val="mark91k5tr8vo"/>
    <w:basedOn w:val="Carpredefinitoparagrafo"/>
    <w:rsid w:val="009400B3"/>
  </w:style>
  <w:style w:type="character" w:styleId="Enfasicorsivo">
    <w:name w:val="Emphasis"/>
    <w:basedOn w:val="Carpredefinitoparagrafo"/>
    <w:uiPriority w:val="20"/>
    <w:qFormat/>
    <w:rsid w:val="006A0B5D"/>
    <w:rPr>
      <w:i/>
      <w:iCs/>
    </w:rPr>
  </w:style>
  <w:style w:type="character" w:styleId="Menzionenonrisolta">
    <w:name w:val="Unresolved Mention"/>
    <w:basedOn w:val="Carpredefinitoparagrafo"/>
    <w:uiPriority w:val="99"/>
    <w:semiHidden/>
    <w:unhideWhenUsed/>
    <w:rsid w:val="00A122FC"/>
    <w:rPr>
      <w:color w:val="605E5C"/>
      <w:shd w:val="clear" w:color="auto" w:fill="E1DFDD"/>
    </w:rPr>
  </w:style>
  <w:style w:type="paragraph" w:customStyle="1" w:styleId="xmsonormal0">
    <w:name w:val="xmsonormal"/>
    <w:basedOn w:val="Normale"/>
    <w:rsid w:val="009A3EB5"/>
    <w:rPr>
      <w:rFonts w:ascii="Calibri" w:hAnsi="Calibri" w:cs="Calibri"/>
      <w:lang w:eastAsia="it-IT"/>
    </w:rPr>
  </w:style>
  <w:style w:type="character" w:customStyle="1" w:styleId="Titolo3Carattere">
    <w:name w:val="Titolo 3 Carattere"/>
    <w:basedOn w:val="Carpredefinitoparagrafo"/>
    <w:link w:val="Titolo3"/>
    <w:uiPriority w:val="9"/>
    <w:rsid w:val="004E692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385764707">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75231961">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08020055">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46294140">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128091623">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60333976">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8993085">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18288514">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37650778">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083409925">
      <w:bodyDiv w:val="1"/>
      <w:marLeft w:val="0"/>
      <w:marRight w:val="0"/>
      <w:marTop w:val="0"/>
      <w:marBottom w:val="0"/>
      <w:divBdr>
        <w:top w:val="none" w:sz="0" w:space="0" w:color="auto"/>
        <w:left w:val="none" w:sz="0" w:space="0" w:color="auto"/>
        <w:bottom w:val="none" w:sz="0" w:space="0" w:color="auto"/>
        <w:right w:val="none" w:sz="0" w:space="0" w:color="auto"/>
      </w:divBdr>
    </w:div>
    <w:div w:id="2101096332">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F3ED-25D2-4441-90E6-A1C8D44A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700</Words>
  <Characters>3996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10</cp:revision>
  <cp:lastPrinted>2023-04-12T15:07:00Z</cp:lastPrinted>
  <dcterms:created xsi:type="dcterms:W3CDTF">2023-05-24T12:44:00Z</dcterms:created>
  <dcterms:modified xsi:type="dcterms:W3CDTF">2023-05-24T13:45:00Z</dcterms:modified>
</cp:coreProperties>
</file>