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40" w:rsidRDefault="00DD3040" w:rsidP="00A229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22943">
        <w:rPr>
          <w:rFonts w:ascii="Arial" w:hAnsi="Arial" w:cs="Arial"/>
          <w:b/>
          <w:bCs/>
          <w:sz w:val="24"/>
          <w:szCs w:val="24"/>
        </w:rPr>
        <w:t>Comunicato stampa</w:t>
      </w:r>
    </w:p>
    <w:p w:rsidR="00A22943" w:rsidRPr="00A22943" w:rsidRDefault="00A22943" w:rsidP="00A2294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15F52" w:rsidRPr="00A22943" w:rsidRDefault="00A15F52" w:rsidP="00A22943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A22943">
        <w:rPr>
          <w:rFonts w:ascii="Arial" w:hAnsi="Arial" w:cs="Arial"/>
          <w:b/>
          <w:bCs/>
        </w:rPr>
        <w:t>DL LIQUIDITA’: COMMERCIALISTI, ACCESSO AL CREDITO COMPLESSO E INCERTO</w:t>
      </w:r>
    </w:p>
    <w:p w:rsidR="00A15F52" w:rsidRPr="00A22943" w:rsidRDefault="00A15F52" w:rsidP="00A22943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</w:rPr>
      </w:pPr>
      <w:r w:rsidRPr="00A22943">
        <w:rPr>
          <w:rFonts w:ascii="Arial" w:hAnsi="Arial" w:cs="Arial"/>
          <w:b/>
          <w:bCs/>
        </w:rPr>
        <w:t xml:space="preserve">La categoria in audizione alla Camera chiede di eliminare i disallineamenti nelle misure sulla liquidità e torna chiedere misure fiscali più coraggiose e uno spostamento di versamenti e adempimenti tributari al 30 settembre </w:t>
      </w:r>
    </w:p>
    <w:p w:rsidR="00A15F52" w:rsidRPr="00A22943" w:rsidRDefault="00A15F52" w:rsidP="00A22943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A15F52" w:rsidRDefault="00A15F52" w:rsidP="00A22943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A22943">
        <w:rPr>
          <w:rFonts w:ascii="Arial" w:hAnsi="Arial" w:cs="Arial"/>
          <w:i/>
          <w:iCs/>
        </w:rPr>
        <w:t>Roma, 24 aprile 2020 –</w:t>
      </w:r>
      <w:r w:rsidRPr="00A22943">
        <w:rPr>
          <w:rFonts w:ascii="Arial" w:hAnsi="Arial" w:cs="Arial"/>
        </w:rPr>
        <w:t xml:space="preserve"> “Le misure di accesso al credito per le imprese presentano </w:t>
      </w:r>
      <w:r w:rsidRPr="00A22943">
        <w:rPr>
          <w:rFonts w:ascii="Arial" w:hAnsi="Arial" w:cs="Arial"/>
          <w:b/>
          <w:bCs/>
        </w:rPr>
        <w:t>disallineamenti</w:t>
      </w:r>
      <w:r w:rsidRPr="00A22943">
        <w:rPr>
          <w:rFonts w:ascii="Arial" w:hAnsi="Arial" w:cs="Arial"/>
        </w:rPr>
        <w:t>,</w:t>
      </w:r>
      <w:r w:rsidRPr="00A22943">
        <w:rPr>
          <w:rFonts w:ascii="Arial" w:hAnsi="Arial" w:cs="Arial"/>
        </w:rPr>
        <w:t xml:space="preserve"> </w:t>
      </w:r>
      <w:r w:rsidRPr="00A22943">
        <w:rPr>
          <w:rFonts w:ascii="Arial" w:hAnsi="Arial" w:cs="Arial"/>
          <w:b/>
          <w:bCs/>
        </w:rPr>
        <w:t>complessit</w:t>
      </w:r>
      <w:r w:rsidRPr="00A22943">
        <w:rPr>
          <w:rFonts w:ascii="Arial" w:hAnsi="Arial" w:cs="Arial"/>
          <w:b/>
          <w:bCs/>
        </w:rPr>
        <w:t>à</w:t>
      </w:r>
      <w:r w:rsidRPr="00A22943">
        <w:rPr>
          <w:rFonts w:ascii="Arial" w:hAnsi="Arial" w:cs="Arial"/>
        </w:rPr>
        <w:t xml:space="preserve"> e </w:t>
      </w:r>
      <w:r w:rsidRPr="00A22943">
        <w:rPr>
          <w:rFonts w:ascii="Arial" w:hAnsi="Arial" w:cs="Arial"/>
          <w:b/>
          <w:bCs/>
        </w:rPr>
        <w:t>indeterminatezze</w:t>
      </w:r>
      <w:r w:rsidRPr="00A22943">
        <w:rPr>
          <w:rFonts w:ascii="Arial" w:hAnsi="Arial" w:cs="Arial"/>
        </w:rPr>
        <w:t xml:space="preserve"> che si innestano in un quadro normativo e applicativo che sarebbe fisiologicamente molto articolato anche laddove fosse ben confezionato sul piano della tecnica legislativa. Troppe le differenziazioni tra i due canali di garanzia, il </w:t>
      </w:r>
      <w:proofErr w:type="spellStart"/>
      <w:r w:rsidRPr="00A22943">
        <w:rPr>
          <w:rFonts w:ascii="Arial" w:hAnsi="Arial" w:cs="Arial"/>
          <w:b/>
          <w:bCs/>
        </w:rPr>
        <w:t>Sace</w:t>
      </w:r>
      <w:proofErr w:type="spellEnd"/>
      <w:r w:rsidRPr="00A22943">
        <w:rPr>
          <w:rFonts w:ascii="Arial" w:hAnsi="Arial" w:cs="Arial"/>
        </w:rPr>
        <w:t xml:space="preserve"> e il </w:t>
      </w:r>
      <w:r w:rsidRPr="00A22943">
        <w:rPr>
          <w:rFonts w:ascii="Arial" w:hAnsi="Arial" w:cs="Arial"/>
          <w:b/>
          <w:bCs/>
        </w:rPr>
        <w:t>Fondo centrale PMI</w:t>
      </w:r>
      <w:r w:rsidRPr="00A22943">
        <w:rPr>
          <w:rFonts w:ascii="Arial" w:hAnsi="Arial" w:cs="Arial"/>
        </w:rPr>
        <w:t xml:space="preserve">. Servono </w:t>
      </w:r>
      <w:r w:rsidRPr="00A22943">
        <w:rPr>
          <w:rFonts w:ascii="Arial" w:hAnsi="Arial" w:cs="Arial"/>
          <w:b/>
          <w:bCs/>
        </w:rPr>
        <w:t>semplificazioni</w:t>
      </w:r>
      <w:r w:rsidRPr="00A22943">
        <w:rPr>
          <w:rFonts w:ascii="Arial" w:hAnsi="Arial" w:cs="Arial"/>
        </w:rPr>
        <w:t xml:space="preserve"> e </w:t>
      </w:r>
      <w:r w:rsidRPr="00A22943">
        <w:rPr>
          <w:rFonts w:ascii="Arial" w:hAnsi="Arial" w:cs="Arial"/>
          <w:b/>
          <w:bCs/>
        </w:rPr>
        <w:t>chiarimenti</w:t>
      </w:r>
      <w:r w:rsidRPr="00A22943">
        <w:rPr>
          <w:rFonts w:ascii="Arial" w:hAnsi="Arial" w:cs="Arial"/>
        </w:rPr>
        <w:t xml:space="preserve"> per non rendere un calvario la richiesta di fondi da parte delle aziende del nostro Paese, alle prese con una fase di enormi difficoltà”.</w:t>
      </w:r>
      <w:r w:rsidR="005E025B">
        <w:rPr>
          <w:rFonts w:ascii="Arial" w:hAnsi="Arial" w:cs="Arial"/>
        </w:rPr>
        <w:t xml:space="preserve"> </w:t>
      </w:r>
      <w:r w:rsidRPr="00A22943">
        <w:rPr>
          <w:rFonts w:ascii="Arial" w:hAnsi="Arial" w:cs="Arial"/>
        </w:rPr>
        <w:t xml:space="preserve">È </w:t>
      </w:r>
      <w:r w:rsidRPr="00A22943">
        <w:rPr>
          <w:rFonts w:ascii="Arial" w:hAnsi="Arial" w:cs="Arial"/>
        </w:rPr>
        <w:t xml:space="preserve">quanto sostenuto dal Consiglio nazionale dei commercialisti nel corso dell’audizione sul Dl Liquidità tenuta oggi presso la Commissioni Finanze e Attività produttive della Camera. I commercialisti hanno anche ribadito la loro richiesta di </w:t>
      </w:r>
      <w:r w:rsidRPr="00A22943">
        <w:rPr>
          <w:rFonts w:ascii="Arial" w:hAnsi="Arial" w:cs="Arial"/>
          <w:b/>
          <w:bCs/>
        </w:rPr>
        <w:t>misure fiscali</w:t>
      </w:r>
      <w:r w:rsidRPr="00A22943">
        <w:rPr>
          <w:rFonts w:ascii="Arial" w:hAnsi="Arial" w:cs="Arial"/>
        </w:rPr>
        <w:t xml:space="preserve"> più coraggiose, a partire da uno spostamento di tutti i versamenti e gli adempimenti tributari al </w:t>
      </w:r>
      <w:r w:rsidRPr="00A22943">
        <w:rPr>
          <w:rFonts w:ascii="Arial" w:hAnsi="Arial" w:cs="Arial"/>
          <w:b/>
          <w:bCs/>
        </w:rPr>
        <w:t>30 settembre</w:t>
      </w:r>
      <w:r w:rsidRPr="00A22943">
        <w:rPr>
          <w:rFonts w:ascii="Arial" w:hAnsi="Arial" w:cs="Arial"/>
        </w:rPr>
        <w:t>.</w:t>
      </w:r>
    </w:p>
    <w:p w:rsidR="005E025B" w:rsidRPr="00A22943" w:rsidRDefault="005E025B" w:rsidP="00A22943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A15F52" w:rsidRDefault="00A15F52" w:rsidP="00A22943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A22943">
        <w:rPr>
          <w:rFonts w:ascii="Arial" w:hAnsi="Arial" w:cs="Arial"/>
        </w:rPr>
        <w:t xml:space="preserve">“Un aspetto che riteniamo possa essere rimeditato – hanno spiegato i commercialisti </w:t>
      </w:r>
      <w:r w:rsidRPr="00A22943">
        <w:rPr>
          <w:rFonts w:ascii="Arial" w:hAnsi="Arial" w:cs="Arial"/>
        </w:rPr>
        <w:t xml:space="preserve">– è </w:t>
      </w:r>
      <w:r w:rsidRPr="00A22943">
        <w:rPr>
          <w:rFonts w:ascii="Arial" w:hAnsi="Arial" w:cs="Arial"/>
        </w:rPr>
        <w:t xml:space="preserve">quello della concessione delle </w:t>
      </w:r>
      <w:r w:rsidRPr="00A22943">
        <w:rPr>
          <w:rFonts w:ascii="Arial" w:hAnsi="Arial" w:cs="Arial"/>
          <w:b/>
          <w:bCs/>
        </w:rPr>
        <w:t xml:space="preserve">garanzie </w:t>
      </w:r>
      <w:r w:rsidRPr="00A22943">
        <w:rPr>
          <w:rFonts w:ascii="Arial" w:hAnsi="Arial" w:cs="Arial"/>
        </w:rPr>
        <w:t xml:space="preserve">a favore degli </w:t>
      </w:r>
      <w:r w:rsidRPr="00A22943">
        <w:rPr>
          <w:rFonts w:ascii="Arial" w:hAnsi="Arial" w:cs="Arial"/>
          <w:b/>
          <w:bCs/>
        </w:rPr>
        <w:t>istituti di credito</w:t>
      </w:r>
      <w:r w:rsidRPr="00A22943">
        <w:rPr>
          <w:rFonts w:ascii="Arial" w:hAnsi="Arial" w:cs="Arial"/>
        </w:rPr>
        <w:t xml:space="preserve"> solo per operazioni che erogano </w:t>
      </w:r>
      <w:r w:rsidRPr="00A22943">
        <w:rPr>
          <w:rFonts w:ascii="Arial" w:hAnsi="Arial" w:cs="Arial"/>
          <w:b/>
          <w:bCs/>
        </w:rPr>
        <w:t>nuova finanza</w:t>
      </w:r>
      <w:r w:rsidRPr="00A22943">
        <w:rPr>
          <w:rFonts w:ascii="Arial" w:hAnsi="Arial" w:cs="Arial"/>
        </w:rPr>
        <w:t xml:space="preserve"> ai soggetti beneficiari oppure anche per quelle che si traducono in </w:t>
      </w:r>
      <w:r w:rsidRPr="00A22943">
        <w:rPr>
          <w:rFonts w:ascii="Arial" w:hAnsi="Arial" w:cs="Arial"/>
          <w:b/>
          <w:bCs/>
        </w:rPr>
        <w:t>rinegoziazioni</w:t>
      </w:r>
      <w:r w:rsidRPr="00A22943">
        <w:rPr>
          <w:rFonts w:ascii="Arial" w:hAnsi="Arial" w:cs="Arial"/>
        </w:rPr>
        <w:t xml:space="preserve"> di finanziamenti gi</w:t>
      </w:r>
      <w:r w:rsidR="005E025B">
        <w:rPr>
          <w:rFonts w:ascii="Arial" w:hAnsi="Arial" w:cs="Arial"/>
        </w:rPr>
        <w:t xml:space="preserve">à </w:t>
      </w:r>
      <w:r w:rsidRPr="00A22943">
        <w:rPr>
          <w:rFonts w:ascii="Arial" w:hAnsi="Arial" w:cs="Arial"/>
        </w:rPr>
        <w:t xml:space="preserve">in essere. La scelta fatta dal legislatore evidenzia una </w:t>
      </w:r>
      <w:r w:rsidRPr="00A22943">
        <w:rPr>
          <w:rFonts w:ascii="Arial" w:hAnsi="Arial" w:cs="Arial"/>
          <w:b/>
          <w:bCs/>
        </w:rPr>
        <w:t>forte differenziazione</w:t>
      </w:r>
      <w:r w:rsidRPr="00A22943">
        <w:rPr>
          <w:rFonts w:ascii="Arial" w:hAnsi="Arial" w:cs="Arial"/>
        </w:rPr>
        <w:t xml:space="preserve"> a seconda del “canale” di garanzia, nel senso che relativamente al </w:t>
      </w:r>
      <w:r w:rsidRPr="00A22943">
        <w:rPr>
          <w:rFonts w:ascii="Arial" w:hAnsi="Arial" w:cs="Arial"/>
          <w:b/>
          <w:bCs/>
        </w:rPr>
        <w:t>“canale” SACE</w:t>
      </w:r>
      <w:r w:rsidRPr="00A22943">
        <w:rPr>
          <w:rFonts w:ascii="Arial" w:hAnsi="Arial" w:cs="Arial"/>
        </w:rPr>
        <w:t xml:space="preserve">, l’articolo 1 del decreto-legge disegna un quadro disciplinare tale per cui le banche possono ottenere la garanzia pubblica (sostanzialmente del 90%) solo se erogano finanziamenti che si traducono per intero in nuova finanza per i soggetti beneficiari, con esclusione di qualsiasi ipotesi di utilizzo anche parziale a rinegoziazione di esposizioni debitorie </w:t>
      </w:r>
      <w:proofErr w:type="spellStart"/>
      <w:r w:rsidRPr="00A22943">
        <w:rPr>
          <w:rFonts w:ascii="Arial" w:hAnsi="Arial" w:cs="Arial"/>
        </w:rPr>
        <w:t>gia</w:t>
      </w:r>
      <w:proofErr w:type="spellEnd"/>
      <w:r w:rsidRPr="00A22943">
        <w:rPr>
          <w:rFonts w:ascii="Arial" w:hAnsi="Arial" w:cs="Arial"/>
        </w:rPr>
        <w:t>̀ in essere. Relativamente al “</w:t>
      </w:r>
      <w:r w:rsidRPr="00A22943">
        <w:rPr>
          <w:rFonts w:ascii="Arial" w:hAnsi="Arial" w:cs="Arial"/>
          <w:b/>
          <w:bCs/>
        </w:rPr>
        <w:t>canale” Fondo centrale PMI</w:t>
      </w:r>
      <w:r w:rsidRPr="00A22943">
        <w:rPr>
          <w:rFonts w:ascii="Arial" w:hAnsi="Arial" w:cs="Arial"/>
        </w:rPr>
        <w:t>, l’articolo 13 del decreto-legge disegna un quadro disciplinare tale per cui le banche possono ottenere la garanzia pubblica (all’80%, invece che al 90%) anche se erogano finanziamenti che si traducono in nuova finanza per i soggetti beneficiari solo per il 10% e per il resto vanno a rinegoziare esposizioni debitorie gi</w:t>
      </w:r>
      <w:r w:rsidRPr="00A22943">
        <w:rPr>
          <w:rFonts w:ascii="Arial" w:hAnsi="Arial" w:cs="Arial"/>
        </w:rPr>
        <w:t xml:space="preserve">à </w:t>
      </w:r>
      <w:r w:rsidRPr="00A22943">
        <w:rPr>
          <w:rFonts w:ascii="Arial" w:hAnsi="Arial" w:cs="Arial"/>
        </w:rPr>
        <w:t xml:space="preserve">in essere”. Secondo i commercialisti si tratta “di due approcci radicalmente diversi che, in un contesto in cui tutte le microimprese e buona parte delle PMI si ritrovano </w:t>
      </w:r>
      <w:r w:rsidRPr="00A22943">
        <w:rPr>
          <w:rFonts w:ascii="Arial" w:hAnsi="Arial" w:cs="Arial"/>
          <w:b/>
          <w:bCs/>
        </w:rPr>
        <w:t>inibito</w:t>
      </w:r>
      <w:r w:rsidRPr="00A22943">
        <w:rPr>
          <w:rFonts w:ascii="Arial" w:hAnsi="Arial" w:cs="Arial"/>
        </w:rPr>
        <w:t xml:space="preserve">, di fatto, l’accesso al “canale” SACE, segna uno spartiacque di difficile lettura non solo sul piano tecnico. Concedere così significative garanzie statali a favore del sistema creditizio, anche per operazioni di rinegoziazione, non è sbagliato in assoluto, ma limitare al 10% la percentuale minima di nuova finanza per assicurarsi una garanzia dell’80% sull’importo del nuovo finanziamento che per il 90% va a rinegoziare esposizioni precedenti, pare scelta meritevole di riconsiderazione e </w:t>
      </w:r>
      <w:r w:rsidRPr="00A22943">
        <w:rPr>
          <w:rFonts w:ascii="Arial" w:hAnsi="Arial" w:cs="Arial"/>
          <w:b/>
          <w:bCs/>
        </w:rPr>
        <w:t>affinamento normativo</w:t>
      </w:r>
      <w:r w:rsidRPr="00A22943">
        <w:rPr>
          <w:rFonts w:ascii="Arial" w:hAnsi="Arial" w:cs="Arial"/>
        </w:rPr>
        <w:t>”. Per i questo i commercialisti suggeriscono di “procedere ad un allineamento, ad una semplificazione e ad una migliore specificazione normativa delle due disposizioni, al fine di ridurre i notevoli ambiti di i</w:t>
      </w:r>
      <w:r w:rsidRPr="00A22943">
        <w:rPr>
          <w:rFonts w:ascii="Arial" w:hAnsi="Arial" w:cs="Arial"/>
          <w:b/>
          <w:bCs/>
        </w:rPr>
        <w:t>ncertezza</w:t>
      </w:r>
      <w:r w:rsidRPr="00A22943">
        <w:rPr>
          <w:rFonts w:ascii="Arial" w:hAnsi="Arial" w:cs="Arial"/>
        </w:rPr>
        <w:t>”.</w:t>
      </w:r>
    </w:p>
    <w:p w:rsidR="005E025B" w:rsidRPr="00A22943" w:rsidRDefault="005E025B" w:rsidP="00A22943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A15F52" w:rsidRDefault="00A15F52" w:rsidP="00A22943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A22943">
        <w:rPr>
          <w:rFonts w:ascii="Arial" w:hAnsi="Arial" w:cs="Arial"/>
        </w:rPr>
        <w:t xml:space="preserve">Rispetto ai </w:t>
      </w:r>
      <w:r w:rsidRPr="00A22943">
        <w:rPr>
          <w:rFonts w:ascii="Arial" w:hAnsi="Arial" w:cs="Arial"/>
          <w:b/>
          <w:bCs/>
        </w:rPr>
        <w:t>parametri definitori</w:t>
      </w:r>
      <w:r w:rsidRPr="00A22943">
        <w:rPr>
          <w:rFonts w:ascii="Arial" w:hAnsi="Arial" w:cs="Arial"/>
        </w:rPr>
        <w:t xml:space="preserve"> dell’entit</w:t>
      </w:r>
      <w:r w:rsidRPr="00A22943">
        <w:rPr>
          <w:rFonts w:ascii="Arial" w:hAnsi="Arial" w:cs="Arial"/>
        </w:rPr>
        <w:t xml:space="preserve">à </w:t>
      </w:r>
      <w:r w:rsidRPr="00A22943">
        <w:rPr>
          <w:rFonts w:ascii="Arial" w:hAnsi="Arial" w:cs="Arial"/>
        </w:rPr>
        <w:t>di importo ammesso alle “garanzie speciali da COVID-19” che possono essere rilasciate da SACE e dal Fondo centrale PMI fino al prossimo 31 dicembre 2020 i commercialisti sottolineano come “nel decreto-legge vi è un uso alternato di termini quali “</w:t>
      </w:r>
      <w:r w:rsidRPr="00A22943">
        <w:rPr>
          <w:rFonts w:ascii="Arial" w:hAnsi="Arial" w:cs="Arial"/>
          <w:b/>
          <w:bCs/>
        </w:rPr>
        <w:t>fatturato</w:t>
      </w:r>
      <w:r w:rsidRPr="00A22943">
        <w:rPr>
          <w:rFonts w:ascii="Arial" w:hAnsi="Arial" w:cs="Arial"/>
        </w:rPr>
        <w:t>” e “</w:t>
      </w:r>
      <w:r w:rsidRPr="00A22943">
        <w:rPr>
          <w:rFonts w:ascii="Arial" w:hAnsi="Arial" w:cs="Arial"/>
          <w:b/>
          <w:bCs/>
        </w:rPr>
        <w:t>ricav</w:t>
      </w:r>
      <w:r w:rsidRPr="00A22943">
        <w:rPr>
          <w:rFonts w:ascii="Arial" w:hAnsi="Arial" w:cs="Arial"/>
        </w:rPr>
        <w:t xml:space="preserve">i”, una trascuratezza nell’affiancare al </w:t>
      </w:r>
      <w:r w:rsidRPr="00A22943">
        <w:rPr>
          <w:rFonts w:ascii="Arial" w:hAnsi="Arial" w:cs="Arial"/>
        </w:rPr>
        <w:lastRenderedPageBreak/>
        <w:t>termine “ricavi”, ove utilizzato, quello di “c</w:t>
      </w:r>
      <w:r w:rsidRPr="00A22943">
        <w:rPr>
          <w:rFonts w:ascii="Arial" w:hAnsi="Arial" w:cs="Arial"/>
          <w:b/>
          <w:bCs/>
        </w:rPr>
        <w:t>ompensi</w:t>
      </w:r>
      <w:r w:rsidRPr="00A22943">
        <w:rPr>
          <w:rFonts w:ascii="Arial" w:hAnsi="Arial" w:cs="Arial"/>
        </w:rPr>
        <w:t>”, una indeterminatezza sulla tipologia di “</w:t>
      </w:r>
      <w:r w:rsidRPr="00A22943">
        <w:rPr>
          <w:rFonts w:ascii="Arial" w:hAnsi="Arial" w:cs="Arial"/>
          <w:b/>
          <w:bCs/>
        </w:rPr>
        <w:t>dichiarazione fiscale</w:t>
      </w:r>
      <w:r w:rsidRPr="00A22943">
        <w:rPr>
          <w:rFonts w:ascii="Arial" w:hAnsi="Arial" w:cs="Arial"/>
        </w:rPr>
        <w:t xml:space="preserve">” rilevante tra quelle possibili (REDDITI, IVA, entrambe?) e una </w:t>
      </w:r>
      <w:r w:rsidRPr="00A22943">
        <w:rPr>
          <w:rFonts w:ascii="Arial" w:hAnsi="Arial" w:cs="Arial"/>
          <w:b/>
          <w:bCs/>
        </w:rPr>
        <w:t>inadeguatezza descrittiva</w:t>
      </w:r>
      <w:r w:rsidRPr="00A22943">
        <w:rPr>
          <w:rFonts w:ascii="Arial" w:hAnsi="Arial" w:cs="Arial"/>
        </w:rPr>
        <w:t xml:space="preserve"> di come procedere relativamente ai soggetti beneficiari costituiti o entrati in attivit</w:t>
      </w:r>
      <w:r w:rsidRPr="00A22943">
        <w:rPr>
          <w:rFonts w:ascii="Arial" w:hAnsi="Arial" w:cs="Arial"/>
        </w:rPr>
        <w:t xml:space="preserve">à </w:t>
      </w:r>
      <w:r w:rsidRPr="00A22943">
        <w:rPr>
          <w:rFonts w:ascii="Arial" w:hAnsi="Arial" w:cs="Arial"/>
        </w:rPr>
        <w:t xml:space="preserve">successivamente </w:t>
      </w:r>
      <w:r w:rsidRPr="00A22943">
        <w:rPr>
          <w:rFonts w:ascii="Arial" w:hAnsi="Arial" w:cs="Arial"/>
          <w:b/>
          <w:bCs/>
        </w:rPr>
        <w:t>all’1 gennaio 2019</w:t>
      </w:r>
      <w:r w:rsidRPr="00A22943">
        <w:rPr>
          <w:rFonts w:ascii="Arial" w:hAnsi="Arial" w:cs="Arial"/>
        </w:rPr>
        <w:t>, che devono necessariamente essere corrette in sede di conversione in legge del presente decreto”. La categoria chiede dunque di sostituire il termine “fatturato” con le parole “</w:t>
      </w:r>
      <w:r w:rsidRPr="00A22943">
        <w:rPr>
          <w:rFonts w:ascii="Arial" w:hAnsi="Arial" w:cs="Arial"/>
          <w:b/>
          <w:bCs/>
        </w:rPr>
        <w:t>ricavi o</w:t>
      </w:r>
      <w:r w:rsidRPr="00A22943">
        <w:rPr>
          <w:rFonts w:ascii="Arial" w:hAnsi="Arial" w:cs="Arial"/>
          <w:b/>
          <w:bCs/>
        </w:rPr>
        <w:t xml:space="preserve"> </w:t>
      </w:r>
      <w:r w:rsidRPr="00A22943">
        <w:rPr>
          <w:rFonts w:ascii="Arial" w:hAnsi="Arial" w:cs="Arial"/>
          <w:b/>
          <w:bCs/>
        </w:rPr>
        <w:t>compensi</w:t>
      </w:r>
      <w:r w:rsidRPr="00A22943">
        <w:rPr>
          <w:rFonts w:ascii="Arial" w:hAnsi="Arial" w:cs="Arial"/>
        </w:rPr>
        <w:t>” e affiancare al termine “ricavi”, ove utilizzato, le parole “o compensi”. Il Consiglio nazionale chiede anche di “sostituire le parole “dichiarazione fiscale” con “</w:t>
      </w:r>
      <w:r w:rsidRPr="00A22943">
        <w:rPr>
          <w:rFonts w:ascii="Arial" w:hAnsi="Arial" w:cs="Arial"/>
          <w:b/>
          <w:bCs/>
        </w:rPr>
        <w:t>dichiarazione dei redditi</w:t>
      </w:r>
      <w:r w:rsidRPr="00A22943">
        <w:rPr>
          <w:rFonts w:ascii="Arial" w:hAnsi="Arial" w:cs="Arial"/>
        </w:rPr>
        <w:t>” e di specificare ovunque (e non a intermittenza come risulta dagli attuali testi) che il parametro del 25% dei ricavi o compensi è da assumersi con riguardo ai ricavi o compensi dell’</w:t>
      </w:r>
      <w:r w:rsidRPr="00A22943">
        <w:rPr>
          <w:rFonts w:ascii="Arial" w:hAnsi="Arial" w:cs="Arial"/>
          <w:b/>
          <w:bCs/>
        </w:rPr>
        <w:t xml:space="preserve">ultimo periodo </w:t>
      </w:r>
      <w:r w:rsidRPr="00A22943">
        <w:rPr>
          <w:rFonts w:ascii="Arial" w:hAnsi="Arial" w:cs="Arial"/>
        </w:rPr>
        <w:t xml:space="preserve">relativamente al quale, al momento della presentazione della richiesta di finanziamento e garanzia, risulta </w:t>
      </w:r>
      <w:r w:rsidRPr="00A22943">
        <w:rPr>
          <w:rFonts w:ascii="Arial" w:hAnsi="Arial" w:cs="Arial"/>
          <w:b/>
          <w:bCs/>
        </w:rPr>
        <w:t>depositato il bilancio</w:t>
      </w:r>
      <w:r w:rsidRPr="00A22943">
        <w:rPr>
          <w:rFonts w:ascii="Arial" w:hAnsi="Arial" w:cs="Arial"/>
        </w:rPr>
        <w:t xml:space="preserve"> o </w:t>
      </w:r>
      <w:r w:rsidRPr="00A22943">
        <w:rPr>
          <w:rFonts w:ascii="Arial" w:hAnsi="Arial" w:cs="Arial"/>
          <w:b/>
          <w:bCs/>
        </w:rPr>
        <w:t>presentata la dichiarazione dei redditi</w:t>
      </w:r>
      <w:r w:rsidRPr="00A22943">
        <w:rPr>
          <w:rFonts w:ascii="Arial" w:hAnsi="Arial" w:cs="Arial"/>
        </w:rPr>
        <w:t xml:space="preserve">”. I commercialisti sottolineano poi “la necessità di esplicitare normativamente </w:t>
      </w:r>
      <w:r w:rsidRPr="00A22943">
        <w:rPr>
          <w:rFonts w:ascii="Arial" w:hAnsi="Arial" w:cs="Arial"/>
          <w:b/>
          <w:bCs/>
        </w:rPr>
        <w:t>l’esatta platea</w:t>
      </w:r>
      <w:r w:rsidRPr="00A22943">
        <w:rPr>
          <w:rFonts w:ascii="Arial" w:hAnsi="Arial" w:cs="Arial"/>
        </w:rPr>
        <w:t xml:space="preserve"> dei soggetti che possono richiedere i finanziamenti assistiti dalle “garanzie speciali da COVID-19”, chiarendo che vi rientrano anche gli </w:t>
      </w:r>
      <w:r w:rsidRPr="00A22943">
        <w:rPr>
          <w:rFonts w:ascii="Arial" w:hAnsi="Arial" w:cs="Arial"/>
          <w:b/>
          <w:bCs/>
        </w:rPr>
        <w:t>studi associati dei professionisti</w:t>
      </w:r>
      <w:r w:rsidRPr="00A22943">
        <w:rPr>
          <w:rFonts w:ascii="Arial" w:hAnsi="Arial" w:cs="Arial"/>
        </w:rPr>
        <w:t>”.</w:t>
      </w:r>
    </w:p>
    <w:p w:rsidR="005E025B" w:rsidRPr="00A22943" w:rsidRDefault="005E025B" w:rsidP="00A22943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A15F52" w:rsidRPr="00A22943" w:rsidRDefault="00A15F52" w:rsidP="00A22943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  <w:r w:rsidRPr="00A22943">
        <w:rPr>
          <w:rFonts w:ascii="Arial" w:hAnsi="Arial" w:cs="Arial"/>
        </w:rPr>
        <w:t xml:space="preserve">Sul fronte fiscale, la categoria ha ribadito, relativamente  ai </w:t>
      </w:r>
      <w:r w:rsidRPr="00A22943">
        <w:rPr>
          <w:rFonts w:ascii="Arial" w:hAnsi="Arial" w:cs="Arial"/>
          <w:b/>
          <w:bCs/>
        </w:rPr>
        <w:t xml:space="preserve">versamenti e gli adempimenti tributari </w:t>
      </w:r>
      <w:r w:rsidRPr="00A22943">
        <w:rPr>
          <w:rFonts w:ascii="Arial" w:hAnsi="Arial" w:cs="Arial"/>
        </w:rPr>
        <w:t xml:space="preserve"> “l’assoluta necessità di un </w:t>
      </w:r>
      <w:r w:rsidRPr="00A22943">
        <w:rPr>
          <w:rFonts w:ascii="Arial" w:hAnsi="Arial" w:cs="Arial"/>
          <w:b/>
          <w:bCs/>
        </w:rPr>
        <w:t>sospensione dei termini</w:t>
      </w:r>
      <w:r w:rsidRPr="00A22943">
        <w:rPr>
          <w:rFonts w:ascii="Arial" w:hAnsi="Arial" w:cs="Arial"/>
        </w:rPr>
        <w:t xml:space="preserve">, quanto meno, fino al mese di settembre 2020, che riguardi, oltre che le ritenute (ivi comprese quelle relative ai redditi di lavoro autonomo e agli agenti di commercio), i contributi previdenziali, i premi assicurativi e l’IVA da versare in autoliquidazione, anche le somme dovute, anche in forma rateale, in seguito alla notifica di atti dell’amministrazione finanziaria per i quali non si sia ancora verificato l’affidamento in carico agli agenti della riscossione e derivanti da avvisi bonari, accertamenti con adesione, acquiescenze agli accertamenti, atti di irrogazione di sanzioni e relative definizioni agevolate , mediazioni tributarie e conciliazioni giudiziali”.  </w:t>
      </w:r>
    </w:p>
    <w:p w:rsidR="005E025B" w:rsidRDefault="005E025B" w:rsidP="00A22943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A15F52" w:rsidRPr="00A22943" w:rsidRDefault="00A15F52" w:rsidP="00A22943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  <w:r w:rsidRPr="00A22943">
        <w:rPr>
          <w:rFonts w:ascii="Arial" w:hAnsi="Arial" w:cs="Arial"/>
        </w:rPr>
        <w:t xml:space="preserve">Altrettanto necessario, per la categoria, è “spostare in avanti il termine per la ripresa della </w:t>
      </w:r>
      <w:r w:rsidRPr="00A22943">
        <w:rPr>
          <w:rFonts w:ascii="Arial" w:hAnsi="Arial" w:cs="Arial"/>
          <w:b/>
          <w:bCs/>
        </w:rPr>
        <w:t>riscossione</w:t>
      </w:r>
      <w:r w:rsidRPr="00A22943">
        <w:rPr>
          <w:rFonts w:ascii="Arial" w:hAnsi="Arial" w:cs="Arial"/>
        </w:rPr>
        <w:t xml:space="preserve">, prevedendo che i versamenti sospesi debbano essere effettuati, senza applicazione di </w:t>
      </w:r>
      <w:r w:rsidRPr="00A22943">
        <w:rPr>
          <w:rFonts w:ascii="Arial" w:hAnsi="Arial" w:cs="Arial"/>
          <w:b/>
          <w:bCs/>
        </w:rPr>
        <w:t>sanzioni e interessi</w:t>
      </w:r>
      <w:r w:rsidRPr="00A22943">
        <w:rPr>
          <w:rFonts w:ascii="Arial" w:hAnsi="Arial" w:cs="Arial"/>
        </w:rPr>
        <w:t>, in forma r</w:t>
      </w:r>
      <w:r w:rsidRPr="00A22943">
        <w:rPr>
          <w:rFonts w:ascii="Arial" w:hAnsi="Arial" w:cs="Arial"/>
          <w:b/>
          <w:bCs/>
        </w:rPr>
        <w:t xml:space="preserve">ateale </w:t>
      </w:r>
      <w:r w:rsidRPr="00A22943">
        <w:rPr>
          <w:rFonts w:ascii="Arial" w:hAnsi="Arial" w:cs="Arial"/>
        </w:rPr>
        <w:t xml:space="preserve">non inferiore a </w:t>
      </w:r>
      <w:r w:rsidRPr="00A22943">
        <w:rPr>
          <w:rFonts w:ascii="Arial" w:hAnsi="Arial" w:cs="Arial"/>
          <w:b/>
          <w:bCs/>
        </w:rPr>
        <w:t>un anno</w:t>
      </w:r>
      <w:r w:rsidRPr="00A22943">
        <w:rPr>
          <w:rFonts w:ascii="Arial" w:hAnsi="Arial" w:cs="Arial"/>
        </w:rPr>
        <w:t xml:space="preserve"> a decorrere dal mese di </w:t>
      </w:r>
      <w:r w:rsidRPr="00A22943">
        <w:rPr>
          <w:rFonts w:ascii="Arial" w:hAnsi="Arial" w:cs="Arial"/>
          <w:b/>
          <w:bCs/>
        </w:rPr>
        <w:t>gennaio 2021</w:t>
      </w:r>
      <w:r w:rsidRPr="00A22943">
        <w:rPr>
          <w:rFonts w:ascii="Arial" w:hAnsi="Arial" w:cs="Arial"/>
        </w:rPr>
        <w:t>”. Altra misura ritenuta “prioritaria” è rappresentata dallo “</w:t>
      </w:r>
      <w:r w:rsidRPr="00A22943">
        <w:rPr>
          <w:rFonts w:ascii="Arial" w:hAnsi="Arial" w:cs="Arial"/>
          <w:b/>
          <w:bCs/>
        </w:rPr>
        <w:t>sblocco</w:t>
      </w:r>
      <w:r w:rsidRPr="00A22943">
        <w:rPr>
          <w:rFonts w:ascii="Arial" w:hAnsi="Arial" w:cs="Arial"/>
        </w:rPr>
        <w:t xml:space="preserve">” delle </w:t>
      </w:r>
      <w:r w:rsidRPr="00A22943">
        <w:rPr>
          <w:rFonts w:ascii="Arial" w:hAnsi="Arial" w:cs="Arial"/>
          <w:b/>
          <w:bCs/>
        </w:rPr>
        <w:t xml:space="preserve">compensazioni dei crediti </w:t>
      </w:r>
      <w:r w:rsidRPr="00A22943">
        <w:rPr>
          <w:rFonts w:ascii="Arial" w:hAnsi="Arial" w:cs="Arial"/>
        </w:rPr>
        <w:t>relativi alle imposte sui redditi e all’imposta regionale sulle attivit</w:t>
      </w:r>
      <w:r w:rsidR="005E025B">
        <w:rPr>
          <w:rFonts w:ascii="Arial" w:hAnsi="Arial" w:cs="Arial"/>
        </w:rPr>
        <w:t xml:space="preserve">à </w:t>
      </w:r>
      <w:r w:rsidRPr="00A22943">
        <w:rPr>
          <w:rFonts w:ascii="Arial" w:hAnsi="Arial" w:cs="Arial"/>
        </w:rPr>
        <w:t xml:space="preserve">produttive maturati nel </w:t>
      </w:r>
      <w:r w:rsidRPr="00A22943">
        <w:rPr>
          <w:rFonts w:ascii="Arial" w:hAnsi="Arial" w:cs="Arial"/>
          <w:b/>
          <w:bCs/>
        </w:rPr>
        <w:t>2019</w:t>
      </w:r>
      <w:r w:rsidRPr="00A22943">
        <w:rPr>
          <w:rFonts w:ascii="Arial" w:hAnsi="Arial" w:cs="Arial"/>
        </w:rPr>
        <w:t>. I commercialisti chiedono di “eliminare il vincolo, introdotto soltanto da quest’anno, della previa presentazione della dichiarazione da cui il credito emerge”. Un intervento che secondo il Consiglio nazionale  “oltre a favorire la liquidità dei contribuenti permettendo loro l’utilizzo di crediti peraltro gi</w:t>
      </w:r>
      <w:r w:rsidRPr="00A22943">
        <w:rPr>
          <w:rFonts w:ascii="Arial" w:hAnsi="Arial" w:cs="Arial"/>
        </w:rPr>
        <w:t xml:space="preserve">à </w:t>
      </w:r>
      <w:r w:rsidRPr="00A22943">
        <w:rPr>
          <w:rFonts w:ascii="Arial" w:hAnsi="Arial" w:cs="Arial"/>
        </w:rPr>
        <w:t xml:space="preserve">maturati nei confronti dell’erario, trova giustificazione anche in considerazione dell’attuale </w:t>
      </w:r>
      <w:r w:rsidRPr="00A22943">
        <w:rPr>
          <w:rFonts w:ascii="Arial" w:hAnsi="Arial" w:cs="Arial"/>
          <w:b/>
          <w:bCs/>
        </w:rPr>
        <w:t>impossibilità</w:t>
      </w:r>
      <w:r w:rsidRPr="00A22943">
        <w:rPr>
          <w:rFonts w:ascii="Arial" w:hAnsi="Arial" w:cs="Arial"/>
        </w:rPr>
        <w:t xml:space="preserve"> di presentare le dichiarazioni relative al </w:t>
      </w:r>
      <w:r w:rsidRPr="00A22943">
        <w:rPr>
          <w:rFonts w:ascii="Arial" w:hAnsi="Arial" w:cs="Arial"/>
          <w:b/>
          <w:bCs/>
        </w:rPr>
        <w:t>periodo d’imposta 2019</w:t>
      </w:r>
      <w:r w:rsidRPr="00A22943">
        <w:rPr>
          <w:rFonts w:ascii="Arial" w:hAnsi="Arial" w:cs="Arial"/>
        </w:rPr>
        <w:t xml:space="preserve">, essendo ancora oggi </w:t>
      </w:r>
      <w:r w:rsidRPr="00A22943">
        <w:rPr>
          <w:rFonts w:ascii="Arial" w:hAnsi="Arial" w:cs="Arial"/>
          <w:b/>
          <w:bCs/>
        </w:rPr>
        <w:t>indisponibili</w:t>
      </w:r>
      <w:r w:rsidRPr="00A22943">
        <w:rPr>
          <w:rFonts w:ascii="Arial" w:hAnsi="Arial" w:cs="Arial"/>
        </w:rPr>
        <w:t xml:space="preserve"> non solo gli </w:t>
      </w:r>
      <w:r w:rsidRPr="00A22943">
        <w:rPr>
          <w:rFonts w:ascii="Arial" w:hAnsi="Arial" w:cs="Arial"/>
          <w:b/>
          <w:bCs/>
        </w:rPr>
        <w:t>applicativi</w:t>
      </w:r>
      <w:r w:rsidRPr="00A22943">
        <w:rPr>
          <w:rFonts w:ascii="Arial" w:hAnsi="Arial" w:cs="Arial"/>
        </w:rPr>
        <w:t xml:space="preserve"> necessari per la compilazione delle dichiarazioni e del modello allegato relativo agli indici sintetici di affidabilit</w:t>
      </w:r>
      <w:r w:rsidRPr="00A22943">
        <w:rPr>
          <w:rFonts w:ascii="Arial" w:hAnsi="Arial" w:cs="Arial"/>
        </w:rPr>
        <w:t xml:space="preserve">à </w:t>
      </w:r>
      <w:r w:rsidRPr="00A22943">
        <w:rPr>
          <w:rFonts w:ascii="Arial" w:hAnsi="Arial" w:cs="Arial"/>
        </w:rPr>
        <w:t>fiscale (</w:t>
      </w:r>
      <w:r w:rsidRPr="00A22943">
        <w:rPr>
          <w:rFonts w:ascii="Arial" w:hAnsi="Arial" w:cs="Arial"/>
          <w:b/>
          <w:bCs/>
        </w:rPr>
        <w:t>ISA</w:t>
      </w:r>
      <w:r w:rsidRPr="00A22943">
        <w:rPr>
          <w:rFonts w:ascii="Arial" w:hAnsi="Arial" w:cs="Arial"/>
        </w:rPr>
        <w:t xml:space="preserve">), ma anche i dati </w:t>
      </w:r>
      <w:proofErr w:type="spellStart"/>
      <w:r w:rsidRPr="00A22943">
        <w:rPr>
          <w:rFonts w:ascii="Arial" w:hAnsi="Arial" w:cs="Arial"/>
          <w:b/>
          <w:bCs/>
        </w:rPr>
        <w:t>precalcolati</w:t>
      </w:r>
      <w:proofErr w:type="spellEnd"/>
      <w:r w:rsidRPr="00A22943">
        <w:rPr>
          <w:rFonts w:ascii="Arial" w:hAnsi="Arial" w:cs="Arial"/>
          <w:b/>
          <w:bCs/>
        </w:rPr>
        <w:t xml:space="preserve"> </w:t>
      </w:r>
      <w:r w:rsidRPr="00A22943">
        <w:rPr>
          <w:rFonts w:ascii="Arial" w:hAnsi="Arial" w:cs="Arial"/>
        </w:rPr>
        <w:t xml:space="preserve">che ciascun contribuente è tenuto a scaricare preventivamente dal sito dell’Agenzia delle entrate, al fine di determinare il proprio ISA.” </w:t>
      </w:r>
    </w:p>
    <w:p w:rsidR="008B2BC7" w:rsidRDefault="008B2BC7" w:rsidP="008B2BC7">
      <w:pPr>
        <w:pStyle w:val="NormaleWeb"/>
        <w:spacing w:before="0" w:beforeAutospacing="0" w:after="0" w:afterAutospacing="0"/>
        <w:jc w:val="both"/>
      </w:pPr>
    </w:p>
    <w:p w:rsidR="00E94EF5" w:rsidRPr="00656807" w:rsidRDefault="00E94EF5" w:rsidP="00656807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656807">
        <w:rPr>
          <w:rFonts w:ascii="Arial" w:eastAsiaTheme="minorHAnsi" w:hAnsi="Arial" w:cs="Arial"/>
          <w:b/>
          <w:color w:val="auto"/>
          <w:lang w:eastAsia="en-US"/>
        </w:rPr>
        <w:t>--</w:t>
      </w:r>
    </w:p>
    <w:p w:rsidR="00E94EF5" w:rsidRPr="00656807" w:rsidRDefault="00E94EF5" w:rsidP="00656807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656807">
        <w:rPr>
          <w:rFonts w:ascii="Arial" w:eastAsiaTheme="minorHAnsi" w:hAnsi="Arial" w:cs="Arial"/>
          <w:b/>
          <w:color w:val="auto"/>
          <w:lang w:eastAsia="en-US"/>
        </w:rPr>
        <w:t>Ufficio stampa Consiglio Nazionale Commercialisti</w:t>
      </w:r>
    </w:p>
    <w:p w:rsidR="00E94EF5" w:rsidRPr="00656807" w:rsidRDefault="008B2BC7" w:rsidP="00656807">
      <w:pPr>
        <w:spacing w:after="0" w:line="240" w:lineRule="auto"/>
        <w:jc w:val="both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Mauro Parracino</w:t>
      </w:r>
    </w:p>
    <w:p w:rsidR="00E94EF5" w:rsidRPr="00656807" w:rsidRDefault="008B2BC7" w:rsidP="00656807">
      <w:pPr>
        <w:spacing w:after="0" w:line="240" w:lineRule="auto"/>
        <w:jc w:val="both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parracino</w:t>
      </w:r>
      <w:r w:rsidR="00E94EF5" w:rsidRPr="00656807">
        <w:rPr>
          <w:rFonts w:ascii="Arial" w:eastAsiaTheme="minorHAnsi" w:hAnsi="Arial" w:cs="Arial"/>
          <w:color w:val="auto"/>
          <w:lang w:eastAsia="en-US"/>
        </w:rPr>
        <w:t>@commercialisti.it</w:t>
      </w:r>
    </w:p>
    <w:p w:rsidR="00E94EF5" w:rsidRPr="00656807" w:rsidRDefault="00E94EF5" w:rsidP="00656807">
      <w:pPr>
        <w:spacing w:after="0" w:line="240" w:lineRule="auto"/>
        <w:jc w:val="both"/>
        <w:rPr>
          <w:rFonts w:ascii="Arial" w:eastAsiaTheme="minorEastAsia" w:hAnsi="Arial" w:cs="Arial"/>
          <w:color w:val="auto"/>
        </w:rPr>
      </w:pPr>
      <w:r w:rsidRPr="00656807">
        <w:rPr>
          <w:rFonts w:ascii="Arial" w:eastAsiaTheme="minorEastAsia" w:hAnsi="Arial" w:cs="Arial"/>
          <w:color w:val="auto"/>
        </w:rPr>
        <w:t>06.47863</w:t>
      </w:r>
      <w:r w:rsidR="00F21493">
        <w:rPr>
          <w:rFonts w:ascii="Arial" w:eastAsiaTheme="minorEastAsia" w:hAnsi="Arial" w:cs="Arial"/>
          <w:color w:val="auto"/>
        </w:rPr>
        <w:t>327</w:t>
      </w:r>
    </w:p>
    <w:p w:rsidR="006501AD" w:rsidRPr="00656807" w:rsidRDefault="006501AD" w:rsidP="00656807">
      <w:pPr>
        <w:spacing w:after="0" w:line="240" w:lineRule="auto"/>
        <w:jc w:val="both"/>
        <w:rPr>
          <w:rFonts w:ascii="Arial" w:hAnsi="Arial" w:cs="Arial"/>
        </w:rPr>
      </w:pPr>
    </w:p>
    <w:sectPr w:rsidR="006501AD" w:rsidRPr="006568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72" w:rsidRDefault="00841D72" w:rsidP="00E94EF5">
      <w:pPr>
        <w:spacing w:after="0" w:line="240" w:lineRule="auto"/>
      </w:pPr>
      <w:r>
        <w:separator/>
      </w:r>
    </w:p>
  </w:endnote>
  <w:endnote w:type="continuationSeparator" w:id="0">
    <w:p w:rsidR="00841D72" w:rsidRDefault="00841D72" w:rsidP="00E9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72" w:rsidRDefault="00841D72" w:rsidP="00E94EF5">
      <w:pPr>
        <w:spacing w:after="0" w:line="240" w:lineRule="auto"/>
      </w:pPr>
      <w:r>
        <w:separator/>
      </w:r>
    </w:p>
  </w:footnote>
  <w:footnote w:type="continuationSeparator" w:id="0">
    <w:p w:rsidR="00841D72" w:rsidRDefault="00841D72" w:rsidP="00E9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F5" w:rsidRDefault="00E94EF5">
    <w:pPr>
      <w:pStyle w:val="Intestazione"/>
    </w:pPr>
    <w:r w:rsidRPr="00A945F8">
      <w:rPr>
        <w:noProof/>
      </w:rPr>
      <w:drawing>
        <wp:inline distT="0" distB="0" distL="0" distR="0" wp14:anchorId="0C765199" wp14:editId="32251FF8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7" style="width:12.75pt;height:12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82116EC"/>
    <w:multiLevelType w:val="hybridMultilevel"/>
    <w:tmpl w:val="3BDAABDA"/>
    <w:lvl w:ilvl="0" w:tplc="3FFC0BE8">
      <w:start w:val="1"/>
      <w:numFmt w:val="bullet"/>
      <w:lvlText w:val="•"/>
      <w:lvlPicBulletId w:val="0"/>
      <w:lvlJc w:val="left"/>
      <w:pPr>
        <w:ind w:left="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65B96">
      <w:start w:val="1"/>
      <w:numFmt w:val="bullet"/>
      <w:lvlText w:val="o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65B62">
      <w:start w:val="1"/>
      <w:numFmt w:val="bullet"/>
      <w:lvlText w:val="▪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699BE">
      <w:start w:val="1"/>
      <w:numFmt w:val="bullet"/>
      <w:lvlText w:val="•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A1448">
      <w:start w:val="1"/>
      <w:numFmt w:val="bullet"/>
      <w:lvlText w:val="o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62DCC">
      <w:start w:val="1"/>
      <w:numFmt w:val="bullet"/>
      <w:lvlText w:val="▪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B206">
      <w:start w:val="1"/>
      <w:numFmt w:val="bullet"/>
      <w:lvlText w:val="•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25F22">
      <w:start w:val="1"/>
      <w:numFmt w:val="bullet"/>
      <w:lvlText w:val="o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845B2">
      <w:start w:val="1"/>
      <w:numFmt w:val="bullet"/>
      <w:lvlText w:val="▪"/>
      <w:lvlJc w:val="left"/>
      <w:pPr>
        <w:ind w:left="6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D"/>
    <w:rsid w:val="00013C93"/>
    <w:rsid w:val="00152769"/>
    <w:rsid w:val="001611FD"/>
    <w:rsid w:val="00414D7A"/>
    <w:rsid w:val="004359FD"/>
    <w:rsid w:val="00462261"/>
    <w:rsid w:val="005335AD"/>
    <w:rsid w:val="005352EC"/>
    <w:rsid w:val="00594C97"/>
    <w:rsid w:val="005E025B"/>
    <w:rsid w:val="006110C9"/>
    <w:rsid w:val="006501AD"/>
    <w:rsid w:val="00656807"/>
    <w:rsid w:val="00742856"/>
    <w:rsid w:val="0077770D"/>
    <w:rsid w:val="007D7E8A"/>
    <w:rsid w:val="00841D72"/>
    <w:rsid w:val="00853961"/>
    <w:rsid w:val="008B2BC7"/>
    <w:rsid w:val="008F7296"/>
    <w:rsid w:val="00957949"/>
    <w:rsid w:val="0097375D"/>
    <w:rsid w:val="00985C60"/>
    <w:rsid w:val="00A15F52"/>
    <w:rsid w:val="00A22943"/>
    <w:rsid w:val="00A24F94"/>
    <w:rsid w:val="00AC7E3C"/>
    <w:rsid w:val="00AF42BC"/>
    <w:rsid w:val="00AF5442"/>
    <w:rsid w:val="00B10811"/>
    <w:rsid w:val="00CB7C59"/>
    <w:rsid w:val="00D91431"/>
    <w:rsid w:val="00DD3040"/>
    <w:rsid w:val="00E329A2"/>
    <w:rsid w:val="00E7012B"/>
    <w:rsid w:val="00E76424"/>
    <w:rsid w:val="00E94EF5"/>
    <w:rsid w:val="00EC69E5"/>
    <w:rsid w:val="00ED226A"/>
    <w:rsid w:val="00F21493"/>
    <w:rsid w:val="00F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ACFD"/>
  <w15:chartTrackingRefBased/>
  <w15:docId w15:val="{A7F16E73-B5EA-4EB1-8F13-55A48073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359FD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EF5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EF5"/>
    <w:rPr>
      <w:rFonts w:ascii="Calibri" w:eastAsia="Calibri" w:hAnsi="Calibri" w:cs="Calibri"/>
      <w:color w:val="000000"/>
      <w:lang w:eastAsia="it-IT"/>
    </w:rPr>
  </w:style>
  <w:style w:type="paragraph" w:styleId="NormaleWeb">
    <w:name w:val="Normal (Web)"/>
    <w:basedOn w:val="Normale"/>
    <w:uiPriority w:val="99"/>
    <w:unhideWhenUsed/>
    <w:rsid w:val="0065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5680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56807"/>
    <w:rPr>
      <w:color w:val="0000FF"/>
      <w:u w:val="single"/>
    </w:rPr>
  </w:style>
  <w:style w:type="character" w:customStyle="1" w:styleId="58cm">
    <w:name w:val="_58cm"/>
    <w:basedOn w:val="Carpredefinitoparagrafo"/>
    <w:rsid w:val="00EC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2020-04-27T09:35:00Z</dcterms:created>
  <dcterms:modified xsi:type="dcterms:W3CDTF">2020-04-27T09:42:00Z</dcterms:modified>
</cp:coreProperties>
</file>