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E5639" w14:textId="77777777" w:rsidR="00911F62" w:rsidRDefault="00911F62" w:rsidP="00911F62">
      <w:pPr>
        <w:spacing w:after="0" w:line="240" w:lineRule="auto"/>
        <w:jc w:val="both"/>
        <w:rPr>
          <w:rFonts w:ascii="Times New Roman" w:hAnsi="Times New Roman" w:cs="Times New Roman"/>
          <w:color w:val="000000"/>
          <w:sz w:val="24"/>
          <w:szCs w:val="24"/>
        </w:rPr>
      </w:pPr>
      <w:r>
        <w:rPr>
          <w:rFonts w:ascii="Arial" w:hAnsi="Arial" w:cs="Arial"/>
          <w:b/>
          <w:bCs/>
          <w:color w:val="000000"/>
          <w:sz w:val="24"/>
          <w:szCs w:val="24"/>
        </w:rPr>
        <w:t>COMUNICATO STAMPA </w:t>
      </w:r>
    </w:p>
    <w:p w14:paraId="559EBA4C" w14:textId="77777777" w:rsidR="00911F62" w:rsidRDefault="00911F62" w:rsidP="00911F62">
      <w:pPr>
        <w:spacing w:after="0" w:line="240" w:lineRule="auto"/>
        <w:jc w:val="both"/>
        <w:rPr>
          <w:rFonts w:ascii="Times New Roman" w:hAnsi="Times New Roman" w:cs="Times New Roman"/>
          <w:color w:val="000000"/>
          <w:sz w:val="24"/>
          <w:szCs w:val="24"/>
        </w:rPr>
      </w:pPr>
      <w:r>
        <w:rPr>
          <w:rFonts w:ascii="Arial" w:hAnsi="Arial" w:cs="Arial"/>
          <w:b/>
          <w:bCs/>
          <w:color w:val="000000"/>
          <w:sz w:val="24"/>
          <w:szCs w:val="24"/>
        </w:rPr>
        <w:t> </w:t>
      </w:r>
    </w:p>
    <w:p w14:paraId="455DDD89" w14:textId="77777777" w:rsidR="00911F62" w:rsidRDefault="00911F62" w:rsidP="00911F62">
      <w:pPr>
        <w:pStyle w:val="xmsonormal"/>
        <w:shd w:val="clear" w:color="auto" w:fill="FFFFFF"/>
        <w:jc w:val="both"/>
        <w:rPr>
          <w:rFonts w:ascii="Times New Roman" w:hAnsi="Times New Roman" w:cs="Times New Roman"/>
          <w:color w:val="000000"/>
          <w:sz w:val="24"/>
          <w:szCs w:val="24"/>
        </w:rPr>
      </w:pPr>
      <w:r>
        <w:rPr>
          <w:rFonts w:ascii="Arial" w:hAnsi="Arial" w:cs="Arial"/>
          <w:b/>
          <w:bCs/>
          <w:color w:val="201F1E"/>
          <w:sz w:val="24"/>
          <w:szCs w:val="24"/>
          <w:bdr w:val="none" w:sz="0" w:space="0" w:color="auto" w:frame="1"/>
        </w:rPr>
        <w:t>COVID: COMMERCIALISTI, IL CRITERIO ECONOMICO PER UNA RENDICONTAZIONE OMOGENEA DELLE STRUTTURE SANITARIE PRIVATE ACCREDITATE</w:t>
      </w:r>
      <w:r>
        <w:rPr>
          <w:color w:val="201F1E"/>
          <w:sz w:val="24"/>
          <w:szCs w:val="24"/>
        </w:rPr>
        <w:t> </w:t>
      </w:r>
    </w:p>
    <w:p w14:paraId="1027189D" w14:textId="77777777" w:rsidR="00911F62" w:rsidRDefault="00911F62" w:rsidP="00911F62">
      <w:pPr>
        <w:pStyle w:val="xmsonormal"/>
        <w:shd w:val="clear" w:color="auto" w:fill="FFFFFF"/>
        <w:jc w:val="both"/>
        <w:rPr>
          <w:rFonts w:ascii="Times New Roman" w:hAnsi="Times New Roman" w:cs="Times New Roman"/>
          <w:color w:val="000000"/>
          <w:sz w:val="24"/>
          <w:szCs w:val="24"/>
        </w:rPr>
      </w:pPr>
      <w:bookmarkStart w:id="0" w:name="_GoBack"/>
      <w:bookmarkEnd w:id="0"/>
      <w:r>
        <w:rPr>
          <w:rFonts w:ascii="Arial" w:hAnsi="Arial" w:cs="Arial"/>
          <w:b/>
          <w:bCs/>
          <w:color w:val="201F1E"/>
          <w:sz w:val="24"/>
          <w:szCs w:val="24"/>
          <w:bdr w:val="none" w:sz="0" w:space="0" w:color="auto" w:frame="1"/>
        </w:rPr>
        <w:t>Le linee guida del Consiglio e della Fondazione nazionali della categoria per determinare i costi fissi ai fini del contributo </w:t>
      </w:r>
      <w:r>
        <w:rPr>
          <w:rFonts w:ascii="Arial" w:hAnsi="Arial" w:cs="Arial"/>
          <w:b/>
          <w:bCs/>
          <w:i/>
          <w:iCs/>
          <w:color w:val="201F1E"/>
          <w:sz w:val="24"/>
          <w:szCs w:val="24"/>
          <w:bdr w:val="none" w:sz="0" w:space="0" w:color="auto" w:frame="1"/>
        </w:rPr>
        <w:t>una tantum </w:t>
      </w:r>
      <w:r>
        <w:rPr>
          <w:rFonts w:ascii="Arial" w:hAnsi="Arial" w:cs="Arial"/>
          <w:b/>
          <w:bCs/>
          <w:color w:val="201F1E"/>
          <w:sz w:val="24"/>
          <w:szCs w:val="24"/>
          <w:bdr w:val="none" w:sz="0" w:space="0" w:color="auto" w:frame="1"/>
        </w:rPr>
        <w:t>previsto dal Decreto Ristori bis </w:t>
      </w:r>
    </w:p>
    <w:p w14:paraId="46E806F7" w14:textId="77777777" w:rsidR="00911F62" w:rsidRDefault="00911F62" w:rsidP="00911F62">
      <w:pPr>
        <w:pStyle w:val="xmsonormal"/>
        <w:shd w:val="clear" w:color="auto" w:fill="FFFFFF"/>
        <w:jc w:val="both"/>
        <w:rPr>
          <w:rFonts w:ascii="Times New Roman" w:hAnsi="Times New Roman" w:cs="Times New Roman"/>
          <w:color w:val="000000"/>
          <w:sz w:val="24"/>
          <w:szCs w:val="24"/>
        </w:rPr>
      </w:pPr>
      <w:r>
        <w:rPr>
          <w:color w:val="201F1E"/>
          <w:sz w:val="24"/>
          <w:szCs w:val="24"/>
        </w:rPr>
        <w:t> </w:t>
      </w:r>
    </w:p>
    <w:p w14:paraId="4E6019F5" w14:textId="77777777" w:rsidR="00911F62" w:rsidRDefault="00911F62" w:rsidP="00911F62">
      <w:pPr>
        <w:spacing w:after="0" w:line="240" w:lineRule="auto"/>
        <w:jc w:val="both"/>
        <w:rPr>
          <w:rFonts w:ascii="Times New Roman" w:hAnsi="Times New Roman" w:cs="Times New Roman"/>
          <w:color w:val="000000"/>
          <w:sz w:val="24"/>
          <w:szCs w:val="24"/>
        </w:rPr>
      </w:pPr>
      <w:r>
        <w:rPr>
          <w:rFonts w:ascii="Arial" w:hAnsi="Arial" w:cs="Arial"/>
          <w:i/>
          <w:iCs/>
          <w:color w:val="201F1E"/>
          <w:sz w:val="24"/>
          <w:szCs w:val="24"/>
          <w:bdr w:val="none" w:sz="0" w:space="0" w:color="auto" w:frame="1"/>
        </w:rPr>
        <w:t>Roma, 23 dicembre 2020</w:t>
      </w:r>
      <w:r>
        <w:rPr>
          <w:rFonts w:ascii="Arial" w:hAnsi="Arial" w:cs="Arial"/>
          <w:color w:val="201F1E"/>
          <w:sz w:val="24"/>
          <w:szCs w:val="24"/>
          <w:bdr w:val="none" w:sz="0" w:space="0" w:color="auto" w:frame="1"/>
        </w:rPr>
        <w:t> – Il Consiglio e la Fondazione nazionali dei commercialisti hanno pubblicato il documento “</w:t>
      </w:r>
      <w:r>
        <w:rPr>
          <w:rFonts w:ascii="Arial" w:hAnsi="Arial" w:cs="Arial"/>
          <w:b/>
          <w:bCs/>
          <w:color w:val="201F1E"/>
          <w:sz w:val="24"/>
          <w:szCs w:val="24"/>
          <w:bdr w:val="none" w:sz="0" w:space="0" w:color="auto" w:frame="1"/>
        </w:rPr>
        <w:t>La rendicontazione dei costi nelle strutture private accreditate delle Regioni ai tempi del Covid</w:t>
      </w:r>
      <w:r>
        <w:rPr>
          <w:rFonts w:ascii="Arial" w:hAnsi="Arial" w:cs="Arial"/>
          <w:color w:val="201F1E"/>
          <w:sz w:val="24"/>
          <w:szCs w:val="24"/>
          <w:bdr w:val="none" w:sz="0" w:space="0" w:color="auto" w:frame="1"/>
        </w:rPr>
        <w:t xml:space="preserve">”, un approfondimento </w:t>
      </w:r>
      <w:r>
        <w:rPr>
          <w:rFonts w:ascii="Arial" w:hAnsi="Arial" w:cs="Arial"/>
          <w:b/>
          <w:bCs/>
          <w:color w:val="201F1E"/>
          <w:sz w:val="24"/>
          <w:szCs w:val="24"/>
          <w:bdr w:val="none" w:sz="0" w:space="0" w:color="auto" w:frame="1"/>
        </w:rPr>
        <w:t>sull’art. 9 “Prestazioni acquistate dal Sistema sanitario nazionale da privati accreditati” del decreto Ristori bis</w:t>
      </w:r>
      <w:r>
        <w:rPr>
          <w:rFonts w:ascii="Arial" w:hAnsi="Arial" w:cs="Arial"/>
          <w:color w:val="201F1E"/>
          <w:sz w:val="24"/>
          <w:szCs w:val="24"/>
          <w:bdr w:val="none" w:sz="0" w:space="0" w:color="auto" w:frame="1"/>
        </w:rPr>
        <w:t xml:space="preserve">, convertito in legge senza modifiche, nel quale individuano nel </w:t>
      </w:r>
      <w:r>
        <w:rPr>
          <w:rFonts w:ascii="Arial" w:hAnsi="Arial" w:cs="Arial"/>
          <w:b/>
          <w:bCs/>
          <w:color w:val="201F1E"/>
          <w:sz w:val="24"/>
          <w:szCs w:val="24"/>
          <w:bdr w:val="none" w:sz="0" w:space="0" w:color="auto" w:frame="1"/>
        </w:rPr>
        <w:t>criterio economico</w:t>
      </w:r>
      <w:r>
        <w:rPr>
          <w:rFonts w:ascii="Arial" w:hAnsi="Arial" w:cs="Arial"/>
          <w:color w:val="201F1E"/>
          <w:sz w:val="24"/>
          <w:szCs w:val="24"/>
          <w:bdr w:val="none" w:sz="0" w:space="0" w:color="auto" w:frame="1"/>
        </w:rPr>
        <w:t xml:space="preserve"> una rendicontazione </w:t>
      </w:r>
      <w:r>
        <w:rPr>
          <w:rFonts w:ascii="Arial" w:hAnsi="Arial" w:cs="Arial"/>
          <w:b/>
          <w:bCs/>
          <w:color w:val="201F1E"/>
          <w:sz w:val="24"/>
          <w:szCs w:val="24"/>
          <w:bdr w:val="none" w:sz="0" w:space="0" w:color="auto" w:frame="1"/>
        </w:rPr>
        <w:t>corretta e omogenea</w:t>
      </w:r>
      <w:r>
        <w:rPr>
          <w:rFonts w:ascii="Arial" w:hAnsi="Arial" w:cs="Arial"/>
          <w:color w:val="201F1E"/>
          <w:sz w:val="24"/>
          <w:szCs w:val="24"/>
          <w:bdr w:val="none" w:sz="0" w:space="0" w:color="auto" w:frame="1"/>
        </w:rPr>
        <w:t xml:space="preserve"> a livello nazionale dei costi fissi. Obiettivo è quello di evitare </w:t>
      </w:r>
      <w:r>
        <w:rPr>
          <w:rFonts w:ascii="Arial" w:hAnsi="Arial" w:cs="Arial"/>
          <w:b/>
          <w:bCs/>
          <w:color w:val="201F1E"/>
          <w:sz w:val="24"/>
          <w:szCs w:val="24"/>
          <w:bdr w:val="none" w:sz="0" w:space="0" w:color="auto" w:frame="1"/>
        </w:rPr>
        <w:t>difformità di trattamento</w:t>
      </w:r>
      <w:r>
        <w:rPr>
          <w:rFonts w:ascii="Arial" w:hAnsi="Arial" w:cs="Arial"/>
          <w:color w:val="201F1E"/>
          <w:sz w:val="24"/>
          <w:szCs w:val="24"/>
          <w:bdr w:val="none" w:sz="0" w:space="0" w:color="auto" w:frame="1"/>
        </w:rPr>
        <w:t xml:space="preserve"> tra le strutture sanitarie private delle diverse realtà regionali. Il documento è stato realizzato dal Gruppo di lavoro sanità - che ha come referenti </w:t>
      </w:r>
      <w:r>
        <w:rPr>
          <w:rFonts w:ascii="Arial" w:hAnsi="Arial" w:cs="Arial"/>
          <w:b/>
          <w:bCs/>
          <w:color w:val="201F1E"/>
          <w:sz w:val="24"/>
          <w:szCs w:val="24"/>
          <w:bdr w:val="none" w:sz="0" w:space="0" w:color="auto" w:frame="1"/>
        </w:rPr>
        <w:t>Gianluigi Longhi</w:t>
      </w:r>
      <w:r>
        <w:rPr>
          <w:rFonts w:ascii="Arial" w:hAnsi="Arial" w:cs="Arial"/>
          <w:color w:val="201F1E"/>
          <w:sz w:val="24"/>
          <w:szCs w:val="24"/>
          <w:bdr w:val="none" w:sz="0" w:space="0" w:color="auto" w:frame="1"/>
        </w:rPr>
        <w:t xml:space="preserve"> e </w:t>
      </w:r>
      <w:r>
        <w:rPr>
          <w:rFonts w:ascii="Arial" w:hAnsi="Arial" w:cs="Arial"/>
          <w:b/>
          <w:bCs/>
          <w:color w:val="201F1E"/>
          <w:sz w:val="24"/>
          <w:szCs w:val="24"/>
          <w:bdr w:val="none" w:sz="0" w:space="0" w:color="auto" w:frame="1"/>
        </w:rPr>
        <w:t>Carmen Padula</w:t>
      </w:r>
      <w:r>
        <w:rPr>
          <w:rFonts w:ascii="Arial" w:hAnsi="Arial" w:cs="Arial"/>
          <w:color w:val="201F1E"/>
          <w:sz w:val="24"/>
          <w:szCs w:val="24"/>
          <w:bdr w:val="none" w:sz="0" w:space="0" w:color="auto" w:frame="1"/>
        </w:rPr>
        <w:t xml:space="preserve"> – che opera all’interno del Progetto “</w:t>
      </w:r>
      <w:r>
        <w:rPr>
          <w:rFonts w:ascii="Arial" w:hAnsi="Arial" w:cs="Arial"/>
          <w:sz w:val="24"/>
          <w:szCs w:val="24"/>
          <w:bdr w:val="none" w:sz="0" w:space="0" w:color="auto" w:frame="1"/>
        </w:rPr>
        <w:t>A</w:t>
      </w:r>
      <w:r>
        <w:rPr>
          <w:rFonts w:ascii="Arial" w:hAnsi="Arial" w:cs="Arial"/>
          <w:color w:val="201F1E"/>
          <w:sz w:val="24"/>
          <w:szCs w:val="24"/>
          <w:bdr w:val="none" w:sz="0" w:space="0" w:color="auto" w:frame="1"/>
        </w:rPr>
        <w:t xml:space="preserve">ttività d’impresa” del Consiglio nazionale. </w:t>
      </w:r>
      <w:r>
        <w:rPr>
          <w:rStyle w:val="itwtqi23ioopmk3o6ert"/>
          <w:rFonts w:ascii="Arial" w:hAnsi="Arial" w:cs="Arial"/>
          <w:color w:val="000000"/>
          <w:sz w:val="24"/>
          <w:szCs w:val="24"/>
          <w:bdr w:val="none" w:sz="0" w:space="0" w:color="auto" w:frame="1"/>
        </w:rPr>
        <w:t> </w:t>
      </w:r>
    </w:p>
    <w:p w14:paraId="57D098E1" w14:textId="77777777" w:rsidR="00911F62" w:rsidRDefault="00911F62" w:rsidP="00911F62">
      <w:pPr>
        <w:spacing w:after="0" w:line="240" w:lineRule="auto"/>
        <w:jc w:val="both"/>
        <w:rPr>
          <w:rFonts w:ascii="Times New Roman" w:hAnsi="Times New Roman" w:cs="Times New Roman"/>
          <w:color w:val="000000"/>
          <w:sz w:val="24"/>
          <w:szCs w:val="24"/>
        </w:rPr>
      </w:pPr>
      <w:r>
        <w:rPr>
          <w:rStyle w:val="itwtqi23ioopmk3o6ert"/>
          <w:rFonts w:ascii="Arial" w:hAnsi="Arial" w:cs="Arial"/>
          <w:color w:val="000000"/>
          <w:sz w:val="24"/>
          <w:szCs w:val="24"/>
          <w:bdr w:val="none" w:sz="0" w:space="0" w:color="auto" w:frame="1"/>
        </w:rPr>
        <w:t> </w:t>
      </w:r>
    </w:p>
    <w:p w14:paraId="7885D783" w14:textId="77777777" w:rsidR="00911F62" w:rsidRDefault="00911F62" w:rsidP="00911F62">
      <w:pPr>
        <w:spacing w:after="0" w:line="240" w:lineRule="auto"/>
        <w:jc w:val="both"/>
        <w:rPr>
          <w:rFonts w:ascii="Times New Roman" w:hAnsi="Times New Roman" w:cs="Times New Roman"/>
          <w:color w:val="000000"/>
          <w:sz w:val="24"/>
          <w:szCs w:val="24"/>
        </w:rPr>
      </w:pPr>
      <w:r>
        <w:rPr>
          <w:rStyle w:val="itwtqi23ioopmk3o6ert"/>
          <w:rFonts w:ascii="Arial" w:hAnsi="Arial" w:cs="Arial"/>
          <w:color w:val="000000"/>
          <w:sz w:val="24"/>
          <w:szCs w:val="24"/>
          <w:bdr w:val="none" w:sz="0" w:space="0" w:color="auto" w:frame="1"/>
        </w:rPr>
        <w:t xml:space="preserve">“In un quadro nazionale molto diversificato da regione a regione – spiega </w:t>
      </w:r>
      <w:r>
        <w:rPr>
          <w:rFonts w:ascii="Arial" w:hAnsi="Arial" w:cs="Arial"/>
          <w:color w:val="201F1E"/>
          <w:sz w:val="24"/>
          <w:szCs w:val="24"/>
          <w:bdr w:val="none" w:sz="0" w:space="0" w:color="auto" w:frame="1"/>
        </w:rPr>
        <w:t>il consigliere segretario del Consiglio nazionale dei commercialisti delegato all’Attività d’impresa</w:t>
      </w:r>
      <w:r>
        <w:rPr>
          <w:rStyle w:val="itwtqi23ioopmk3o6ert"/>
          <w:rFonts w:ascii="Arial" w:hAnsi="Arial" w:cs="Arial"/>
          <w:color w:val="000000"/>
          <w:sz w:val="24"/>
          <w:szCs w:val="24"/>
          <w:bdr w:val="none" w:sz="0" w:space="0" w:color="auto" w:frame="1"/>
        </w:rPr>
        <w:t xml:space="preserve">, </w:t>
      </w:r>
      <w:r>
        <w:rPr>
          <w:rStyle w:val="itwtqi23ioopmk3o6ert"/>
          <w:rFonts w:ascii="Arial" w:hAnsi="Arial" w:cs="Arial"/>
          <w:b/>
          <w:bCs/>
          <w:color w:val="000000"/>
          <w:sz w:val="24"/>
          <w:szCs w:val="24"/>
          <w:bdr w:val="none" w:sz="0" w:space="0" w:color="auto" w:frame="1"/>
        </w:rPr>
        <w:t>Achille Coppola</w:t>
      </w:r>
      <w:r>
        <w:rPr>
          <w:rStyle w:val="itwtqi23ioopmk3o6ert"/>
          <w:rFonts w:ascii="Arial" w:hAnsi="Arial" w:cs="Arial"/>
          <w:color w:val="000000"/>
          <w:sz w:val="24"/>
          <w:szCs w:val="24"/>
          <w:bdr w:val="none" w:sz="0" w:space="0" w:color="auto" w:frame="1"/>
        </w:rPr>
        <w:t xml:space="preserve"> – l’importo della sanità privata accreditata si aggira tra i </w:t>
      </w:r>
      <w:r>
        <w:rPr>
          <w:rStyle w:val="itwtqi23ioopmk3o6ert"/>
          <w:rFonts w:ascii="Arial" w:hAnsi="Arial" w:cs="Arial"/>
          <w:b/>
          <w:bCs/>
          <w:color w:val="000000"/>
          <w:sz w:val="24"/>
          <w:szCs w:val="24"/>
          <w:bdr w:val="none" w:sz="0" w:space="0" w:color="auto" w:frame="1"/>
        </w:rPr>
        <w:t>22 d i 25 miliardi di euro</w:t>
      </w:r>
      <w:r>
        <w:rPr>
          <w:rStyle w:val="itwtqi23ioopmk3o6ert"/>
          <w:rFonts w:ascii="Arial" w:hAnsi="Arial" w:cs="Arial"/>
          <w:color w:val="000000"/>
          <w:sz w:val="24"/>
          <w:szCs w:val="24"/>
          <w:bdr w:val="none" w:sz="0" w:space="0" w:color="auto" w:frame="1"/>
        </w:rPr>
        <w:t>, con un</w:t>
      </w:r>
      <w:r>
        <w:rPr>
          <w:rStyle w:val="itwtqi23ioopmk3o6ert"/>
          <w:rFonts w:ascii="Arial" w:hAnsi="Arial" w:cs="Arial"/>
          <w:sz w:val="24"/>
          <w:szCs w:val="24"/>
          <w:bdr w:val="none" w:sz="0" w:space="0" w:color="auto" w:frame="1"/>
        </w:rPr>
        <w:t>’</w:t>
      </w:r>
      <w:r>
        <w:rPr>
          <w:rStyle w:val="itwtqi23ioopmk3o6ert"/>
          <w:rFonts w:ascii="Arial" w:hAnsi="Arial" w:cs="Arial"/>
          <w:b/>
          <w:bCs/>
          <w:color w:val="000000"/>
          <w:sz w:val="24"/>
          <w:szCs w:val="24"/>
          <w:bdr w:val="none" w:sz="0" w:space="0" w:color="auto" w:frame="1"/>
        </w:rPr>
        <w:t>incidenza media</w:t>
      </w:r>
      <w:r>
        <w:rPr>
          <w:rStyle w:val="itwtqi23ioopmk3o6ert"/>
          <w:rFonts w:ascii="Arial" w:hAnsi="Arial" w:cs="Arial"/>
          <w:color w:val="000000"/>
          <w:sz w:val="24"/>
          <w:szCs w:val="24"/>
          <w:bdr w:val="none" w:sz="0" w:space="0" w:color="auto" w:frame="1"/>
        </w:rPr>
        <w:t xml:space="preserve"> che va </w:t>
      </w:r>
      <w:r>
        <w:rPr>
          <w:rStyle w:val="itwtqi23ioopmk3o6ert"/>
          <w:rFonts w:ascii="Arial" w:hAnsi="Arial" w:cs="Arial"/>
          <w:b/>
          <w:bCs/>
          <w:color w:val="000000"/>
          <w:sz w:val="24"/>
          <w:szCs w:val="24"/>
          <w:bdr w:val="none" w:sz="0" w:space="0" w:color="auto" w:frame="1"/>
        </w:rPr>
        <w:t>oltre il 20%</w:t>
      </w:r>
      <w:r>
        <w:rPr>
          <w:rStyle w:val="itwtqi23ioopmk3o6ert"/>
          <w:rFonts w:ascii="Arial" w:hAnsi="Arial" w:cs="Arial"/>
          <w:color w:val="000000"/>
          <w:sz w:val="24"/>
          <w:szCs w:val="24"/>
          <w:bdr w:val="none" w:sz="0" w:space="0" w:color="auto" w:frame="1"/>
        </w:rPr>
        <w:t xml:space="preserve"> del totale della spesa complessiva del sistema sanitario nazionale. Parliamo dunque di una realtà enorme, che in alcune grandi regioni come Lazio e Lombardia arriva a rappresentare molto più di quel 20%. Questo documento rappresenta una importante </w:t>
      </w:r>
      <w:r>
        <w:rPr>
          <w:rStyle w:val="itwtqi23ioopmk3o6ert"/>
          <w:rFonts w:ascii="Arial" w:hAnsi="Arial" w:cs="Arial"/>
          <w:b/>
          <w:bCs/>
          <w:color w:val="000000"/>
          <w:sz w:val="24"/>
          <w:szCs w:val="24"/>
          <w:bdr w:val="none" w:sz="0" w:space="0" w:color="auto" w:frame="1"/>
        </w:rPr>
        <w:t>indicazione operativa</w:t>
      </w:r>
      <w:r>
        <w:rPr>
          <w:rStyle w:val="itwtqi23ioopmk3o6ert"/>
          <w:rFonts w:ascii="Arial" w:hAnsi="Arial" w:cs="Arial"/>
          <w:color w:val="000000"/>
          <w:sz w:val="24"/>
          <w:szCs w:val="24"/>
          <w:bdr w:val="none" w:sz="0" w:space="0" w:color="auto" w:frame="1"/>
        </w:rPr>
        <w:t xml:space="preserve"> per la rendicontazione di queste strutture in un anno per loro particolarmente complesso anche dal punto di vista economico”. </w:t>
      </w:r>
      <w:r>
        <w:rPr>
          <w:rFonts w:ascii="Arial" w:hAnsi="Arial" w:cs="Arial"/>
          <w:color w:val="000000"/>
          <w:sz w:val="24"/>
          <w:szCs w:val="24"/>
          <w:bdr w:val="none" w:sz="0" w:space="0" w:color="auto" w:frame="1"/>
        </w:rPr>
        <w:t> </w:t>
      </w:r>
    </w:p>
    <w:p w14:paraId="41A9AC62" w14:textId="77777777" w:rsidR="00911F62" w:rsidRDefault="00911F62" w:rsidP="00911F62">
      <w:pPr>
        <w:pStyle w:val="xmsonormal"/>
        <w:shd w:val="clear" w:color="auto" w:fill="FFFFFF"/>
        <w:jc w:val="both"/>
        <w:rPr>
          <w:rFonts w:ascii="Times New Roman" w:hAnsi="Times New Roman" w:cs="Times New Roman"/>
          <w:color w:val="000000"/>
          <w:sz w:val="24"/>
          <w:szCs w:val="24"/>
        </w:rPr>
      </w:pPr>
      <w:r>
        <w:rPr>
          <w:rFonts w:ascii="Arial" w:hAnsi="Arial" w:cs="Arial"/>
          <w:color w:val="201F1E"/>
          <w:sz w:val="24"/>
          <w:szCs w:val="24"/>
          <w:bdr w:val="none" w:sz="0" w:space="0" w:color="auto" w:frame="1"/>
        </w:rPr>
        <w:t> </w:t>
      </w:r>
      <w:r>
        <w:rPr>
          <w:color w:val="201F1E"/>
          <w:sz w:val="24"/>
          <w:szCs w:val="24"/>
        </w:rPr>
        <w:t> </w:t>
      </w:r>
    </w:p>
    <w:p w14:paraId="254705BE" w14:textId="77777777" w:rsidR="00911F62" w:rsidRDefault="00911F62" w:rsidP="00911F62">
      <w:pPr>
        <w:pStyle w:val="xmsonormal"/>
        <w:shd w:val="clear" w:color="auto" w:fill="FFFFFF"/>
        <w:jc w:val="both"/>
        <w:rPr>
          <w:rFonts w:ascii="Times New Roman" w:hAnsi="Times New Roman" w:cs="Times New Roman"/>
          <w:color w:val="000000"/>
          <w:sz w:val="24"/>
          <w:szCs w:val="24"/>
        </w:rPr>
      </w:pPr>
      <w:r>
        <w:rPr>
          <w:rFonts w:ascii="Arial" w:hAnsi="Arial" w:cs="Arial"/>
          <w:color w:val="201F1E"/>
          <w:sz w:val="24"/>
          <w:szCs w:val="24"/>
          <w:bdr w:val="none" w:sz="0" w:space="0" w:color="auto" w:frame="1"/>
        </w:rPr>
        <w:t xml:space="preserve">A causa dell’emergenza epidemiologica, nel corso del 2020 le strutture sanitarie private accreditate dalle Regioni hanno infatti registrato una </w:t>
      </w:r>
      <w:r>
        <w:rPr>
          <w:rFonts w:ascii="Arial" w:hAnsi="Arial" w:cs="Arial"/>
          <w:b/>
          <w:bCs/>
          <w:color w:val="201F1E"/>
          <w:sz w:val="24"/>
          <w:szCs w:val="24"/>
          <w:bdr w:val="none" w:sz="0" w:space="0" w:color="auto" w:frame="1"/>
        </w:rPr>
        <w:t>contrazione dell’attività e dei volumi</w:t>
      </w:r>
      <w:r>
        <w:rPr>
          <w:rFonts w:ascii="Arial" w:hAnsi="Arial" w:cs="Arial"/>
          <w:color w:val="201F1E"/>
          <w:sz w:val="24"/>
          <w:szCs w:val="24"/>
          <w:bdr w:val="none" w:sz="0" w:space="0" w:color="auto" w:frame="1"/>
        </w:rPr>
        <w:t xml:space="preserve"> di prestazioni erogati rispetto a quelli definiti dalle relative convenzioni. Per questo motivo, il governo ha riconosciuto un </w:t>
      </w:r>
      <w:r>
        <w:rPr>
          <w:rFonts w:ascii="Arial" w:hAnsi="Arial" w:cs="Arial"/>
          <w:b/>
          <w:bCs/>
          <w:color w:val="201F1E"/>
          <w:sz w:val="24"/>
          <w:szCs w:val="24"/>
          <w:bdr w:val="none" w:sz="0" w:space="0" w:color="auto" w:frame="1"/>
        </w:rPr>
        <w:t>contributo </w:t>
      </w:r>
      <w:r>
        <w:rPr>
          <w:rFonts w:ascii="Arial" w:hAnsi="Arial" w:cs="Arial"/>
          <w:b/>
          <w:bCs/>
          <w:i/>
          <w:iCs/>
          <w:color w:val="201F1E"/>
          <w:sz w:val="24"/>
          <w:szCs w:val="24"/>
          <w:bdr w:val="none" w:sz="0" w:space="0" w:color="auto" w:frame="1"/>
        </w:rPr>
        <w:t>una tantum</w:t>
      </w:r>
      <w:r>
        <w:rPr>
          <w:rFonts w:ascii="Arial" w:hAnsi="Arial" w:cs="Arial"/>
          <w:i/>
          <w:iCs/>
          <w:color w:val="201F1E"/>
          <w:sz w:val="24"/>
          <w:szCs w:val="24"/>
          <w:bdr w:val="none" w:sz="0" w:space="0" w:color="auto" w:frame="1"/>
        </w:rPr>
        <w:t> </w:t>
      </w:r>
      <w:r>
        <w:rPr>
          <w:rFonts w:ascii="Arial" w:hAnsi="Arial" w:cs="Arial"/>
          <w:color w:val="201F1E"/>
          <w:sz w:val="24"/>
          <w:szCs w:val="24"/>
          <w:bdr w:val="none" w:sz="0" w:space="0" w:color="auto" w:frame="1"/>
        </w:rPr>
        <w:t>a tutte le strutture private accreditate che, in virtù dei provvedimenti regionali, abbiano sospeso le attività ambulatoriali e di ricovero a causa del Covid-19.</w:t>
      </w:r>
      <w:r>
        <w:rPr>
          <w:color w:val="201F1E"/>
          <w:sz w:val="24"/>
          <w:szCs w:val="24"/>
        </w:rPr>
        <w:t> </w:t>
      </w:r>
    </w:p>
    <w:p w14:paraId="30B41135" w14:textId="77777777" w:rsidR="00911F62" w:rsidRDefault="00911F62" w:rsidP="00911F62">
      <w:pPr>
        <w:pStyle w:val="xmsonormal"/>
        <w:shd w:val="clear" w:color="auto" w:fill="FFFFFF"/>
        <w:jc w:val="both"/>
        <w:rPr>
          <w:rFonts w:ascii="Times New Roman" w:hAnsi="Times New Roman" w:cs="Times New Roman"/>
          <w:color w:val="000000"/>
          <w:sz w:val="24"/>
          <w:szCs w:val="24"/>
        </w:rPr>
      </w:pPr>
      <w:r>
        <w:rPr>
          <w:rFonts w:ascii="Arial" w:hAnsi="Arial" w:cs="Arial"/>
          <w:color w:val="201F1E"/>
          <w:sz w:val="24"/>
          <w:szCs w:val="24"/>
          <w:bdr w:val="none" w:sz="0" w:space="0" w:color="auto" w:frame="1"/>
        </w:rPr>
        <w:t> </w:t>
      </w:r>
      <w:r>
        <w:rPr>
          <w:color w:val="201F1E"/>
          <w:sz w:val="24"/>
          <w:szCs w:val="24"/>
        </w:rPr>
        <w:t> </w:t>
      </w:r>
    </w:p>
    <w:p w14:paraId="0704E72A" w14:textId="77777777" w:rsidR="00911F62" w:rsidRDefault="00911F62" w:rsidP="00911F62">
      <w:pPr>
        <w:pStyle w:val="xmsonormal"/>
        <w:shd w:val="clear" w:color="auto" w:fill="FFFFFF"/>
        <w:jc w:val="both"/>
        <w:rPr>
          <w:rFonts w:ascii="Times New Roman" w:hAnsi="Times New Roman" w:cs="Times New Roman"/>
          <w:color w:val="000000"/>
          <w:sz w:val="24"/>
          <w:szCs w:val="24"/>
        </w:rPr>
      </w:pPr>
      <w:r>
        <w:rPr>
          <w:rFonts w:ascii="Arial" w:hAnsi="Arial" w:cs="Arial"/>
          <w:color w:val="201F1E"/>
          <w:sz w:val="24"/>
          <w:szCs w:val="24"/>
          <w:bdr w:val="none" w:sz="0" w:space="0" w:color="auto" w:frame="1"/>
        </w:rPr>
        <w:t xml:space="preserve">Il documento dei commercialisti, dopo una panoramica sul </w:t>
      </w:r>
      <w:r>
        <w:rPr>
          <w:rFonts w:ascii="Arial" w:hAnsi="Arial" w:cs="Arial"/>
          <w:b/>
          <w:bCs/>
          <w:color w:val="201F1E"/>
          <w:sz w:val="24"/>
          <w:szCs w:val="24"/>
          <w:bdr w:val="none" w:sz="0" w:space="0" w:color="auto" w:frame="1"/>
        </w:rPr>
        <w:t>riconoscimento dell’indennizzo e sull’ambito temporale di applicazione</w:t>
      </w:r>
      <w:r>
        <w:rPr>
          <w:rFonts w:ascii="Arial" w:hAnsi="Arial" w:cs="Arial"/>
          <w:color w:val="201F1E"/>
          <w:sz w:val="24"/>
          <w:szCs w:val="24"/>
          <w:bdr w:val="none" w:sz="0" w:space="0" w:color="auto" w:frame="1"/>
        </w:rPr>
        <w:t xml:space="preserve">, affronta il tema della individuazione e della determinazione dei </w:t>
      </w:r>
      <w:r>
        <w:rPr>
          <w:rFonts w:ascii="Arial" w:hAnsi="Arial" w:cs="Arial"/>
          <w:b/>
          <w:bCs/>
          <w:color w:val="201F1E"/>
          <w:sz w:val="24"/>
          <w:szCs w:val="24"/>
          <w:bdr w:val="none" w:sz="0" w:space="0" w:color="auto" w:frame="1"/>
        </w:rPr>
        <w:t>costi fissi</w:t>
      </w:r>
      <w:r>
        <w:rPr>
          <w:rFonts w:ascii="Arial" w:hAnsi="Arial" w:cs="Arial"/>
          <w:color w:val="201F1E"/>
          <w:sz w:val="24"/>
          <w:szCs w:val="24"/>
          <w:bdr w:val="none" w:sz="0" w:space="0" w:color="auto" w:frame="1"/>
        </w:rPr>
        <w:t xml:space="preserve"> oggetto di ristoro da parte del decreto. In particolare, il documento si sofferma sull’art. 9 del Ristori bis che ha modificato l’art. 4 del decreto Rilancio introducendo due nuovi commi (5-bis e 5-ter).</w:t>
      </w:r>
      <w:r>
        <w:rPr>
          <w:color w:val="201F1E"/>
          <w:sz w:val="24"/>
          <w:szCs w:val="24"/>
        </w:rPr>
        <w:t> </w:t>
      </w:r>
    </w:p>
    <w:p w14:paraId="6224DF9E" w14:textId="77777777" w:rsidR="00911F62" w:rsidRDefault="00911F62" w:rsidP="00911F62">
      <w:pPr>
        <w:pStyle w:val="xmsonormal"/>
        <w:shd w:val="clear" w:color="auto" w:fill="FFFFFF"/>
        <w:jc w:val="both"/>
        <w:rPr>
          <w:rFonts w:ascii="Times New Roman" w:hAnsi="Times New Roman" w:cs="Times New Roman"/>
          <w:color w:val="000000"/>
          <w:sz w:val="24"/>
          <w:szCs w:val="24"/>
        </w:rPr>
      </w:pPr>
      <w:r>
        <w:rPr>
          <w:rFonts w:ascii="Arial" w:hAnsi="Arial" w:cs="Arial"/>
          <w:color w:val="201F1E"/>
          <w:sz w:val="24"/>
          <w:szCs w:val="24"/>
          <w:bdr w:val="none" w:sz="0" w:space="0" w:color="auto" w:frame="1"/>
        </w:rPr>
        <w:t> </w:t>
      </w:r>
      <w:r>
        <w:rPr>
          <w:color w:val="201F1E"/>
          <w:sz w:val="24"/>
          <w:szCs w:val="24"/>
        </w:rPr>
        <w:t> </w:t>
      </w:r>
    </w:p>
    <w:p w14:paraId="3BA3946E" w14:textId="77777777" w:rsidR="00911F62" w:rsidRDefault="00911F62" w:rsidP="00911F62">
      <w:pPr>
        <w:pStyle w:val="xmsonormal"/>
        <w:shd w:val="clear" w:color="auto" w:fill="FFFFFF"/>
        <w:jc w:val="both"/>
        <w:rPr>
          <w:rFonts w:ascii="Times New Roman" w:hAnsi="Times New Roman" w:cs="Times New Roman"/>
          <w:color w:val="000000"/>
          <w:sz w:val="24"/>
          <w:szCs w:val="24"/>
        </w:rPr>
      </w:pPr>
      <w:r>
        <w:rPr>
          <w:rFonts w:ascii="Arial" w:hAnsi="Arial" w:cs="Arial"/>
          <w:color w:val="201F1E"/>
          <w:sz w:val="24"/>
          <w:szCs w:val="24"/>
          <w:bdr w:val="none" w:sz="0" w:space="0" w:color="auto" w:frame="1"/>
        </w:rPr>
        <w:t>Il comma 5-</w:t>
      </w:r>
      <w:r>
        <w:rPr>
          <w:rFonts w:ascii="Arial" w:hAnsi="Arial" w:cs="Arial"/>
          <w:i/>
          <w:iCs/>
          <w:color w:val="201F1E"/>
          <w:sz w:val="24"/>
          <w:szCs w:val="24"/>
          <w:bdr w:val="none" w:sz="0" w:space="0" w:color="auto" w:frame="1"/>
        </w:rPr>
        <w:t>bis</w:t>
      </w:r>
      <w:r>
        <w:rPr>
          <w:rFonts w:ascii="Arial" w:hAnsi="Arial" w:cs="Arial"/>
          <w:color w:val="201F1E"/>
          <w:sz w:val="24"/>
          <w:szCs w:val="24"/>
          <w:bdr w:val="none" w:sz="0" w:space="0" w:color="auto" w:frame="1"/>
        </w:rPr>
        <w:t> ha riconosciuto un contributo </w:t>
      </w:r>
      <w:r>
        <w:rPr>
          <w:rFonts w:ascii="Arial" w:hAnsi="Arial" w:cs="Arial"/>
          <w:i/>
          <w:iCs/>
          <w:color w:val="201F1E"/>
          <w:sz w:val="24"/>
          <w:szCs w:val="24"/>
          <w:bdr w:val="none" w:sz="0" w:space="0" w:color="auto" w:frame="1"/>
        </w:rPr>
        <w:t>una tantum </w:t>
      </w:r>
      <w:r>
        <w:rPr>
          <w:rFonts w:ascii="Arial" w:hAnsi="Arial" w:cs="Arial"/>
          <w:color w:val="201F1E"/>
          <w:sz w:val="24"/>
          <w:szCs w:val="24"/>
          <w:bdr w:val="none" w:sz="0" w:space="0" w:color="auto" w:frame="1"/>
        </w:rPr>
        <w:t xml:space="preserve">a tutte le strutture private accreditate che, in virtù dei provvedimenti regionali, abbiano sospeso, per effetto del Covid-19, le attività ambulatoriali e di ricovero previste per il 2020. Pertanto, le Regioni e le Province Autonome di Trento e Bolzano potranno riconoscere a tali strutture private fino ad </w:t>
      </w:r>
      <w:r>
        <w:rPr>
          <w:rFonts w:ascii="Arial" w:hAnsi="Arial" w:cs="Arial"/>
          <w:color w:val="201F1E"/>
          <w:sz w:val="24"/>
          <w:szCs w:val="24"/>
          <w:bdr w:val="none" w:sz="0" w:space="0" w:color="auto" w:frame="1"/>
        </w:rPr>
        <w:lastRenderedPageBreak/>
        <w:t xml:space="preserve">un </w:t>
      </w:r>
      <w:r>
        <w:rPr>
          <w:rFonts w:ascii="Arial" w:hAnsi="Arial" w:cs="Arial"/>
          <w:b/>
          <w:bCs/>
          <w:color w:val="201F1E"/>
          <w:sz w:val="24"/>
          <w:szCs w:val="24"/>
          <w:bdr w:val="none" w:sz="0" w:space="0" w:color="auto" w:frame="1"/>
        </w:rPr>
        <w:t>massimo del 90% del </w:t>
      </w:r>
      <w:r>
        <w:rPr>
          <w:rFonts w:ascii="Arial" w:hAnsi="Arial" w:cs="Arial"/>
          <w:b/>
          <w:bCs/>
          <w:i/>
          <w:iCs/>
          <w:color w:val="201F1E"/>
          <w:sz w:val="24"/>
          <w:szCs w:val="24"/>
          <w:bdr w:val="none" w:sz="0" w:space="0" w:color="auto" w:frame="1"/>
        </w:rPr>
        <w:t>budget</w:t>
      </w:r>
      <w:r>
        <w:rPr>
          <w:rFonts w:ascii="Arial" w:hAnsi="Arial" w:cs="Arial"/>
          <w:color w:val="201F1E"/>
          <w:sz w:val="24"/>
          <w:szCs w:val="24"/>
          <w:bdr w:val="none" w:sz="0" w:space="0" w:color="auto" w:frame="1"/>
        </w:rPr>
        <w:t> assegnato nell’ambito degli accordi e dei contratti stipulati per l’anno 2020.</w:t>
      </w:r>
      <w:r>
        <w:rPr>
          <w:color w:val="201F1E"/>
          <w:sz w:val="24"/>
          <w:szCs w:val="24"/>
        </w:rPr>
        <w:t> </w:t>
      </w:r>
    </w:p>
    <w:p w14:paraId="0D82063F" w14:textId="77777777" w:rsidR="00911F62" w:rsidRDefault="00911F62" w:rsidP="00911F62">
      <w:pPr>
        <w:pStyle w:val="xmsonormal"/>
        <w:shd w:val="clear" w:color="auto" w:fill="FFFFFF"/>
        <w:jc w:val="both"/>
        <w:rPr>
          <w:rFonts w:ascii="Times New Roman" w:hAnsi="Times New Roman" w:cs="Times New Roman"/>
          <w:color w:val="000000"/>
          <w:sz w:val="24"/>
          <w:szCs w:val="24"/>
        </w:rPr>
      </w:pPr>
      <w:r>
        <w:rPr>
          <w:rFonts w:ascii="Arial" w:hAnsi="Arial" w:cs="Arial"/>
          <w:color w:val="201F1E"/>
          <w:sz w:val="24"/>
          <w:szCs w:val="24"/>
          <w:bdr w:val="none" w:sz="0" w:space="0" w:color="auto" w:frame="1"/>
        </w:rPr>
        <w:t> </w:t>
      </w:r>
      <w:r>
        <w:rPr>
          <w:color w:val="201F1E"/>
          <w:sz w:val="24"/>
          <w:szCs w:val="24"/>
        </w:rPr>
        <w:t> </w:t>
      </w:r>
    </w:p>
    <w:p w14:paraId="503660E6" w14:textId="77777777" w:rsidR="00911F62" w:rsidRDefault="00911F62" w:rsidP="00911F62">
      <w:pPr>
        <w:pStyle w:val="xmsonormal"/>
        <w:shd w:val="clear" w:color="auto" w:fill="FFFFFF"/>
        <w:jc w:val="both"/>
        <w:rPr>
          <w:rFonts w:ascii="Times New Roman" w:hAnsi="Times New Roman" w:cs="Times New Roman"/>
          <w:color w:val="000000"/>
          <w:sz w:val="24"/>
          <w:szCs w:val="24"/>
        </w:rPr>
      </w:pPr>
      <w:r>
        <w:rPr>
          <w:rFonts w:ascii="Arial" w:hAnsi="Arial" w:cs="Arial"/>
          <w:color w:val="201F1E"/>
          <w:sz w:val="24"/>
          <w:szCs w:val="24"/>
          <w:bdr w:val="none" w:sz="0" w:space="0" w:color="auto" w:frame="1"/>
        </w:rPr>
        <w:t xml:space="preserve">Tale riconoscimento dovrà però tenere conto di </w:t>
      </w:r>
      <w:r>
        <w:rPr>
          <w:rFonts w:ascii="Arial" w:hAnsi="Arial" w:cs="Arial"/>
          <w:b/>
          <w:bCs/>
          <w:color w:val="201F1E"/>
          <w:sz w:val="24"/>
          <w:szCs w:val="24"/>
          <w:bdr w:val="none" w:sz="0" w:space="0" w:color="auto" w:frame="1"/>
        </w:rPr>
        <w:t>due elementi</w:t>
      </w:r>
      <w:r>
        <w:rPr>
          <w:rFonts w:ascii="Arial" w:hAnsi="Arial" w:cs="Arial"/>
          <w:color w:val="201F1E"/>
          <w:sz w:val="24"/>
          <w:szCs w:val="24"/>
          <w:bdr w:val="none" w:sz="0" w:space="0" w:color="auto" w:frame="1"/>
        </w:rPr>
        <w:t>. Da una parte,</w:t>
      </w:r>
      <w:r>
        <w:rPr>
          <w:rFonts w:ascii="Arial" w:hAnsi="Arial" w:cs="Arial"/>
          <w:i/>
          <w:iCs/>
          <w:color w:val="201F1E"/>
          <w:sz w:val="24"/>
          <w:szCs w:val="24"/>
          <w:bdr w:val="none" w:sz="0" w:space="0" w:color="auto" w:frame="1"/>
        </w:rPr>
        <w:t> </w:t>
      </w:r>
      <w:r>
        <w:rPr>
          <w:rFonts w:ascii="Arial" w:hAnsi="Arial" w:cs="Arial"/>
          <w:color w:val="201F1E"/>
          <w:sz w:val="24"/>
          <w:szCs w:val="24"/>
          <w:bdr w:val="none" w:sz="0" w:space="0" w:color="auto" w:frame="1"/>
        </w:rPr>
        <w:t>delle attività ordinariamente erogate dalle strutture private accreditate nell’anno in corso - di cui dovrà essere rendicontata l’effettiva produzione -, dall’altra, di un contributo </w:t>
      </w:r>
      <w:r>
        <w:rPr>
          <w:rFonts w:ascii="Arial" w:hAnsi="Arial" w:cs="Arial"/>
          <w:i/>
          <w:iCs/>
          <w:color w:val="201F1E"/>
          <w:sz w:val="24"/>
          <w:szCs w:val="24"/>
          <w:bdr w:val="none" w:sz="0" w:space="0" w:color="auto" w:frame="1"/>
        </w:rPr>
        <w:t>una tantum</w:t>
      </w:r>
      <w:r>
        <w:rPr>
          <w:rFonts w:ascii="Arial" w:hAnsi="Arial" w:cs="Arial"/>
          <w:color w:val="201F1E"/>
          <w:sz w:val="24"/>
          <w:szCs w:val="24"/>
          <w:bdr w:val="none" w:sz="0" w:space="0" w:color="auto" w:frame="1"/>
        </w:rPr>
        <w:t> legato all’emergenza in corso ed erogato a ristoro dei soli costi fissi, sostenuti e rendicontati dalla struttura privata accreditata.</w:t>
      </w:r>
      <w:r>
        <w:rPr>
          <w:color w:val="201F1E"/>
          <w:sz w:val="24"/>
          <w:szCs w:val="24"/>
        </w:rPr>
        <w:t> </w:t>
      </w:r>
    </w:p>
    <w:p w14:paraId="5130325E" w14:textId="77777777" w:rsidR="00911F62" w:rsidRDefault="00911F62" w:rsidP="00911F62">
      <w:pPr>
        <w:pStyle w:val="xmsonormal"/>
        <w:shd w:val="clear" w:color="auto" w:fill="FFFFFF"/>
        <w:jc w:val="both"/>
        <w:rPr>
          <w:rFonts w:ascii="Times New Roman" w:hAnsi="Times New Roman" w:cs="Times New Roman"/>
          <w:color w:val="000000"/>
          <w:sz w:val="24"/>
          <w:szCs w:val="24"/>
        </w:rPr>
      </w:pPr>
      <w:r>
        <w:rPr>
          <w:rFonts w:ascii="Arial" w:hAnsi="Arial" w:cs="Arial"/>
          <w:color w:val="201F1E"/>
          <w:sz w:val="24"/>
          <w:szCs w:val="24"/>
          <w:bdr w:val="none" w:sz="0" w:space="0" w:color="auto" w:frame="1"/>
        </w:rPr>
        <w:t> </w:t>
      </w:r>
      <w:r>
        <w:rPr>
          <w:color w:val="201F1E"/>
          <w:sz w:val="24"/>
          <w:szCs w:val="24"/>
        </w:rPr>
        <w:t> </w:t>
      </w:r>
    </w:p>
    <w:p w14:paraId="41091FAF" w14:textId="77777777" w:rsidR="00911F62" w:rsidRDefault="00911F62" w:rsidP="00911F62">
      <w:pPr>
        <w:pStyle w:val="xmsonormal"/>
        <w:shd w:val="clear" w:color="auto" w:fill="FFFFFF"/>
        <w:jc w:val="both"/>
        <w:rPr>
          <w:rFonts w:ascii="Times New Roman" w:hAnsi="Times New Roman" w:cs="Times New Roman"/>
          <w:color w:val="000000"/>
          <w:sz w:val="24"/>
          <w:szCs w:val="24"/>
        </w:rPr>
      </w:pPr>
      <w:r>
        <w:rPr>
          <w:rFonts w:ascii="Arial" w:hAnsi="Arial" w:cs="Arial"/>
          <w:color w:val="201F1E"/>
          <w:sz w:val="24"/>
          <w:szCs w:val="24"/>
          <w:bdr w:val="none" w:sz="0" w:space="0" w:color="auto" w:frame="1"/>
        </w:rPr>
        <w:t>La disposizione prevista dal decreto Rilancio si applica anche agli acquisti di prestazioni sociosanitarie per la sola parte a rilevanza sanitaria con riferimento alle strutture private accreditate destinatarie di un budget 2020 come riportato nei relativi accordi e contratti stipulati per l’anno 2020 (comma 5-ter).</w:t>
      </w:r>
      <w:r>
        <w:rPr>
          <w:color w:val="201F1E"/>
          <w:sz w:val="24"/>
          <w:szCs w:val="24"/>
        </w:rPr>
        <w:t> </w:t>
      </w:r>
    </w:p>
    <w:p w14:paraId="161146C2" w14:textId="77777777" w:rsidR="00911F62" w:rsidRDefault="00911F62" w:rsidP="00911F62">
      <w:pPr>
        <w:pStyle w:val="Titolo1"/>
        <w:shd w:val="clear" w:color="auto" w:fill="FFFFFF"/>
        <w:spacing w:before="0" w:beforeAutospacing="0" w:after="0" w:afterAutospacing="0"/>
        <w:jc w:val="both"/>
        <w:rPr>
          <w:rFonts w:ascii="Calibri Light" w:eastAsia="Times New Roman" w:hAnsi="Calibri Light" w:cs="Calibri Light"/>
          <w:b w:val="0"/>
          <w:bCs w:val="0"/>
          <w:color w:val="2F5496"/>
          <w:sz w:val="32"/>
          <w:szCs w:val="32"/>
        </w:rPr>
      </w:pPr>
      <w:r>
        <w:rPr>
          <w:rFonts w:ascii="Arial" w:eastAsia="Times New Roman" w:hAnsi="Arial" w:cs="Arial"/>
          <w:b w:val="0"/>
          <w:bCs w:val="0"/>
          <w:color w:val="201F1E"/>
          <w:sz w:val="24"/>
          <w:szCs w:val="24"/>
          <w:bdr w:val="none" w:sz="0" w:space="0" w:color="auto" w:frame="1"/>
        </w:rPr>
        <w:t>  </w:t>
      </w:r>
      <w:r>
        <w:rPr>
          <w:rFonts w:eastAsia="Times New Roman"/>
          <w:b w:val="0"/>
          <w:bCs w:val="0"/>
          <w:color w:val="201F1E"/>
          <w:sz w:val="24"/>
          <w:szCs w:val="24"/>
        </w:rPr>
        <w:t> </w:t>
      </w:r>
    </w:p>
    <w:p w14:paraId="2FD42D36" w14:textId="77777777" w:rsidR="00911F62" w:rsidRDefault="00911F62" w:rsidP="00911F62">
      <w:pPr>
        <w:pStyle w:val="xmsonormal"/>
        <w:shd w:val="clear" w:color="auto" w:fill="FFFFFF"/>
        <w:jc w:val="both"/>
        <w:rPr>
          <w:rFonts w:ascii="Times New Roman" w:hAnsi="Times New Roman" w:cs="Times New Roman"/>
          <w:color w:val="000000"/>
          <w:sz w:val="24"/>
          <w:szCs w:val="24"/>
        </w:rPr>
      </w:pPr>
      <w:r>
        <w:rPr>
          <w:rFonts w:ascii="Arial" w:hAnsi="Arial" w:cs="Arial"/>
          <w:color w:val="201F1E"/>
          <w:sz w:val="24"/>
          <w:szCs w:val="24"/>
          <w:bdr w:val="none" w:sz="0" w:space="0" w:color="auto" w:frame="1"/>
        </w:rPr>
        <w:t>Secondo i commercialisti, è possibile procede</w:t>
      </w:r>
      <w:r>
        <w:rPr>
          <w:rFonts w:ascii="Arial" w:hAnsi="Arial" w:cs="Arial"/>
          <w:color w:val="000000"/>
          <w:sz w:val="24"/>
          <w:szCs w:val="24"/>
          <w:bdr w:val="none" w:sz="0" w:space="0" w:color="auto" w:frame="1"/>
        </w:rPr>
        <w:t>re</w:t>
      </w:r>
      <w:r>
        <w:rPr>
          <w:rFonts w:ascii="Arial" w:hAnsi="Arial" w:cs="Arial"/>
          <w:color w:val="201F1E"/>
          <w:sz w:val="24"/>
          <w:szCs w:val="24"/>
          <w:bdr w:val="none" w:sz="0" w:space="0" w:color="auto" w:frame="1"/>
        </w:rPr>
        <w:t xml:space="preserve"> all’individuazione dei costi fissi attraverso un’elaborazione dei dati le cui fasi essenziali possono sintetizzarsi in due passaggi: individuazione dei </w:t>
      </w:r>
      <w:r>
        <w:rPr>
          <w:rFonts w:ascii="Arial" w:hAnsi="Arial" w:cs="Arial"/>
          <w:b/>
          <w:bCs/>
          <w:color w:val="201F1E"/>
          <w:sz w:val="24"/>
          <w:szCs w:val="24"/>
          <w:bdr w:val="none" w:sz="0" w:space="0" w:color="auto" w:frame="1"/>
        </w:rPr>
        <w:t>costi totali operativi depurati di quei costi non strettamente connessi alla gestione caratteristica; individuazione dei costi variabili diretti</w:t>
      </w:r>
      <w:r>
        <w:rPr>
          <w:rFonts w:ascii="Arial" w:hAnsi="Arial" w:cs="Arial"/>
          <w:color w:val="201F1E"/>
          <w:sz w:val="24"/>
          <w:szCs w:val="24"/>
          <w:bdr w:val="none" w:sz="0" w:space="0" w:color="auto" w:frame="1"/>
        </w:rPr>
        <w:t>. L</w:t>
      </w:r>
      <w:r>
        <w:rPr>
          <w:rFonts w:ascii="Arial" w:hAnsi="Arial" w:cs="Arial"/>
          <w:color w:val="000000"/>
          <w:sz w:val="24"/>
          <w:szCs w:val="24"/>
          <w:bdr w:val="none" w:sz="0" w:space="0" w:color="auto" w:frame="1"/>
        </w:rPr>
        <w:t>’</w:t>
      </w:r>
      <w:r>
        <w:rPr>
          <w:rFonts w:ascii="Arial" w:hAnsi="Arial" w:cs="Arial"/>
          <w:color w:val="201F1E"/>
          <w:sz w:val="24"/>
          <w:szCs w:val="24"/>
          <w:bdr w:val="none" w:sz="0" w:space="0" w:color="auto" w:frame="1"/>
        </w:rPr>
        <w:t xml:space="preserve">identificazione dei “costi fissi” può essere quindi ottenuta, per differenza, tra i </w:t>
      </w:r>
      <w:r>
        <w:rPr>
          <w:rFonts w:ascii="Arial" w:hAnsi="Arial" w:cs="Arial"/>
          <w:b/>
          <w:bCs/>
          <w:color w:val="201F1E"/>
          <w:sz w:val="24"/>
          <w:szCs w:val="24"/>
          <w:bdr w:val="none" w:sz="0" w:space="0" w:color="auto" w:frame="1"/>
        </w:rPr>
        <w:t>costi totali e i costi variabili</w:t>
      </w:r>
      <w:r>
        <w:rPr>
          <w:rFonts w:ascii="Arial" w:hAnsi="Arial" w:cs="Arial"/>
          <w:color w:val="201F1E"/>
          <w:sz w:val="24"/>
          <w:szCs w:val="24"/>
          <w:bdr w:val="none" w:sz="0" w:space="0" w:color="auto" w:frame="1"/>
        </w:rPr>
        <w:t>.</w:t>
      </w:r>
      <w:r>
        <w:rPr>
          <w:color w:val="201F1E"/>
          <w:sz w:val="24"/>
          <w:szCs w:val="24"/>
        </w:rPr>
        <w:t> </w:t>
      </w:r>
    </w:p>
    <w:p w14:paraId="79D734F3" w14:textId="77777777" w:rsidR="00911F62" w:rsidRDefault="00911F62" w:rsidP="00911F62">
      <w:pPr>
        <w:pStyle w:val="xmsonormal"/>
        <w:shd w:val="clear" w:color="auto" w:fill="FFFFFF"/>
        <w:jc w:val="both"/>
        <w:rPr>
          <w:rFonts w:ascii="Times New Roman" w:hAnsi="Times New Roman" w:cs="Times New Roman"/>
          <w:color w:val="000000"/>
          <w:sz w:val="24"/>
          <w:szCs w:val="24"/>
        </w:rPr>
      </w:pPr>
      <w:r>
        <w:rPr>
          <w:rFonts w:ascii="Arial" w:hAnsi="Arial" w:cs="Arial"/>
          <w:color w:val="201F1E"/>
          <w:sz w:val="24"/>
          <w:szCs w:val="24"/>
          <w:bdr w:val="none" w:sz="0" w:space="0" w:color="auto" w:frame="1"/>
        </w:rPr>
        <w:t> </w:t>
      </w:r>
      <w:r>
        <w:rPr>
          <w:color w:val="201F1E"/>
          <w:sz w:val="24"/>
          <w:szCs w:val="24"/>
        </w:rPr>
        <w:t> </w:t>
      </w:r>
    </w:p>
    <w:p w14:paraId="5017414B" w14:textId="77777777" w:rsidR="00911F62" w:rsidRDefault="00911F62" w:rsidP="00911F62">
      <w:pPr>
        <w:pStyle w:val="xmsonormal"/>
        <w:shd w:val="clear" w:color="auto" w:fill="FFFFFF"/>
        <w:jc w:val="both"/>
        <w:rPr>
          <w:rFonts w:ascii="Times New Roman" w:hAnsi="Times New Roman" w:cs="Times New Roman"/>
          <w:color w:val="000000"/>
          <w:sz w:val="24"/>
          <w:szCs w:val="24"/>
        </w:rPr>
      </w:pPr>
      <w:r>
        <w:rPr>
          <w:rFonts w:ascii="Arial" w:hAnsi="Arial" w:cs="Arial"/>
          <w:color w:val="201F1E"/>
          <w:sz w:val="24"/>
          <w:szCs w:val="24"/>
          <w:bdr w:val="none" w:sz="0" w:space="0" w:color="auto" w:frame="1"/>
        </w:rPr>
        <w:t>“L’elemento critico nella determinazione del contributo </w:t>
      </w:r>
      <w:r>
        <w:rPr>
          <w:rFonts w:ascii="Arial" w:hAnsi="Arial" w:cs="Arial"/>
          <w:i/>
          <w:iCs/>
          <w:color w:val="201F1E"/>
          <w:sz w:val="24"/>
          <w:szCs w:val="24"/>
          <w:bdr w:val="none" w:sz="0" w:space="0" w:color="auto" w:frame="1"/>
        </w:rPr>
        <w:t>una tantum</w:t>
      </w:r>
      <w:r>
        <w:rPr>
          <w:rFonts w:ascii="Arial" w:hAnsi="Arial" w:cs="Arial"/>
          <w:color w:val="201F1E"/>
          <w:sz w:val="24"/>
          <w:szCs w:val="24"/>
          <w:bdr w:val="none" w:sz="0" w:space="0" w:color="auto" w:frame="1"/>
        </w:rPr>
        <w:t xml:space="preserve"> è rappresentato soprattutto dall’individuazione di un </w:t>
      </w:r>
      <w:r>
        <w:rPr>
          <w:rFonts w:ascii="Arial" w:hAnsi="Arial" w:cs="Arial"/>
          <w:b/>
          <w:bCs/>
          <w:color w:val="201F1E"/>
          <w:sz w:val="24"/>
          <w:szCs w:val="24"/>
          <w:bdr w:val="none" w:sz="0" w:space="0" w:color="auto" w:frame="1"/>
        </w:rPr>
        <w:t>modello standardizzato</w:t>
      </w:r>
      <w:r>
        <w:rPr>
          <w:rFonts w:ascii="Arial" w:hAnsi="Arial" w:cs="Arial"/>
          <w:color w:val="201F1E"/>
          <w:sz w:val="24"/>
          <w:szCs w:val="24"/>
          <w:bdr w:val="none" w:sz="0" w:space="0" w:color="auto" w:frame="1"/>
        </w:rPr>
        <w:t xml:space="preserve"> per la corretta individuazione delle voci di costo, che le strutture private accreditate e contrattualizzate devono rendicontare per individuare il totale dei costi fissi - spiega</w:t>
      </w:r>
      <w:r>
        <w:rPr>
          <w:rFonts w:ascii="Arial" w:hAnsi="Arial" w:cs="Arial"/>
          <w:b/>
          <w:bCs/>
          <w:color w:val="201F1E"/>
          <w:sz w:val="24"/>
          <w:szCs w:val="24"/>
          <w:bdr w:val="none" w:sz="0" w:space="0" w:color="auto" w:frame="1"/>
        </w:rPr>
        <w:t xml:space="preserve"> Coppola</w:t>
      </w:r>
      <w:r>
        <w:rPr>
          <w:rFonts w:ascii="Arial" w:hAnsi="Arial" w:cs="Arial"/>
          <w:color w:val="201F1E"/>
          <w:sz w:val="24"/>
          <w:szCs w:val="24"/>
          <w:bdr w:val="none" w:sz="0" w:space="0" w:color="auto" w:frame="1"/>
        </w:rPr>
        <w:t xml:space="preserve"> -. Anche se un modello esclusivamente basato su presupposti economici non rappresenta l’unico strumento da utilizzare per la valutazione delle </w:t>
      </w:r>
      <w:r>
        <w:rPr>
          <w:rFonts w:ascii="Arial" w:hAnsi="Arial" w:cs="Arial"/>
          <w:i/>
          <w:iCs/>
          <w:color w:val="201F1E"/>
          <w:sz w:val="24"/>
          <w:szCs w:val="24"/>
          <w:bdr w:val="none" w:sz="0" w:space="0" w:color="auto" w:frame="1"/>
        </w:rPr>
        <w:t>performance</w:t>
      </w:r>
      <w:r>
        <w:rPr>
          <w:rFonts w:ascii="Arial" w:hAnsi="Arial" w:cs="Arial"/>
          <w:color w:val="201F1E"/>
          <w:sz w:val="24"/>
          <w:szCs w:val="24"/>
          <w:bdr w:val="none" w:sz="0" w:space="0" w:color="auto" w:frame="1"/>
        </w:rPr>
        <w:t xml:space="preserve"> delle imprese sanitarie, in questo caso il </w:t>
      </w:r>
      <w:r>
        <w:rPr>
          <w:rFonts w:ascii="Arial" w:hAnsi="Arial" w:cs="Arial"/>
          <w:b/>
          <w:bCs/>
          <w:color w:val="201F1E"/>
          <w:sz w:val="24"/>
          <w:szCs w:val="24"/>
          <w:bdr w:val="none" w:sz="0" w:space="0" w:color="auto" w:frame="1"/>
        </w:rPr>
        <w:t>criterio economico</w:t>
      </w:r>
      <w:r>
        <w:rPr>
          <w:rFonts w:ascii="Arial" w:hAnsi="Arial" w:cs="Arial"/>
          <w:color w:val="201F1E"/>
          <w:sz w:val="24"/>
          <w:szCs w:val="24"/>
          <w:bdr w:val="none" w:sz="0" w:space="0" w:color="auto" w:frame="1"/>
        </w:rPr>
        <w:t xml:space="preserve"> appare </w:t>
      </w:r>
      <w:r>
        <w:rPr>
          <w:rFonts w:ascii="Arial" w:hAnsi="Arial" w:cs="Arial"/>
          <w:b/>
          <w:bCs/>
          <w:color w:val="201F1E"/>
          <w:sz w:val="24"/>
          <w:szCs w:val="24"/>
          <w:bdr w:val="none" w:sz="0" w:space="0" w:color="auto" w:frame="1"/>
        </w:rPr>
        <w:t>l’unico idoneo</w:t>
      </w:r>
      <w:r>
        <w:rPr>
          <w:rFonts w:ascii="Arial" w:hAnsi="Arial" w:cs="Arial"/>
          <w:color w:val="201F1E"/>
          <w:sz w:val="24"/>
          <w:szCs w:val="24"/>
          <w:bdr w:val="none" w:sz="0" w:space="0" w:color="auto" w:frame="1"/>
        </w:rPr>
        <w:t xml:space="preserve"> ad individuare una </w:t>
      </w:r>
      <w:r>
        <w:rPr>
          <w:rFonts w:ascii="Arial" w:hAnsi="Arial" w:cs="Arial"/>
          <w:b/>
          <w:bCs/>
          <w:color w:val="201F1E"/>
          <w:sz w:val="24"/>
          <w:szCs w:val="24"/>
          <w:bdr w:val="none" w:sz="0" w:space="0" w:color="auto" w:frame="1"/>
        </w:rPr>
        <w:t>rendicontazione corretta e omogenea a livello nazionale dei costi fissi</w:t>
      </w:r>
      <w:r>
        <w:rPr>
          <w:rFonts w:ascii="Arial" w:hAnsi="Arial" w:cs="Arial"/>
          <w:color w:val="201F1E"/>
          <w:sz w:val="24"/>
          <w:szCs w:val="24"/>
          <w:bdr w:val="none" w:sz="0" w:space="0" w:color="auto" w:frame="1"/>
        </w:rPr>
        <w:t>”.</w:t>
      </w:r>
      <w:r>
        <w:rPr>
          <w:color w:val="201F1E"/>
          <w:sz w:val="24"/>
          <w:szCs w:val="24"/>
        </w:rPr>
        <w:t> </w:t>
      </w:r>
    </w:p>
    <w:p w14:paraId="2730AD32" w14:textId="77777777" w:rsidR="00911F62" w:rsidRDefault="00911F62" w:rsidP="00911F62">
      <w:pPr>
        <w:pStyle w:val="xmsonormal"/>
        <w:shd w:val="clear" w:color="auto" w:fill="FFFFFF"/>
        <w:jc w:val="both"/>
        <w:rPr>
          <w:rFonts w:ascii="Times New Roman" w:hAnsi="Times New Roman" w:cs="Times New Roman"/>
          <w:color w:val="000000"/>
          <w:sz w:val="24"/>
          <w:szCs w:val="24"/>
        </w:rPr>
      </w:pPr>
      <w:r>
        <w:rPr>
          <w:rFonts w:ascii="Arial" w:hAnsi="Arial" w:cs="Arial"/>
          <w:color w:val="201F1E"/>
          <w:sz w:val="24"/>
          <w:szCs w:val="24"/>
          <w:bdr w:val="none" w:sz="0" w:space="0" w:color="auto" w:frame="1"/>
        </w:rPr>
        <w:t> </w:t>
      </w:r>
      <w:r>
        <w:rPr>
          <w:color w:val="201F1E"/>
          <w:sz w:val="24"/>
          <w:szCs w:val="24"/>
        </w:rPr>
        <w:t> </w:t>
      </w:r>
    </w:p>
    <w:p w14:paraId="11710D91" w14:textId="77777777" w:rsidR="00911F62" w:rsidRDefault="00911F62" w:rsidP="00911F62">
      <w:pPr>
        <w:pStyle w:val="xmsonormal"/>
        <w:shd w:val="clear" w:color="auto" w:fill="FFFFFF"/>
        <w:jc w:val="both"/>
        <w:rPr>
          <w:rFonts w:ascii="Times New Roman" w:hAnsi="Times New Roman" w:cs="Times New Roman"/>
          <w:color w:val="000000"/>
          <w:sz w:val="24"/>
          <w:szCs w:val="24"/>
        </w:rPr>
      </w:pPr>
      <w:r>
        <w:rPr>
          <w:rFonts w:ascii="Arial" w:hAnsi="Arial" w:cs="Arial"/>
          <w:color w:val="201F1E"/>
          <w:sz w:val="24"/>
          <w:szCs w:val="24"/>
          <w:bdr w:val="none" w:sz="0" w:space="0" w:color="auto" w:frame="1"/>
        </w:rPr>
        <w:t xml:space="preserve">“Tale approccio - continua Coppola - discende dalla consapevolezza che, nell’ambito delle imprese sanitarie oggetto di questa indagine, non esiste in uso un modello di riferimento univoco per la rendicontazione e, nella maggioranza dei casi, le imprese non adottano sistemi di contabilità analitica. Inoltre - conclude - </w:t>
      </w:r>
      <w:r>
        <w:rPr>
          <w:rFonts w:ascii="Arial" w:hAnsi="Arial" w:cs="Arial"/>
          <w:b/>
          <w:bCs/>
          <w:color w:val="201F1E"/>
          <w:sz w:val="24"/>
          <w:szCs w:val="24"/>
          <w:bdr w:val="none" w:sz="0" w:space="0" w:color="auto" w:frame="1"/>
        </w:rPr>
        <w:t>la soluzione proposta è coerente</w:t>
      </w:r>
      <w:r>
        <w:rPr>
          <w:rFonts w:ascii="Arial" w:hAnsi="Arial" w:cs="Arial"/>
          <w:color w:val="201F1E"/>
          <w:sz w:val="24"/>
          <w:szCs w:val="24"/>
          <w:bdr w:val="none" w:sz="0" w:space="0" w:color="auto" w:frame="1"/>
        </w:rPr>
        <w:t xml:space="preserve"> con le finalità della disposizione”.</w:t>
      </w:r>
      <w:r>
        <w:rPr>
          <w:color w:val="201F1E"/>
          <w:sz w:val="24"/>
          <w:szCs w:val="24"/>
        </w:rPr>
        <w:t> </w:t>
      </w:r>
    </w:p>
    <w:p w14:paraId="579712DC" w14:textId="59BB7922" w:rsidR="006654CA" w:rsidRDefault="006654CA" w:rsidP="00911F62">
      <w:pPr>
        <w:pStyle w:val="Nessunaspaziatura"/>
        <w:jc w:val="both"/>
        <w:rPr>
          <w:rFonts w:ascii="Arial" w:hAnsi="Arial" w:cs="Arial"/>
          <w:b/>
          <w:sz w:val="24"/>
          <w:szCs w:val="24"/>
          <w:u w:val="single"/>
        </w:rPr>
      </w:pPr>
    </w:p>
    <w:sectPr w:rsidR="006654CA" w:rsidSect="007A4EB6">
      <w:headerReference w:type="default" r:id="rId7"/>
      <w:pgSz w:w="11906" w:h="16838"/>
      <w:pgMar w:top="1701" w:right="1134"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3821F" w14:textId="77777777" w:rsidR="00BD2160" w:rsidRDefault="00BD2160" w:rsidP="00C24345">
      <w:pPr>
        <w:spacing w:after="0" w:line="240" w:lineRule="auto"/>
      </w:pPr>
      <w:r>
        <w:separator/>
      </w:r>
    </w:p>
  </w:endnote>
  <w:endnote w:type="continuationSeparator" w:id="0">
    <w:p w14:paraId="14E7348B" w14:textId="77777777" w:rsidR="00BD2160" w:rsidRDefault="00BD2160" w:rsidP="00C24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0883F" w14:textId="77777777" w:rsidR="00BD2160" w:rsidRDefault="00BD2160" w:rsidP="00C24345">
      <w:pPr>
        <w:spacing w:after="0" w:line="240" w:lineRule="auto"/>
      </w:pPr>
      <w:r>
        <w:separator/>
      </w:r>
    </w:p>
  </w:footnote>
  <w:footnote w:type="continuationSeparator" w:id="0">
    <w:p w14:paraId="195F32BA" w14:textId="77777777" w:rsidR="00BD2160" w:rsidRDefault="00BD2160" w:rsidP="00C243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70E64" w14:textId="6235CAC2" w:rsidR="0055379F" w:rsidRDefault="0055379F">
    <w:pPr>
      <w:pStyle w:val="Intestazione"/>
    </w:pPr>
    <w:r w:rsidRPr="00A945F8">
      <w:rPr>
        <w:noProof/>
      </w:rPr>
      <w:drawing>
        <wp:inline distT="0" distB="0" distL="0" distR="0" wp14:anchorId="44B06864" wp14:editId="2CF6B3E9">
          <wp:extent cx="6120130" cy="970915"/>
          <wp:effectExtent l="0" t="0" r="0" b="635"/>
          <wp:docPr id="1" name="Immagine 1"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709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9734D2"/>
    <w:multiLevelType w:val="hybridMultilevel"/>
    <w:tmpl w:val="23A48F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7F8473E"/>
    <w:multiLevelType w:val="hybridMultilevel"/>
    <w:tmpl w:val="988475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3DC5D8C"/>
    <w:multiLevelType w:val="hybridMultilevel"/>
    <w:tmpl w:val="332432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CEE"/>
    <w:rsid w:val="000452F7"/>
    <w:rsid w:val="000622B2"/>
    <w:rsid w:val="000C4486"/>
    <w:rsid w:val="000D4F92"/>
    <w:rsid w:val="000E0FC6"/>
    <w:rsid w:val="000E2A21"/>
    <w:rsid w:val="00112515"/>
    <w:rsid w:val="0015187B"/>
    <w:rsid w:val="001609BC"/>
    <w:rsid w:val="00162B01"/>
    <w:rsid w:val="00182886"/>
    <w:rsid w:val="00211010"/>
    <w:rsid w:val="002520BC"/>
    <w:rsid w:val="003078C6"/>
    <w:rsid w:val="00360B0A"/>
    <w:rsid w:val="0038655D"/>
    <w:rsid w:val="00410D49"/>
    <w:rsid w:val="00416E01"/>
    <w:rsid w:val="00454455"/>
    <w:rsid w:val="0046204A"/>
    <w:rsid w:val="005019BA"/>
    <w:rsid w:val="00533B8F"/>
    <w:rsid w:val="00547B54"/>
    <w:rsid w:val="0055379F"/>
    <w:rsid w:val="005B19AD"/>
    <w:rsid w:val="005D01E9"/>
    <w:rsid w:val="005F1865"/>
    <w:rsid w:val="006049B3"/>
    <w:rsid w:val="006478D8"/>
    <w:rsid w:val="00662C7A"/>
    <w:rsid w:val="006654CA"/>
    <w:rsid w:val="006F00A5"/>
    <w:rsid w:val="00720BF9"/>
    <w:rsid w:val="00753D28"/>
    <w:rsid w:val="00792D41"/>
    <w:rsid w:val="007E078E"/>
    <w:rsid w:val="00851BB1"/>
    <w:rsid w:val="00887C20"/>
    <w:rsid w:val="009100F9"/>
    <w:rsid w:val="00911F62"/>
    <w:rsid w:val="0093279D"/>
    <w:rsid w:val="009F5CF6"/>
    <w:rsid w:val="00A42251"/>
    <w:rsid w:val="00A61565"/>
    <w:rsid w:val="00AC770E"/>
    <w:rsid w:val="00AD5B54"/>
    <w:rsid w:val="00B25A55"/>
    <w:rsid w:val="00B60E8A"/>
    <w:rsid w:val="00BA0F42"/>
    <w:rsid w:val="00BA3E1E"/>
    <w:rsid w:val="00BB5FB8"/>
    <w:rsid w:val="00BC1595"/>
    <w:rsid w:val="00BC6CB1"/>
    <w:rsid w:val="00BD2160"/>
    <w:rsid w:val="00BD622B"/>
    <w:rsid w:val="00BF50EC"/>
    <w:rsid w:val="00C03F69"/>
    <w:rsid w:val="00C24345"/>
    <w:rsid w:val="00C44D15"/>
    <w:rsid w:val="00C457D5"/>
    <w:rsid w:val="00C51322"/>
    <w:rsid w:val="00C51D3B"/>
    <w:rsid w:val="00CA5580"/>
    <w:rsid w:val="00CC0CEE"/>
    <w:rsid w:val="00CC1109"/>
    <w:rsid w:val="00CC4037"/>
    <w:rsid w:val="00CC4645"/>
    <w:rsid w:val="00CE18B7"/>
    <w:rsid w:val="00D145F9"/>
    <w:rsid w:val="00DD5B8B"/>
    <w:rsid w:val="00DE235B"/>
    <w:rsid w:val="00DF1D0B"/>
    <w:rsid w:val="00DF7F9E"/>
    <w:rsid w:val="00E44BFF"/>
    <w:rsid w:val="00E50A5A"/>
    <w:rsid w:val="00EA3C43"/>
    <w:rsid w:val="00EA6D47"/>
    <w:rsid w:val="00EC6200"/>
    <w:rsid w:val="00ED5BD2"/>
    <w:rsid w:val="00F15879"/>
    <w:rsid w:val="00F4663E"/>
    <w:rsid w:val="00F50F4C"/>
    <w:rsid w:val="00FB524E"/>
    <w:rsid w:val="00FD0116"/>
    <w:rsid w:val="00FD3B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4C1AD"/>
  <w15:chartTrackingRefBased/>
  <w15:docId w15:val="{DEA93F95-566F-4B69-B65E-4584B1F0A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24345"/>
    <w:pPr>
      <w:spacing w:after="200" w:line="276" w:lineRule="auto"/>
    </w:pPr>
  </w:style>
  <w:style w:type="paragraph" w:styleId="Titolo1">
    <w:name w:val="heading 1"/>
    <w:basedOn w:val="Normale"/>
    <w:link w:val="Titolo1Carattere"/>
    <w:uiPriority w:val="9"/>
    <w:qFormat/>
    <w:rsid w:val="00911F62"/>
    <w:pPr>
      <w:spacing w:before="100" w:beforeAutospacing="1" w:after="100" w:afterAutospacing="1" w:line="240" w:lineRule="auto"/>
      <w:outlineLvl w:val="0"/>
    </w:pPr>
    <w:rPr>
      <w:rFonts w:ascii="Calibri" w:hAnsi="Calibri" w:cs="Calibri"/>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C24345"/>
    <w:pPr>
      <w:spacing w:after="0" w:line="240" w:lineRule="auto"/>
    </w:pPr>
  </w:style>
  <w:style w:type="table" w:styleId="Grigliatabella">
    <w:name w:val="Table Grid"/>
    <w:basedOn w:val="Tabellanormale"/>
    <w:uiPriority w:val="59"/>
    <w:rsid w:val="00C24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C2434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24345"/>
    <w:rPr>
      <w:sz w:val="20"/>
      <w:szCs w:val="20"/>
    </w:rPr>
  </w:style>
  <w:style w:type="character" w:styleId="Rimandonotaapidipagina">
    <w:name w:val="footnote reference"/>
    <w:basedOn w:val="Carpredefinitoparagrafo"/>
    <w:uiPriority w:val="99"/>
    <w:semiHidden/>
    <w:unhideWhenUsed/>
    <w:rsid w:val="00C24345"/>
    <w:rPr>
      <w:vertAlign w:val="superscript"/>
    </w:rPr>
  </w:style>
  <w:style w:type="character" w:styleId="Enfasigrassetto">
    <w:name w:val="Strong"/>
    <w:basedOn w:val="Carpredefinitoparagrafo"/>
    <w:uiPriority w:val="22"/>
    <w:qFormat/>
    <w:rsid w:val="000452F7"/>
    <w:rPr>
      <w:b/>
      <w:bCs/>
    </w:rPr>
  </w:style>
  <w:style w:type="paragraph" w:styleId="Intestazione">
    <w:name w:val="header"/>
    <w:basedOn w:val="Normale"/>
    <w:link w:val="IntestazioneCarattere"/>
    <w:uiPriority w:val="99"/>
    <w:unhideWhenUsed/>
    <w:rsid w:val="0055379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5379F"/>
  </w:style>
  <w:style w:type="paragraph" w:styleId="Pidipagina">
    <w:name w:val="footer"/>
    <w:basedOn w:val="Normale"/>
    <w:link w:val="PidipaginaCarattere"/>
    <w:uiPriority w:val="99"/>
    <w:unhideWhenUsed/>
    <w:rsid w:val="0055379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5379F"/>
  </w:style>
  <w:style w:type="paragraph" w:styleId="NormaleWeb">
    <w:name w:val="Normal (Web)"/>
    <w:basedOn w:val="Normale"/>
    <w:uiPriority w:val="99"/>
    <w:semiHidden/>
    <w:unhideWhenUsed/>
    <w:rsid w:val="000E2A21"/>
    <w:pPr>
      <w:spacing w:after="0" w:line="240" w:lineRule="auto"/>
    </w:pPr>
    <w:rPr>
      <w:rFonts w:ascii="Calibri" w:hAnsi="Calibri" w:cs="Calibri"/>
      <w:lang w:eastAsia="it-IT"/>
    </w:rPr>
  </w:style>
  <w:style w:type="character" w:customStyle="1" w:styleId="Titolo1Carattere">
    <w:name w:val="Titolo 1 Carattere"/>
    <w:basedOn w:val="Carpredefinitoparagrafo"/>
    <w:link w:val="Titolo1"/>
    <w:uiPriority w:val="9"/>
    <w:rsid w:val="00911F62"/>
    <w:rPr>
      <w:rFonts w:ascii="Calibri" w:hAnsi="Calibri" w:cs="Calibri"/>
      <w:b/>
      <w:bCs/>
      <w:kern w:val="36"/>
      <w:sz w:val="48"/>
      <w:szCs w:val="48"/>
      <w:lang w:eastAsia="it-IT"/>
    </w:rPr>
  </w:style>
  <w:style w:type="paragraph" w:customStyle="1" w:styleId="xmsonormal">
    <w:name w:val="xmsonormal"/>
    <w:basedOn w:val="Normale"/>
    <w:rsid w:val="00911F62"/>
    <w:pPr>
      <w:spacing w:after="0" w:line="240" w:lineRule="auto"/>
    </w:pPr>
    <w:rPr>
      <w:rFonts w:ascii="Calibri" w:hAnsi="Calibri" w:cs="Calibri"/>
      <w:lang w:eastAsia="it-IT"/>
    </w:rPr>
  </w:style>
  <w:style w:type="character" w:customStyle="1" w:styleId="itwtqi23ioopmk3o6ert">
    <w:name w:val="itwtqi23ioopmk3o6ert"/>
    <w:basedOn w:val="Carpredefinitoparagrafo"/>
    <w:rsid w:val="00911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075088">
      <w:bodyDiv w:val="1"/>
      <w:marLeft w:val="0"/>
      <w:marRight w:val="0"/>
      <w:marTop w:val="0"/>
      <w:marBottom w:val="0"/>
      <w:divBdr>
        <w:top w:val="none" w:sz="0" w:space="0" w:color="auto"/>
        <w:left w:val="none" w:sz="0" w:space="0" w:color="auto"/>
        <w:bottom w:val="none" w:sz="0" w:space="0" w:color="auto"/>
        <w:right w:val="none" w:sz="0" w:space="0" w:color="auto"/>
      </w:divBdr>
    </w:div>
    <w:div w:id="1086728597">
      <w:bodyDiv w:val="1"/>
      <w:marLeft w:val="0"/>
      <w:marRight w:val="0"/>
      <w:marTop w:val="0"/>
      <w:marBottom w:val="0"/>
      <w:divBdr>
        <w:top w:val="none" w:sz="0" w:space="0" w:color="auto"/>
        <w:left w:val="none" w:sz="0" w:space="0" w:color="auto"/>
        <w:bottom w:val="none" w:sz="0" w:space="0" w:color="auto"/>
        <w:right w:val="none" w:sz="0" w:space="0" w:color="auto"/>
      </w:divBdr>
    </w:div>
    <w:div w:id="1459296004">
      <w:bodyDiv w:val="1"/>
      <w:marLeft w:val="0"/>
      <w:marRight w:val="0"/>
      <w:marTop w:val="0"/>
      <w:marBottom w:val="0"/>
      <w:divBdr>
        <w:top w:val="none" w:sz="0" w:space="0" w:color="auto"/>
        <w:left w:val="none" w:sz="0" w:space="0" w:color="auto"/>
        <w:bottom w:val="none" w:sz="0" w:space="0" w:color="auto"/>
        <w:right w:val="none" w:sz="0" w:space="0" w:color="auto"/>
      </w:divBdr>
    </w:div>
    <w:div w:id="175813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825</Words>
  <Characters>4706</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3</cp:revision>
  <dcterms:created xsi:type="dcterms:W3CDTF">2020-12-31T08:01:00Z</dcterms:created>
  <dcterms:modified xsi:type="dcterms:W3CDTF">2020-12-31T08:02:00Z</dcterms:modified>
</cp:coreProperties>
</file>