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9C9E57E" w14:textId="4BDBC793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4743328"/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1760257" w14:textId="77777777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>
        <w:rPr>
          <w:color w:val="201F1E"/>
        </w:rPr>
        <w:t> </w:t>
      </w:r>
    </w:p>
    <w:bookmarkEnd w:id="0"/>
    <w:p w14:paraId="04DBD4B0" w14:textId="77777777" w:rsidR="00D53F64" w:rsidRDefault="00D53F64" w:rsidP="00D53F64">
      <w:pPr>
        <w:jc w:val="both"/>
      </w:pPr>
    </w:p>
    <w:p w14:paraId="3F4D9808" w14:textId="3B11BD13" w:rsidR="00F85CD4" w:rsidRDefault="00E3236B" w:rsidP="00E323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236B">
        <w:rPr>
          <w:rFonts w:ascii="Arial" w:hAnsi="Arial" w:cs="Arial"/>
          <w:b/>
          <w:bCs/>
          <w:sz w:val="24"/>
          <w:szCs w:val="24"/>
        </w:rPr>
        <w:t>FISCO:</w:t>
      </w:r>
      <w:r w:rsidR="001E6B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36B">
        <w:rPr>
          <w:rFonts w:ascii="Arial" w:hAnsi="Arial" w:cs="Arial"/>
          <w:b/>
          <w:bCs/>
          <w:sz w:val="24"/>
          <w:szCs w:val="24"/>
        </w:rPr>
        <w:t xml:space="preserve">COMMERCIALISTI, PIENA CONDIVISIONE SENTENZA TAR </w:t>
      </w:r>
      <w:r w:rsidR="00D10DCB">
        <w:rPr>
          <w:rFonts w:ascii="Arial" w:hAnsi="Arial" w:cs="Arial"/>
          <w:b/>
          <w:bCs/>
          <w:sz w:val="24"/>
          <w:szCs w:val="24"/>
        </w:rPr>
        <w:t xml:space="preserve">PUGLIA </w:t>
      </w:r>
      <w:r w:rsidRPr="00E3236B">
        <w:rPr>
          <w:rFonts w:ascii="Arial" w:hAnsi="Arial" w:cs="Arial"/>
          <w:b/>
          <w:bCs/>
          <w:sz w:val="24"/>
          <w:szCs w:val="24"/>
        </w:rPr>
        <w:t>SU VISTI DI CONFORMITA’</w:t>
      </w:r>
    </w:p>
    <w:p w14:paraId="017706C2" w14:textId="77777777" w:rsidR="00E3236B" w:rsidRPr="00E3236B" w:rsidRDefault="00E3236B" w:rsidP="00E323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97A067" w14:textId="2035B2D2" w:rsidR="00F85CD4" w:rsidRDefault="00E3236B" w:rsidP="00E323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236B">
        <w:rPr>
          <w:rFonts w:ascii="Arial" w:hAnsi="Arial" w:cs="Arial"/>
          <w:b/>
          <w:bCs/>
          <w:sz w:val="24"/>
          <w:szCs w:val="24"/>
        </w:rPr>
        <w:t>De Nuccio</w:t>
      </w:r>
      <w:r w:rsidR="001B67D7">
        <w:rPr>
          <w:rFonts w:ascii="Arial" w:hAnsi="Arial" w:cs="Arial"/>
          <w:b/>
          <w:bCs/>
          <w:sz w:val="24"/>
          <w:szCs w:val="24"/>
        </w:rPr>
        <w:t>:</w:t>
      </w:r>
      <w:r w:rsidRPr="00E3236B">
        <w:rPr>
          <w:rFonts w:ascii="Arial" w:hAnsi="Arial" w:cs="Arial"/>
          <w:b/>
          <w:bCs/>
          <w:sz w:val="24"/>
          <w:szCs w:val="24"/>
        </w:rPr>
        <w:t xml:space="preserve"> “Impegnati a istituzionalizzare il nostro ruolo di certificatori dei presupposti per accedere a benefici pubblici”</w:t>
      </w:r>
    </w:p>
    <w:p w14:paraId="21990DFF" w14:textId="77777777" w:rsidR="001B67D7" w:rsidRPr="00E3236B" w:rsidRDefault="001B67D7" w:rsidP="00E323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1212A2" w14:textId="77777777" w:rsidR="00F85CD4" w:rsidRPr="00F85CD4" w:rsidRDefault="00F85CD4" w:rsidP="00D53F64">
      <w:pPr>
        <w:jc w:val="both"/>
        <w:rPr>
          <w:rFonts w:ascii="Arial" w:hAnsi="Arial" w:cs="Arial"/>
          <w:sz w:val="24"/>
          <w:szCs w:val="24"/>
        </w:rPr>
      </w:pPr>
    </w:p>
    <w:p w14:paraId="007B0B6E" w14:textId="03537D7B" w:rsidR="00D53F64" w:rsidRDefault="00F85CD4" w:rsidP="00D53F64">
      <w:pPr>
        <w:jc w:val="both"/>
        <w:rPr>
          <w:rFonts w:ascii="Arial" w:hAnsi="Arial" w:cs="Arial"/>
          <w:sz w:val="24"/>
          <w:szCs w:val="24"/>
        </w:rPr>
      </w:pPr>
      <w:r w:rsidRPr="00F85CD4">
        <w:rPr>
          <w:rFonts w:ascii="Arial" w:hAnsi="Arial" w:cs="Arial"/>
          <w:i/>
          <w:iCs/>
          <w:sz w:val="24"/>
          <w:szCs w:val="24"/>
        </w:rPr>
        <w:t>Roma 23 settembre 2022</w:t>
      </w:r>
      <w:r>
        <w:rPr>
          <w:rFonts w:ascii="Arial" w:hAnsi="Arial" w:cs="Arial"/>
          <w:sz w:val="24"/>
          <w:szCs w:val="24"/>
        </w:rPr>
        <w:t xml:space="preserve"> – “</w:t>
      </w:r>
      <w:r w:rsidRPr="00D10DCB">
        <w:rPr>
          <w:rFonts w:ascii="Arial" w:hAnsi="Arial" w:cs="Arial"/>
          <w:b/>
          <w:bCs/>
          <w:sz w:val="24"/>
          <w:szCs w:val="24"/>
        </w:rPr>
        <w:t>Piena</w:t>
      </w:r>
      <w:r>
        <w:rPr>
          <w:rFonts w:ascii="Arial" w:hAnsi="Arial" w:cs="Arial"/>
          <w:sz w:val="24"/>
          <w:szCs w:val="24"/>
        </w:rPr>
        <w:t xml:space="preserve"> </w:t>
      </w:r>
      <w:r w:rsidRPr="00E3236B">
        <w:rPr>
          <w:rFonts w:ascii="Arial" w:hAnsi="Arial" w:cs="Arial"/>
          <w:b/>
          <w:bCs/>
          <w:sz w:val="24"/>
          <w:szCs w:val="24"/>
        </w:rPr>
        <w:t>condivisione</w:t>
      </w:r>
      <w:r>
        <w:rPr>
          <w:rFonts w:ascii="Arial" w:hAnsi="Arial" w:cs="Arial"/>
          <w:sz w:val="24"/>
          <w:szCs w:val="24"/>
        </w:rPr>
        <w:t>” viene espressa dal</w:t>
      </w:r>
      <w:r w:rsidR="00D53F64" w:rsidRPr="00F85CD4">
        <w:rPr>
          <w:rFonts w:ascii="Arial" w:hAnsi="Arial" w:cs="Arial"/>
          <w:sz w:val="24"/>
          <w:szCs w:val="24"/>
        </w:rPr>
        <w:t xml:space="preserve"> Consiglio Nazionale dei Dottori Commercialisti ed Esperti Contabili rispetto alle motivazioni con le quali il </w:t>
      </w:r>
      <w:r w:rsidR="00D53F64" w:rsidRPr="00E3236B">
        <w:rPr>
          <w:rFonts w:ascii="Arial" w:hAnsi="Arial" w:cs="Arial"/>
          <w:b/>
          <w:bCs/>
          <w:sz w:val="24"/>
          <w:szCs w:val="24"/>
        </w:rPr>
        <w:t>TAR della Puglia</w:t>
      </w:r>
      <w:r w:rsidR="00D53F64" w:rsidRPr="00F85CD4">
        <w:rPr>
          <w:rFonts w:ascii="Arial" w:hAnsi="Arial" w:cs="Arial"/>
          <w:sz w:val="24"/>
          <w:szCs w:val="24"/>
        </w:rPr>
        <w:t xml:space="preserve">, con la sentenza n. 01192/2022, ha ribadito che l’attività di apposizione dei </w:t>
      </w:r>
      <w:r w:rsidR="00D53F64" w:rsidRPr="00E3236B">
        <w:rPr>
          <w:rFonts w:ascii="Arial" w:hAnsi="Arial" w:cs="Arial"/>
          <w:b/>
          <w:bCs/>
          <w:sz w:val="24"/>
          <w:szCs w:val="24"/>
        </w:rPr>
        <w:t>visti di conformità</w:t>
      </w:r>
      <w:r w:rsidR="00D53F64" w:rsidRPr="00F85CD4">
        <w:rPr>
          <w:rFonts w:ascii="Arial" w:hAnsi="Arial" w:cs="Arial"/>
          <w:sz w:val="24"/>
          <w:szCs w:val="24"/>
        </w:rPr>
        <w:t xml:space="preserve"> sulle dichiarazioni e comunicazioni fiscali è </w:t>
      </w:r>
      <w:r w:rsidR="00D53F64" w:rsidRPr="00E3236B">
        <w:rPr>
          <w:rFonts w:ascii="Arial" w:hAnsi="Arial" w:cs="Arial"/>
          <w:b/>
          <w:bCs/>
          <w:sz w:val="24"/>
          <w:szCs w:val="24"/>
        </w:rPr>
        <w:t>riservata</w:t>
      </w:r>
      <w:r w:rsidR="00D53F64" w:rsidRPr="00F85CD4">
        <w:rPr>
          <w:rFonts w:ascii="Arial" w:hAnsi="Arial" w:cs="Arial"/>
          <w:sz w:val="24"/>
          <w:szCs w:val="24"/>
        </w:rPr>
        <w:t xml:space="preserve"> alle professioni ordinistiche</w:t>
      </w:r>
      <w:r w:rsidR="003E78D0">
        <w:rPr>
          <w:rFonts w:ascii="Arial" w:hAnsi="Arial" w:cs="Arial"/>
          <w:sz w:val="24"/>
          <w:szCs w:val="24"/>
        </w:rPr>
        <w:t>.</w:t>
      </w:r>
    </w:p>
    <w:p w14:paraId="35CE47C2" w14:textId="45A3A389" w:rsidR="00E3236B" w:rsidRDefault="00E3236B" w:rsidP="00D53F64">
      <w:pPr>
        <w:jc w:val="both"/>
        <w:rPr>
          <w:rFonts w:ascii="Arial" w:hAnsi="Arial" w:cs="Arial"/>
          <w:sz w:val="24"/>
          <w:szCs w:val="24"/>
        </w:rPr>
      </w:pPr>
    </w:p>
    <w:p w14:paraId="03881557" w14:textId="7CDCE58E" w:rsidR="00E3236B" w:rsidRPr="00F85CD4" w:rsidRDefault="00E3236B" w:rsidP="00E3236B">
      <w:pPr>
        <w:jc w:val="both"/>
        <w:rPr>
          <w:rFonts w:ascii="Arial" w:hAnsi="Arial" w:cs="Arial"/>
          <w:sz w:val="24"/>
          <w:szCs w:val="24"/>
        </w:rPr>
      </w:pPr>
      <w:r w:rsidRPr="00F85CD4">
        <w:rPr>
          <w:rFonts w:ascii="Arial" w:hAnsi="Arial" w:cs="Arial"/>
          <w:sz w:val="24"/>
          <w:szCs w:val="24"/>
        </w:rPr>
        <w:t>In particol</w:t>
      </w:r>
      <w:r w:rsidR="001B67D7">
        <w:rPr>
          <w:rFonts w:ascii="Arial" w:hAnsi="Arial" w:cs="Arial"/>
          <w:sz w:val="24"/>
          <w:szCs w:val="24"/>
        </w:rPr>
        <w:t>are,</w:t>
      </w:r>
      <w:r w:rsidRPr="00F85CD4">
        <w:rPr>
          <w:rFonts w:ascii="Arial" w:hAnsi="Arial" w:cs="Arial"/>
          <w:sz w:val="24"/>
          <w:szCs w:val="24"/>
        </w:rPr>
        <w:t xml:space="preserve"> il TAR adito fonda la sentenza su un principio incontrovertibile, ovvero che  il legislatore è </w:t>
      </w:r>
      <w:r w:rsidRPr="00E3236B">
        <w:rPr>
          <w:rFonts w:ascii="Arial" w:hAnsi="Arial" w:cs="Arial"/>
          <w:b/>
          <w:bCs/>
          <w:sz w:val="24"/>
          <w:szCs w:val="24"/>
        </w:rPr>
        <w:t>pienamente legittimato</w:t>
      </w:r>
      <w:r w:rsidRPr="00F85CD4">
        <w:rPr>
          <w:rFonts w:ascii="Arial" w:hAnsi="Arial" w:cs="Arial"/>
          <w:sz w:val="24"/>
          <w:szCs w:val="24"/>
        </w:rPr>
        <w:t xml:space="preserve"> a riservare attività a professionisti dei quali sia “comprovata la </w:t>
      </w:r>
      <w:r w:rsidRPr="00E3236B">
        <w:rPr>
          <w:rFonts w:ascii="Arial" w:hAnsi="Arial" w:cs="Arial"/>
          <w:b/>
          <w:bCs/>
          <w:sz w:val="24"/>
          <w:szCs w:val="24"/>
        </w:rPr>
        <w:t>professionalità</w:t>
      </w:r>
      <w:r w:rsidRPr="00F85CD4">
        <w:rPr>
          <w:rFonts w:ascii="Arial" w:hAnsi="Arial" w:cs="Arial"/>
          <w:sz w:val="24"/>
          <w:szCs w:val="24"/>
        </w:rPr>
        <w:t xml:space="preserve"> e siano oggetto di </w:t>
      </w:r>
      <w:r w:rsidRPr="00E3236B">
        <w:rPr>
          <w:rFonts w:ascii="Arial" w:hAnsi="Arial" w:cs="Arial"/>
          <w:b/>
          <w:bCs/>
          <w:sz w:val="24"/>
          <w:szCs w:val="24"/>
        </w:rPr>
        <w:t>controllo disciplinare</w:t>
      </w:r>
      <w:r w:rsidRPr="00F85CD4">
        <w:rPr>
          <w:rFonts w:ascii="Arial" w:hAnsi="Arial" w:cs="Arial"/>
          <w:sz w:val="24"/>
          <w:szCs w:val="24"/>
        </w:rPr>
        <w:t xml:space="preserve">” ribadendo che essi, in quanto </w:t>
      </w:r>
      <w:r w:rsidRPr="00E3236B">
        <w:rPr>
          <w:rFonts w:ascii="Arial" w:hAnsi="Arial" w:cs="Arial"/>
          <w:b/>
          <w:bCs/>
          <w:sz w:val="24"/>
          <w:szCs w:val="24"/>
        </w:rPr>
        <w:t>iscritti ad un ordine</w:t>
      </w:r>
      <w:r w:rsidRPr="00F85CD4">
        <w:rPr>
          <w:rFonts w:ascii="Arial" w:hAnsi="Arial" w:cs="Arial"/>
          <w:sz w:val="24"/>
          <w:szCs w:val="24"/>
        </w:rPr>
        <w:t xml:space="preserve">, “hanno, </w:t>
      </w:r>
      <w:r w:rsidRPr="00F85CD4">
        <w:rPr>
          <w:rFonts w:ascii="Arial" w:hAnsi="Arial" w:cs="Arial"/>
          <w:i/>
          <w:iCs/>
          <w:sz w:val="24"/>
          <w:szCs w:val="24"/>
        </w:rPr>
        <w:t>in primis</w:t>
      </w:r>
      <w:r w:rsidRPr="00F85CD4">
        <w:rPr>
          <w:rFonts w:ascii="Arial" w:hAnsi="Arial" w:cs="Arial"/>
          <w:sz w:val="24"/>
          <w:szCs w:val="24"/>
        </w:rPr>
        <w:t xml:space="preserve">, superato un </w:t>
      </w:r>
      <w:r w:rsidRPr="00E3236B">
        <w:rPr>
          <w:rFonts w:ascii="Arial" w:hAnsi="Arial" w:cs="Arial"/>
          <w:b/>
          <w:bCs/>
          <w:sz w:val="24"/>
          <w:szCs w:val="24"/>
        </w:rPr>
        <w:t>esame di stato</w:t>
      </w:r>
      <w:r w:rsidRPr="00F85CD4">
        <w:rPr>
          <w:rFonts w:ascii="Arial" w:hAnsi="Arial" w:cs="Arial"/>
          <w:sz w:val="24"/>
          <w:szCs w:val="24"/>
        </w:rPr>
        <w:t xml:space="preserve"> o conseguito una laurea abilitante alla professione e, </w:t>
      </w:r>
      <w:r w:rsidRPr="00F85CD4">
        <w:rPr>
          <w:rFonts w:ascii="Arial" w:hAnsi="Arial" w:cs="Arial"/>
          <w:i/>
          <w:iCs/>
          <w:sz w:val="24"/>
          <w:szCs w:val="24"/>
        </w:rPr>
        <w:t xml:space="preserve">in </w:t>
      </w:r>
      <w:proofErr w:type="spellStart"/>
      <w:r w:rsidRPr="00F85CD4">
        <w:rPr>
          <w:rFonts w:ascii="Arial" w:hAnsi="Arial" w:cs="Arial"/>
          <w:i/>
          <w:iCs/>
          <w:sz w:val="24"/>
          <w:szCs w:val="24"/>
        </w:rPr>
        <w:t>secundis</w:t>
      </w:r>
      <w:proofErr w:type="spellEnd"/>
      <w:r w:rsidRPr="00F85CD4">
        <w:rPr>
          <w:rFonts w:ascii="Arial" w:hAnsi="Arial" w:cs="Arial"/>
          <w:sz w:val="24"/>
          <w:szCs w:val="24"/>
        </w:rPr>
        <w:t xml:space="preserve">, per quanto maggiormente rileva, nella misura in cui sono iscritti ad un albo (invero vigilato da uffici ministeriali) sono soggetti a pregnanti </w:t>
      </w:r>
      <w:r w:rsidRPr="00E3236B">
        <w:rPr>
          <w:rFonts w:ascii="Arial" w:hAnsi="Arial" w:cs="Arial"/>
          <w:b/>
          <w:bCs/>
          <w:sz w:val="24"/>
          <w:szCs w:val="24"/>
        </w:rPr>
        <w:t>obblighi deontologici</w:t>
      </w:r>
      <w:r w:rsidRPr="00F85CD4">
        <w:rPr>
          <w:rFonts w:ascii="Arial" w:hAnsi="Arial" w:cs="Arial"/>
          <w:sz w:val="24"/>
          <w:szCs w:val="24"/>
        </w:rPr>
        <w:t>, al controllo sullo svolgimento corretto e regolare dell’attività professionale e al potere disciplinare esercitato dall’ordine o collegio di appartenenza”</w:t>
      </w:r>
      <w:r w:rsidR="001B67D7">
        <w:rPr>
          <w:rFonts w:ascii="Arial" w:hAnsi="Arial" w:cs="Arial"/>
          <w:sz w:val="24"/>
          <w:szCs w:val="24"/>
        </w:rPr>
        <w:t>.</w:t>
      </w:r>
    </w:p>
    <w:p w14:paraId="48932B14" w14:textId="77777777" w:rsidR="00F85CD4" w:rsidRDefault="00F85CD4" w:rsidP="00F85CD4">
      <w:pPr>
        <w:jc w:val="both"/>
        <w:rPr>
          <w:rFonts w:ascii="Arial" w:hAnsi="Arial" w:cs="Arial"/>
          <w:sz w:val="24"/>
          <w:szCs w:val="24"/>
        </w:rPr>
      </w:pPr>
    </w:p>
    <w:p w14:paraId="25A9DC7E" w14:textId="0CD77D63" w:rsidR="00F85CD4" w:rsidRPr="00F85CD4" w:rsidRDefault="00F85CD4" w:rsidP="00F85CD4">
      <w:pPr>
        <w:jc w:val="both"/>
        <w:rPr>
          <w:rFonts w:ascii="Arial" w:hAnsi="Arial" w:cs="Arial"/>
          <w:sz w:val="24"/>
          <w:szCs w:val="24"/>
        </w:rPr>
      </w:pPr>
      <w:r w:rsidRPr="00742F7F">
        <w:rPr>
          <w:rFonts w:ascii="Arial" w:hAnsi="Arial" w:cs="Arial"/>
          <w:b/>
          <w:bCs/>
          <w:sz w:val="24"/>
          <w:szCs w:val="24"/>
        </w:rPr>
        <w:t>Elbano de Nuccio</w:t>
      </w:r>
      <w:r w:rsidRPr="00F85CD4">
        <w:rPr>
          <w:rFonts w:ascii="Arial" w:hAnsi="Arial" w:cs="Arial"/>
          <w:sz w:val="24"/>
          <w:szCs w:val="24"/>
        </w:rPr>
        <w:t xml:space="preserve">, </w:t>
      </w:r>
      <w:r w:rsidR="001B67D7">
        <w:rPr>
          <w:rFonts w:ascii="Arial" w:hAnsi="Arial" w:cs="Arial"/>
          <w:sz w:val="24"/>
          <w:szCs w:val="24"/>
        </w:rPr>
        <w:t>p</w:t>
      </w:r>
      <w:r w:rsidRPr="00F85CD4">
        <w:rPr>
          <w:rFonts w:ascii="Arial" w:hAnsi="Arial" w:cs="Arial"/>
          <w:sz w:val="24"/>
          <w:szCs w:val="24"/>
        </w:rPr>
        <w:t>residente del C</w:t>
      </w:r>
      <w:r>
        <w:rPr>
          <w:rFonts w:ascii="Arial" w:hAnsi="Arial" w:cs="Arial"/>
          <w:sz w:val="24"/>
          <w:szCs w:val="24"/>
        </w:rPr>
        <w:t>onsiglio nazionale</w:t>
      </w:r>
      <w:r w:rsidRPr="00F85CD4">
        <w:rPr>
          <w:rFonts w:ascii="Arial" w:hAnsi="Arial" w:cs="Arial"/>
          <w:sz w:val="24"/>
          <w:szCs w:val="24"/>
        </w:rPr>
        <w:t xml:space="preserve">, ricorda che “i Commercialisti sono tenuti anche a precisi </w:t>
      </w:r>
      <w:r w:rsidRPr="00742F7F">
        <w:rPr>
          <w:rFonts w:ascii="Arial" w:hAnsi="Arial" w:cs="Arial"/>
          <w:b/>
          <w:bCs/>
          <w:sz w:val="24"/>
          <w:szCs w:val="24"/>
        </w:rPr>
        <w:t>obblighi formativi</w:t>
      </w:r>
      <w:r w:rsidRPr="00F85CD4">
        <w:rPr>
          <w:rFonts w:ascii="Arial" w:hAnsi="Arial" w:cs="Arial"/>
          <w:sz w:val="24"/>
          <w:szCs w:val="24"/>
        </w:rPr>
        <w:t xml:space="preserve"> annuali e ad </w:t>
      </w:r>
      <w:r w:rsidRPr="00742F7F">
        <w:rPr>
          <w:rFonts w:ascii="Arial" w:hAnsi="Arial" w:cs="Arial"/>
          <w:b/>
          <w:bCs/>
          <w:sz w:val="24"/>
          <w:szCs w:val="24"/>
        </w:rPr>
        <w:t xml:space="preserve">assicurare </w:t>
      </w:r>
      <w:r w:rsidRPr="00F85CD4">
        <w:rPr>
          <w:rFonts w:ascii="Arial" w:hAnsi="Arial" w:cs="Arial"/>
          <w:sz w:val="24"/>
          <w:szCs w:val="24"/>
        </w:rPr>
        <w:t xml:space="preserve">la propria attività, peraltro in via specifica per quanto attiene all’apposizione dei visti di conformità”. Per </w:t>
      </w:r>
      <w:r>
        <w:rPr>
          <w:rFonts w:ascii="Arial" w:hAnsi="Arial" w:cs="Arial"/>
          <w:sz w:val="24"/>
          <w:szCs w:val="24"/>
        </w:rPr>
        <w:t xml:space="preserve">il presidente della </w:t>
      </w:r>
      <w:r w:rsidR="00E3236B">
        <w:rPr>
          <w:rFonts w:ascii="Arial" w:hAnsi="Arial" w:cs="Arial"/>
          <w:sz w:val="24"/>
          <w:szCs w:val="24"/>
        </w:rPr>
        <w:t>categoria</w:t>
      </w:r>
      <w:r>
        <w:rPr>
          <w:rFonts w:ascii="Arial" w:hAnsi="Arial" w:cs="Arial"/>
          <w:sz w:val="24"/>
          <w:szCs w:val="24"/>
        </w:rPr>
        <w:t xml:space="preserve"> professionale</w:t>
      </w:r>
      <w:r w:rsidRPr="00F85CD4">
        <w:rPr>
          <w:rFonts w:ascii="Arial" w:hAnsi="Arial" w:cs="Arial"/>
          <w:sz w:val="24"/>
          <w:szCs w:val="24"/>
        </w:rPr>
        <w:t xml:space="preserve"> “quanto affermato dal TAR pugliese rappresenta un</w:t>
      </w:r>
      <w:r w:rsidR="001B67D7">
        <w:rPr>
          <w:rFonts w:ascii="Arial" w:hAnsi="Arial" w:cs="Arial"/>
          <w:sz w:val="24"/>
          <w:szCs w:val="24"/>
        </w:rPr>
        <w:t>’</w:t>
      </w:r>
      <w:r w:rsidRPr="00F85CD4">
        <w:rPr>
          <w:rFonts w:ascii="Arial" w:hAnsi="Arial" w:cs="Arial"/>
          <w:sz w:val="24"/>
          <w:szCs w:val="24"/>
        </w:rPr>
        <w:t xml:space="preserve">importante conferma che ribadisce quanto è scolpito nel quadro normativo, ovvero che le professioni ordinistiche rappresentano un </w:t>
      </w:r>
      <w:r w:rsidRPr="00742F7F">
        <w:rPr>
          <w:rFonts w:ascii="Arial" w:hAnsi="Arial" w:cs="Arial"/>
          <w:b/>
          <w:bCs/>
          <w:sz w:val="24"/>
          <w:szCs w:val="24"/>
        </w:rPr>
        <w:t>presidio di affidabilità</w:t>
      </w:r>
      <w:r w:rsidRPr="00F85CD4">
        <w:rPr>
          <w:rFonts w:ascii="Arial" w:hAnsi="Arial" w:cs="Arial"/>
          <w:sz w:val="24"/>
          <w:szCs w:val="24"/>
        </w:rPr>
        <w:t xml:space="preserve"> di cui lo Stato può e deve servirsi, in </w:t>
      </w:r>
      <w:r w:rsidRPr="00742F7F">
        <w:rPr>
          <w:rFonts w:ascii="Arial" w:hAnsi="Arial" w:cs="Arial"/>
          <w:b/>
          <w:bCs/>
          <w:sz w:val="24"/>
          <w:szCs w:val="24"/>
        </w:rPr>
        <w:t>via esclusiva</w:t>
      </w:r>
      <w:r w:rsidRPr="00F85CD4">
        <w:rPr>
          <w:rFonts w:ascii="Arial" w:hAnsi="Arial" w:cs="Arial"/>
          <w:sz w:val="24"/>
          <w:szCs w:val="24"/>
        </w:rPr>
        <w:t>, nell’interesse generale”. Anche per questo, conclude, “tra gli obiettivi del Consiglio Nazionale c’è proprio quello di i</w:t>
      </w:r>
      <w:r w:rsidRPr="00742F7F">
        <w:rPr>
          <w:rFonts w:ascii="Arial" w:hAnsi="Arial" w:cs="Arial"/>
          <w:b/>
          <w:bCs/>
          <w:sz w:val="24"/>
          <w:szCs w:val="24"/>
        </w:rPr>
        <w:t>stituzionalizzare</w:t>
      </w:r>
      <w:r w:rsidRPr="00F85CD4">
        <w:rPr>
          <w:rFonts w:ascii="Arial" w:hAnsi="Arial" w:cs="Arial"/>
          <w:sz w:val="24"/>
          <w:szCs w:val="24"/>
        </w:rPr>
        <w:t xml:space="preserve"> il ruolo dei Commercialisti, quali certificatori dell’esistenza dei presupposti per accedere a benefici pubblici, siano essi diretti o sotto forma di crediti di imposta”.</w:t>
      </w:r>
    </w:p>
    <w:p w14:paraId="51D9A55E" w14:textId="77777777" w:rsidR="00F85CD4" w:rsidRPr="00F85CD4" w:rsidRDefault="00F85CD4" w:rsidP="00D53F64">
      <w:pPr>
        <w:jc w:val="both"/>
        <w:rPr>
          <w:rFonts w:ascii="Arial" w:hAnsi="Arial" w:cs="Arial"/>
          <w:sz w:val="24"/>
          <w:szCs w:val="24"/>
        </w:rPr>
      </w:pPr>
    </w:p>
    <w:p w14:paraId="1D29F759" w14:textId="77777777" w:rsidR="00F85CD4" w:rsidRDefault="00F85CD4" w:rsidP="00D53F64">
      <w:pPr>
        <w:jc w:val="both"/>
        <w:rPr>
          <w:rFonts w:ascii="Arial" w:hAnsi="Arial" w:cs="Arial"/>
          <w:sz w:val="24"/>
          <w:szCs w:val="24"/>
        </w:rPr>
      </w:pPr>
    </w:p>
    <w:p w14:paraId="551A8FB8" w14:textId="77777777" w:rsidR="00FE009E" w:rsidRPr="00CC07C8" w:rsidRDefault="00FE009E" w:rsidP="00D53F64">
      <w:pPr>
        <w:pStyle w:val="xmsonormal0"/>
        <w:shd w:val="clear" w:color="auto" w:fill="FFFFFF"/>
        <w:jc w:val="center"/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</w:pPr>
    </w:p>
    <w:sectPr w:rsidR="00FE009E" w:rsidRPr="00CC07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D56B" w14:textId="77777777" w:rsidR="00E17A3E" w:rsidRDefault="00E17A3E" w:rsidP="0078332C">
      <w:r>
        <w:separator/>
      </w:r>
    </w:p>
  </w:endnote>
  <w:endnote w:type="continuationSeparator" w:id="0">
    <w:p w14:paraId="32DE7E41" w14:textId="77777777" w:rsidR="00E17A3E" w:rsidRDefault="00E17A3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E26C" w14:textId="77777777" w:rsidR="00E17A3E" w:rsidRDefault="00E17A3E" w:rsidP="0078332C">
      <w:r>
        <w:separator/>
      </w:r>
    </w:p>
  </w:footnote>
  <w:footnote w:type="continuationSeparator" w:id="0">
    <w:p w14:paraId="37EE47C9" w14:textId="77777777" w:rsidR="00E17A3E" w:rsidRDefault="00E17A3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272974247">
    <w:abstractNumId w:val="9"/>
  </w:num>
  <w:num w:numId="2" w16cid:durableId="1075205288">
    <w:abstractNumId w:val="5"/>
  </w:num>
  <w:num w:numId="3" w16cid:durableId="1597472057">
    <w:abstractNumId w:val="10"/>
  </w:num>
  <w:num w:numId="4" w16cid:durableId="1518302689">
    <w:abstractNumId w:val="6"/>
  </w:num>
  <w:num w:numId="5" w16cid:durableId="2111923873">
    <w:abstractNumId w:val="14"/>
  </w:num>
  <w:num w:numId="6" w16cid:durableId="988631382">
    <w:abstractNumId w:val="4"/>
  </w:num>
  <w:num w:numId="7" w16cid:durableId="1520583354">
    <w:abstractNumId w:val="0"/>
  </w:num>
  <w:num w:numId="8" w16cid:durableId="987366873">
    <w:abstractNumId w:val="12"/>
  </w:num>
  <w:num w:numId="9" w16cid:durableId="968780732">
    <w:abstractNumId w:val="7"/>
  </w:num>
  <w:num w:numId="10" w16cid:durableId="396901370">
    <w:abstractNumId w:val="7"/>
  </w:num>
  <w:num w:numId="11" w16cid:durableId="1187403673">
    <w:abstractNumId w:val="8"/>
  </w:num>
  <w:num w:numId="12" w16cid:durableId="1266380869">
    <w:abstractNumId w:val="2"/>
  </w:num>
  <w:num w:numId="13" w16cid:durableId="723256223">
    <w:abstractNumId w:val="13"/>
  </w:num>
  <w:num w:numId="14" w16cid:durableId="1199971298">
    <w:abstractNumId w:val="3"/>
  </w:num>
  <w:num w:numId="15" w16cid:durableId="66996684">
    <w:abstractNumId w:val="8"/>
    <w:lvlOverride w:ilvl="0">
      <w:startOverride w:val="1"/>
    </w:lvlOverride>
  </w:num>
  <w:num w:numId="16" w16cid:durableId="1572040160">
    <w:abstractNumId w:val="3"/>
    <w:lvlOverride w:ilvl="0">
      <w:startOverride w:val="1"/>
    </w:lvlOverride>
  </w:num>
  <w:num w:numId="17" w16cid:durableId="2082866945">
    <w:abstractNumId w:val="1"/>
  </w:num>
  <w:num w:numId="18" w16cid:durableId="611203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6090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8569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84238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558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407147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62611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E435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B5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2022-08-03T15:27:00Z</cp:lastPrinted>
  <dcterms:created xsi:type="dcterms:W3CDTF">2022-09-23T14:48:00Z</dcterms:created>
  <dcterms:modified xsi:type="dcterms:W3CDTF">2022-09-23T16:24:00Z</dcterms:modified>
</cp:coreProperties>
</file>