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BC0" w:rsidRDefault="00884BC0" w:rsidP="009704E6">
      <w:pPr>
        <w:spacing w:after="0" w:line="240" w:lineRule="auto"/>
        <w:jc w:val="both"/>
        <w:textAlignment w:val="baseline"/>
        <w:outlineLvl w:val="1"/>
        <w:rPr>
          <w:rFonts w:ascii="Arial" w:eastAsia="Times New Roman" w:hAnsi="Arial" w:cs="Arial"/>
          <w:b/>
          <w:bCs/>
          <w:sz w:val="24"/>
          <w:szCs w:val="24"/>
          <w:lang w:eastAsia="it-IT"/>
        </w:rPr>
      </w:pPr>
    </w:p>
    <w:p w:rsidR="009704E6" w:rsidRPr="00884BC0" w:rsidRDefault="009704E6" w:rsidP="009704E6">
      <w:pPr>
        <w:spacing w:after="0" w:line="240" w:lineRule="auto"/>
        <w:jc w:val="both"/>
        <w:textAlignment w:val="baseline"/>
        <w:outlineLvl w:val="1"/>
        <w:rPr>
          <w:rFonts w:ascii="Arial" w:eastAsia="Times New Roman" w:hAnsi="Arial" w:cs="Arial"/>
          <w:b/>
          <w:bCs/>
          <w:sz w:val="24"/>
          <w:szCs w:val="24"/>
          <w:u w:val="single"/>
          <w:lang w:eastAsia="it-IT"/>
        </w:rPr>
      </w:pPr>
      <w:r w:rsidRPr="00884BC0">
        <w:rPr>
          <w:rFonts w:ascii="Arial" w:eastAsia="Times New Roman" w:hAnsi="Arial" w:cs="Arial"/>
          <w:b/>
          <w:bCs/>
          <w:sz w:val="24"/>
          <w:szCs w:val="24"/>
          <w:u w:val="single"/>
          <w:lang w:eastAsia="it-IT"/>
        </w:rPr>
        <w:t>Comunicato stampa</w:t>
      </w:r>
    </w:p>
    <w:p w:rsidR="009704E6" w:rsidRDefault="009704E6" w:rsidP="009704E6">
      <w:pPr>
        <w:spacing w:after="0" w:line="240" w:lineRule="auto"/>
        <w:jc w:val="both"/>
        <w:textAlignment w:val="baseline"/>
        <w:outlineLvl w:val="1"/>
        <w:rPr>
          <w:rFonts w:ascii="Arial" w:eastAsia="Times New Roman" w:hAnsi="Arial" w:cs="Arial"/>
          <w:b/>
          <w:bCs/>
          <w:sz w:val="24"/>
          <w:szCs w:val="24"/>
          <w:lang w:eastAsia="it-IT"/>
        </w:rPr>
      </w:pPr>
    </w:p>
    <w:p w:rsidR="009704E6" w:rsidRPr="009704E6" w:rsidRDefault="009704E6" w:rsidP="009704E6">
      <w:pPr>
        <w:spacing w:after="0" w:line="240" w:lineRule="auto"/>
        <w:jc w:val="both"/>
        <w:textAlignment w:val="baseline"/>
        <w:outlineLvl w:val="1"/>
        <w:rPr>
          <w:rFonts w:ascii="Arial" w:eastAsia="Times New Roman" w:hAnsi="Arial" w:cs="Arial"/>
          <w:b/>
          <w:bCs/>
          <w:sz w:val="24"/>
          <w:szCs w:val="24"/>
          <w:lang w:eastAsia="it-IT"/>
        </w:rPr>
      </w:pPr>
      <w:r w:rsidRPr="009704E6">
        <w:rPr>
          <w:rFonts w:ascii="Arial" w:eastAsia="Times New Roman" w:hAnsi="Arial" w:cs="Arial"/>
          <w:b/>
          <w:bCs/>
          <w:sz w:val="24"/>
          <w:szCs w:val="24"/>
          <w:lang w:eastAsia="it-IT"/>
        </w:rPr>
        <w:t>IL PATTO DI FAMIGLIA E IL PASSAGGIO GENERAZIONALE DELL’IMPRESA</w:t>
      </w:r>
    </w:p>
    <w:p w:rsidR="009704E6" w:rsidRPr="009704E6" w:rsidRDefault="009704E6" w:rsidP="009704E6">
      <w:pPr>
        <w:spacing w:after="0" w:line="240" w:lineRule="auto"/>
        <w:jc w:val="both"/>
        <w:textAlignment w:val="baseline"/>
        <w:outlineLvl w:val="1"/>
        <w:rPr>
          <w:rFonts w:ascii="Arial" w:eastAsia="Times New Roman" w:hAnsi="Arial" w:cs="Arial"/>
          <w:b/>
          <w:bCs/>
          <w:sz w:val="24"/>
          <w:szCs w:val="24"/>
          <w:lang w:eastAsia="it-IT"/>
        </w:rPr>
      </w:pPr>
      <w:r w:rsidRPr="009704E6">
        <w:rPr>
          <w:rFonts w:ascii="Arial" w:eastAsia="Times New Roman" w:hAnsi="Arial" w:cs="Arial"/>
          <w:b/>
          <w:bCs/>
          <w:sz w:val="24"/>
          <w:szCs w:val="24"/>
          <w:lang w:eastAsia="it-IT"/>
        </w:rPr>
        <w:t>Pubblicato il documento del Consiglio e della Fondazione nazionali dei commercialisti che analizza un tema di grande attualità per la categoria</w:t>
      </w:r>
    </w:p>
    <w:p w:rsidR="009704E6" w:rsidRPr="009704E6" w:rsidRDefault="009704E6" w:rsidP="009704E6">
      <w:pPr>
        <w:shd w:val="clear" w:color="auto" w:fill="FFFFFF"/>
        <w:spacing w:after="0" w:line="240" w:lineRule="auto"/>
        <w:jc w:val="both"/>
        <w:textAlignment w:val="baseline"/>
        <w:rPr>
          <w:rFonts w:ascii="Arial" w:eastAsia="Times New Roman" w:hAnsi="Arial" w:cs="Arial"/>
          <w:b/>
          <w:bCs/>
          <w:sz w:val="24"/>
          <w:szCs w:val="24"/>
          <w:lang w:eastAsia="it-IT"/>
        </w:rPr>
      </w:pP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bookmarkStart w:id="0" w:name="_GoBack"/>
      <w:r w:rsidRPr="007E3D11">
        <w:rPr>
          <w:rFonts w:ascii="Arial" w:eastAsia="Times New Roman" w:hAnsi="Arial" w:cs="Arial"/>
          <w:i/>
          <w:iCs/>
          <w:color w:val="333333"/>
          <w:sz w:val="24"/>
          <w:szCs w:val="24"/>
          <w:lang w:eastAsia="it-IT"/>
        </w:rPr>
        <w:t>Roma, 2</w:t>
      </w:r>
      <w:r w:rsidR="007F6EA0" w:rsidRPr="007E3D11">
        <w:rPr>
          <w:rFonts w:ascii="Arial" w:eastAsia="Times New Roman" w:hAnsi="Arial" w:cs="Arial"/>
          <w:i/>
          <w:iCs/>
          <w:color w:val="333333"/>
          <w:sz w:val="24"/>
          <w:szCs w:val="24"/>
          <w:lang w:eastAsia="it-IT"/>
        </w:rPr>
        <w:t>3</w:t>
      </w:r>
      <w:r w:rsidRPr="007E3D11">
        <w:rPr>
          <w:rFonts w:ascii="Arial" w:eastAsia="Times New Roman" w:hAnsi="Arial" w:cs="Arial"/>
          <w:i/>
          <w:iCs/>
          <w:color w:val="333333"/>
          <w:sz w:val="24"/>
          <w:szCs w:val="24"/>
          <w:lang w:eastAsia="it-IT"/>
        </w:rPr>
        <w:t xml:space="preserve"> luglio 2020</w:t>
      </w:r>
      <w:r>
        <w:rPr>
          <w:rFonts w:ascii="Arial" w:eastAsia="Times New Roman" w:hAnsi="Arial" w:cs="Arial"/>
          <w:color w:val="333333"/>
          <w:sz w:val="24"/>
          <w:szCs w:val="24"/>
          <w:lang w:eastAsia="it-IT"/>
        </w:rPr>
        <w:t xml:space="preserve"> </w:t>
      </w:r>
      <w:bookmarkEnd w:id="0"/>
      <w:r>
        <w:rPr>
          <w:rFonts w:ascii="Arial" w:eastAsia="Times New Roman" w:hAnsi="Arial" w:cs="Arial"/>
          <w:color w:val="333333"/>
          <w:sz w:val="24"/>
          <w:szCs w:val="24"/>
          <w:lang w:eastAsia="it-IT"/>
        </w:rPr>
        <w:t xml:space="preserve">– </w:t>
      </w:r>
      <w:r w:rsidRPr="009704E6">
        <w:rPr>
          <w:rFonts w:ascii="Arial" w:eastAsia="Times New Roman" w:hAnsi="Arial" w:cs="Arial"/>
          <w:color w:val="333333"/>
          <w:sz w:val="24"/>
          <w:szCs w:val="24"/>
          <w:lang w:eastAsia="it-IT"/>
        </w:rPr>
        <w:t>Il Consiglio e la Fondazione nazionali dei commercialisti hanno pubblicato il documento “</w:t>
      </w:r>
      <w:r w:rsidRPr="009704E6">
        <w:rPr>
          <w:rFonts w:ascii="Arial" w:eastAsia="Times New Roman" w:hAnsi="Arial" w:cs="Arial"/>
          <w:b/>
          <w:bCs/>
          <w:color w:val="333333"/>
          <w:sz w:val="24"/>
          <w:szCs w:val="24"/>
          <w:bdr w:val="none" w:sz="0" w:space="0" w:color="auto" w:frame="1"/>
          <w:lang w:eastAsia="it-IT"/>
        </w:rPr>
        <w:t>Il patto di famiglia e il passaggio generazionale dell’impresa</w:t>
      </w:r>
      <w:r w:rsidRPr="009704E6">
        <w:rPr>
          <w:rFonts w:ascii="Arial" w:eastAsia="Times New Roman" w:hAnsi="Arial" w:cs="Arial"/>
          <w:color w:val="333333"/>
          <w:sz w:val="24"/>
          <w:szCs w:val="24"/>
          <w:lang w:eastAsia="it-IT"/>
        </w:rPr>
        <w:t>”, realizzato dal gruppo di lavoro interdisciplinare “Tutela del patrimonio” guidato dai consiglieri nazionali delegati alla Fiscalità, </w:t>
      </w:r>
      <w:r w:rsidRPr="009704E6">
        <w:rPr>
          <w:rFonts w:ascii="Arial" w:eastAsia="Times New Roman" w:hAnsi="Arial" w:cs="Arial"/>
          <w:b/>
          <w:bCs/>
          <w:color w:val="333333"/>
          <w:sz w:val="24"/>
          <w:szCs w:val="24"/>
          <w:bdr w:val="none" w:sz="0" w:space="0" w:color="auto" w:frame="1"/>
          <w:lang w:eastAsia="it-IT"/>
        </w:rPr>
        <w:t>Gilberto Gelosa</w:t>
      </w:r>
      <w:r w:rsidRPr="009704E6">
        <w:rPr>
          <w:rFonts w:ascii="Arial" w:eastAsia="Times New Roman" w:hAnsi="Arial" w:cs="Arial"/>
          <w:color w:val="333333"/>
          <w:sz w:val="24"/>
          <w:szCs w:val="24"/>
          <w:lang w:eastAsia="it-IT"/>
        </w:rPr>
        <w:t> e </w:t>
      </w:r>
      <w:r w:rsidRPr="009704E6">
        <w:rPr>
          <w:rFonts w:ascii="Arial" w:eastAsia="Times New Roman" w:hAnsi="Arial" w:cs="Arial"/>
          <w:b/>
          <w:bCs/>
          <w:color w:val="333333"/>
          <w:sz w:val="24"/>
          <w:szCs w:val="24"/>
          <w:bdr w:val="none" w:sz="0" w:space="0" w:color="auto" w:frame="1"/>
          <w:lang w:eastAsia="it-IT"/>
        </w:rPr>
        <w:t>Maurizio Postal</w:t>
      </w:r>
      <w:r w:rsidRPr="009704E6">
        <w:rPr>
          <w:rFonts w:ascii="Arial" w:eastAsia="Times New Roman" w:hAnsi="Arial" w:cs="Arial"/>
          <w:color w:val="333333"/>
          <w:sz w:val="24"/>
          <w:szCs w:val="24"/>
          <w:lang w:eastAsia="it-IT"/>
        </w:rPr>
        <w:t>, e al Diritto Societario, </w:t>
      </w:r>
      <w:r w:rsidRPr="009704E6">
        <w:rPr>
          <w:rFonts w:ascii="Arial" w:eastAsia="Times New Roman" w:hAnsi="Arial" w:cs="Arial"/>
          <w:b/>
          <w:bCs/>
          <w:color w:val="333333"/>
          <w:sz w:val="24"/>
          <w:szCs w:val="24"/>
          <w:bdr w:val="none" w:sz="0" w:space="0" w:color="auto" w:frame="1"/>
          <w:lang w:eastAsia="it-IT"/>
        </w:rPr>
        <w:t>Massimo Scotton</w:t>
      </w:r>
      <w:r w:rsidRPr="009704E6">
        <w:rPr>
          <w:rFonts w:ascii="Arial" w:eastAsia="Times New Roman" w:hAnsi="Arial" w:cs="Arial"/>
          <w:color w:val="333333"/>
          <w:sz w:val="24"/>
          <w:szCs w:val="24"/>
          <w:lang w:eastAsia="it-IT"/>
        </w:rPr>
        <w:t> e </w:t>
      </w:r>
      <w:r w:rsidRPr="009704E6">
        <w:rPr>
          <w:rFonts w:ascii="Arial" w:eastAsia="Times New Roman" w:hAnsi="Arial" w:cs="Arial"/>
          <w:b/>
          <w:bCs/>
          <w:color w:val="333333"/>
          <w:sz w:val="24"/>
          <w:szCs w:val="24"/>
          <w:bdr w:val="none" w:sz="0" w:space="0" w:color="auto" w:frame="1"/>
          <w:lang w:eastAsia="it-IT"/>
        </w:rPr>
        <w:t>Lorenzo Sirch</w:t>
      </w:r>
      <w:r w:rsidRPr="009704E6">
        <w:rPr>
          <w:rFonts w:ascii="Arial" w:eastAsia="Times New Roman" w:hAnsi="Arial" w:cs="Arial"/>
          <w:color w:val="333333"/>
          <w:sz w:val="24"/>
          <w:szCs w:val="24"/>
          <w:lang w:eastAsia="it-IT"/>
        </w:rPr>
        <w:t>.</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Il passaggio generazionale rappresenta un momento importante per l’impresa perché, se non impostato nei tempi giusti, ne può compromettere il patrimonio economico e sociale. Un </w:t>
      </w:r>
      <w:r w:rsidRPr="009704E6">
        <w:rPr>
          <w:rFonts w:ascii="Arial" w:eastAsia="Times New Roman" w:hAnsi="Arial" w:cs="Arial"/>
          <w:b/>
          <w:bCs/>
          <w:color w:val="333333"/>
          <w:sz w:val="24"/>
          <w:szCs w:val="24"/>
          <w:bdr w:val="none" w:sz="0" w:space="0" w:color="auto" w:frame="1"/>
          <w:lang w:eastAsia="it-IT"/>
        </w:rPr>
        <w:t>tema di grande attualità</w:t>
      </w:r>
      <w:r w:rsidRPr="009704E6">
        <w:rPr>
          <w:rFonts w:ascii="Arial" w:eastAsia="Times New Roman" w:hAnsi="Arial" w:cs="Arial"/>
          <w:color w:val="333333"/>
          <w:sz w:val="24"/>
          <w:szCs w:val="24"/>
          <w:lang w:eastAsia="it-IT"/>
        </w:rPr>
        <w:t> per la categoria che svolge un ruolo fondamentale in quanto il</w:t>
      </w:r>
      <w:r w:rsidRPr="009704E6">
        <w:rPr>
          <w:rFonts w:ascii="Arial" w:eastAsia="Times New Roman" w:hAnsi="Arial" w:cs="Arial"/>
          <w:b/>
          <w:bCs/>
          <w:color w:val="333333"/>
          <w:sz w:val="24"/>
          <w:szCs w:val="24"/>
          <w:bdr w:val="none" w:sz="0" w:space="0" w:color="auto" w:frame="1"/>
          <w:lang w:eastAsia="it-IT"/>
        </w:rPr>
        <w:t> commercialista è consulente e persona di fiducia</w:t>
      </w:r>
      <w:r w:rsidRPr="009704E6">
        <w:rPr>
          <w:rFonts w:ascii="Arial" w:eastAsia="Times New Roman" w:hAnsi="Arial" w:cs="Arial"/>
          <w:color w:val="333333"/>
          <w:sz w:val="24"/>
          <w:szCs w:val="24"/>
          <w:lang w:eastAsia="it-IT"/>
        </w:rPr>
        <w:t> del nucleo familiare.  A lui spetta il compito di affiancare e supportare l’imprenditore nell’individuazione degli strumenti che consentano di raggiungere una più efficace e meno onerosa tutela del patrimonio familiare, in un’ottica sia conservativa che trasmissiva.</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Si tratta di un ruolo complesso che comporta il diretto contatto con l’imprenditore e la sua famiglia, un compito che privilegia, oltre alle </w:t>
      </w:r>
      <w:r w:rsidRPr="009704E6">
        <w:rPr>
          <w:rFonts w:ascii="Arial" w:eastAsia="Times New Roman" w:hAnsi="Arial" w:cs="Arial"/>
          <w:b/>
          <w:bCs/>
          <w:color w:val="333333"/>
          <w:sz w:val="24"/>
          <w:szCs w:val="24"/>
          <w:bdr w:val="none" w:sz="0" w:space="0" w:color="auto" w:frame="1"/>
          <w:lang w:eastAsia="it-IT"/>
        </w:rPr>
        <w:t>competenze aziendalistiche e tributarie</w:t>
      </w:r>
      <w:r w:rsidRPr="009704E6">
        <w:rPr>
          <w:rFonts w:ascii="Arial" w:eastAsia="Times New Roman" w:hAnsi="Arial" w:cs="Arial"/>
          <w:color w:val="333333"/>
          <w:sz w:val="24"/>
          <w:szCs w:val="24"/>
          <w:lang w:eastAsia="it-IT"/>
        </w:rPr>
        <w:t> del professionista, la sua </w:t>
      </w:r>
      <w:r w:rsidRPr="009704E6">
        <w:rPr>
          <w:rFonts w:ascii="Arial" w:eastAsia="Times New Roman" w:hAnsi="Arial" w:cs="Arial"/>
          <w:b/>
          <w:bCs/>
          <w:color w:val="333333"/>
          <w:sz w:val="24"/>
          <w:szCs w:val="24"/>
          <w:bdr w:val="none" w:sz="0" w:space="0" w:color="auto" w:frame="1"/>
          <w:lang w:eastAsia="it-IT"/>
        </w:rPr>
        <w:t>vocazione alla mediazione</w:t>
      </w:r>
      <w:r w:rsidRPr="009704E6">
        <w:rPr>
          <w:rFonts w:ascii="Arial" w:eastAsia="Times New Roman" w:hAnsi="Arial" w:cs="Arial"/>
          <w:color w:val="333333"/>
          <w:sz w:val="24"/>
          <w:szCs w:val="24"/>
          <w:lang w:eastAsia="it-IT"/>
        </w:rPr>
        <w:t>: sarà di estrema importanza, infatti, gestire il passaggio generazionale in modo da conservare inalterata la fiducia dei finanziatori e dei fornitori dell’impresa, tentando al contempo di evitare possibili controversie tra futuri eredi.</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Il documento è diviso in sei sezioni.  Nell’introduzione si analizzano le </w:t>
      </w:r>
      <w:r w:rsidRPr="009704E6">
        <w:rPr>
          <w:rFonts w:ascii="Arial" w:eastAsia="Times New Roman" w:hAnsi="Arial" w:cs="Arial"/>
          <w:b/>
          <w:bCs/>
          <w:color w:val="333333"/>
          <w:sz w:val="24"/>
          <w:szCs w:val="24"/>
          <w:bdr w:val="none" w:sz="0" w:space="0" w:color="auto" w:frame="1"/>
          <w:lang w:eastAsia="it-IT"/>
        </w:rPr>
        <w:t>specifiche esigenze familiari</w:t>
      </w:r>
      <w:r w:rsidRPr="009704E6">
        <w:rPr>
          <w:rFonts w:ascii="Arial" w:eastAsia="Times New Roman" w:hAnsi="Arial" w:cs="Arial"/>
          <w:color w:val="333333"/>
          <w:sz w:val="24"/>
          <w:szCs w:val="24"/>
          <w:lang w:eastAsia="it-IT"/>
        </w:rPr>
        <w:t>, la necessaria </w:t>
      </w:r>
      <w:r w:rsidRPr="009704E6">
        <w:rPr>
          <w:rFonts w:ascii="Arial" w:eastAsia="Times New Roman" w:hAnsi="Arial" w:cs="Arial"/>
          <w:b/>
          <w:bCs/>
          <w:color w:val="333333"/>
          <w:sz w:val="24"/>
          <w:szCs w:val="24"/>
          <w:bdr w:val="none" w:sz="0" w:space="0" w:color="auto" w:frame="1"/>
          <w:lang w:eastAsia="it-IT"/>
        </w:rPr>
        <w:t>tutela dei rapporti consolidati</w:t>
      </w:r>
      <w:r w:rsidRPr="009704E6">
        <w:rPr>
          <w:rFonts w:ascii="Arial" w:eastAsia="Times New Roman" w:hAnsi="Arial" w:cs="Arial"/>
          <w:color w:val="333333"/>
          <w:sz w:val="24"/>
          <w:szCs w:val="24"/>
          <w:lang w:eastAsia="it-IT"/>
        </w:rPr>
        <w:t> con banche e fornitori e la valutazione dell’opportunità di un periodo di </w:t>
      </w:r>
      <w:r w:rsidRPr="009704E6">
        <w:rPr>
          <w:rFonts w:ascii="Arial" w:eastAsia="Times New Roman" w:hAnsi="Arial" w:cs="Arial"/>
          <w:b/>
          <w:bCs/>
          <w:color w:val="333333"/>
          <w:sz w:val="24"/>
          <w:szCs w:val="24"/>
          <w:bdr w:val="none" w:sz="0" w:space="0" w:color="auto" w:frame="1"/>
          <w:lang w:eastAsia="it-IT"/>
        </w:rPr>
        <w:t>affiancamento nella governance aziendale</w:t>
      </w:r>
      <w:r w:rsidRPr="009704E6">
        <w:rPr>
          <w:rFonts w:ascii="Arial" w:eastAsia="Times New Roman" w:hAnsi="Arial" w:cs="Arial"/>
          <w:color w:val="333333"/>
          <w:sz w:val="24"/>
          <w:szCs w:val="24"/>
          <w:lang w:eastAsia="it-IT"/>
        </w:rPr>
        <w:t> oltre al ruolo del consulente.</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Pr>
          <w:rFonts w:ascii="Arial" w:eastAsia="Times New Roman" w:hAnsi="Arial" w:cs="Arial"/>
          <w:color w:val="333333"/>
          <w:sz w:val="24"/>
          <w:szCs w:val="24"/>
          <w:lang w:eastAsia="it-IT"/>
        </w:rPr>
        <w:t xml:space="preserve">Si passa poi </w:t>
      </w:r>
      <w:r w:rsidRPr="009704E6">
        <w:rPr>
          <w:rFonts w:ascii="Arial" w:eastAsia="Times New Roman" w:hAnsi="Arial" w:cs="Arial"/>
          <w:color w:val="333333"/>
          <w:sz w:val="24"/>
          <w:szCs w:val="24"/>
          <w:lang w:eastAsia="it-IT"/>
        </w:rPr>
        <w:t>ad un approfondimento dei </w:t>
      </w:r>
      <w:r w:rsidRPr="009704E6">
        <w:rPr>
          <w:rFonts w:ascii="Arial" w:eastAsia="Times New Roman" w:hAnsi="Arial" w:cs="Arial"/>
          <w:b/>
          <w:bCs/>
          <w:color w:val="333333"/>
          <w:sz w:val="24"/>
          <w:szCs w:val="24"/>
          <w:bdr w:val="none" w:sz="0" w:space="0" w:color="auto" w:frame="1"/>
          <w:lang w:eastAsia="it-IT"/>
        </w:rPr>
        <w:t>profili civilistici,</w:t>
      </w:r>
      <w:r w:rsidRPr="009704E6">
        <w:rPr>
          <w:rFonts w:ascii="Arial" w:eastAsia="Times New Roman" w:hAnsi="Arial" w:cs="Arial"/>
          <w:color w:val="333333"/>
          <w:sz w:val="24"/>
          <w:szCs w:val="24"/>
          <w:lang w:eastAsia="it-IT"/>
        </w:rPr>
        <w:t> in particolare dell’istituto del patto di famiglia, la sua impugnazione, lo scioglimento del contratto e la conciliazione e la risoluzione delle controversie. Spazio poi ai profili </w:t>
      </w:r>
      <w:r w:rsidRPr="009704E6">
        <w:rPr>
          <w:rFonts w:ascii="Arial" w:eastAsia="Times New Roman" w:hAnsi="Arial" w:cs="Arial"/>
          <w:b/>
          <w:bCs/>
          <w:color w:val="333333"/>
          <w:sz w:val="24"/>
          <w:szCs w:val="24"/>
          <w:bdr w:val="none" w:sz="0" w:space="0" w:color="auto" w:frame="1"/>
          <w:lang w:eastAsia="it-IT"/>
        </w:rPr>
        <w:t>valutativi e</w:t>
      </w:r>
      <w:r w:rsidRPr="009704E6">
        <w:rPr>
          <w:rFonts w:ascii="Arial" w:eastAsia="Times New Roman" w:hAnsi="Arial" w:cs="Arial"/>
          <w:color w:val="333333"/>
          <w:sz w:val="24"/>
          <w:szCs w:val="24"/>
          <w:lang w:eastAsia="it-IT"/>
        </w:rPr>
        <w:t> ai profili </w:t>
      </w:r>
      <w:r w:rsidRPr="009704E6">
        <w:rPr>
          <w:rFonts w:ascii="Arial" w:eastAsia="Times New Roman" w:hAnsi="Arial" w:cs="Arial"/>
          <w:b/>
          <w:bCs/>
          <w:color w:val="333333"/>
          <w:sz w:val="24"/>
          <w:szCs w:val="24"/>
          <w:bdr w:val="none" w:sz="0" w:space="0" w:color="auto" w:frame="1"/>
          <w:lang w:eastAsia="it-IT"/>
        </w:rPr>
        <w:t>fiscali</w:t>
      </w:r>
      <w:r w:rsidRPr="009704E6">
        <w:rPr>
          <w:rFonts w:ascii="Arial" w:eastAsia="Times New Roman" w:hAnsi="Arial" w:cs="Arial"/>
          <w:color w:val="333333"/>
          <w:sz w:val="24"/>
          <w:szCs w:val="24"/>
          <w:lang w:eastAsia="it-IT"/>
        </w:rPr>
        <w:t> dove il ruolo del Commercialista è fondamentale per l’individuazione degli strumenti che consentono di raggiungere una più efficace e meno onerosa tutela del patrimonio e ciò in un’ottica sia conservativa che trasmissiva.</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A questo fine, è opportuna non solo un’approfondita conoscenza tecnica degli strumenti esistenti, ma anche una particolare </w:t>
      </w:r>
      <w:r w:rsidRPr="009704E6">
        <w:rPr>
          <w:rFonts w:ascii="Arial" w:eastAsia="Times New Roman" w:hAnsi="Arial" w:cs="Arial"/>
          <w:b/>
          <w:bCs/>
          <w:color w:val="333333"/>
          <w:sz w:val="24"/>
          <w:szCs w:val="24"/>
          <w:bdr w:val="none" w:sz="0" w:space="0" w:color="auto" w:frame="1"/>
          <w:lang w:eastAsia="it-IT"/>
        </w:rPr>
        <w:t>attenzione alle specifiche esigenze familiari</w:t>
      </w:r>
      <w:r w:rsidRPr="009704E6">
        <w:rPr>
          <w:rFonts w:ascii="Arial" w:eastAsia="Times New Roman" w:hAnsi="Arial" w:cs="Arial"/>
          <w:color w:val="333333"/>
          <w:sz w:val="24"/>
          <w:szCs w:val="24"/>
          <w:lang w:eastAsia="it-IT"/>
        </w:rPr>
        <w:t>, tenuto conto di tutti gli elementi non solo patrimoniali, ma anche personali. Nella valutazione complessiva, inoltre, un ruolo non secondario deve essere riservato ad una adeguata comparazione fra il diverso “costo fiscale” e “gestionale” che può comportare l’operazione, in funzione dello strumento prescelto. Si passa poi ad un confronto tra i vari istituti e un focus sui ruoli dell’imprenditore, del commercialista e del legislatore.</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Conclude il documento un approfondimento sugli aspetti che richiedono </w:t>
      </w:r>
      <w:r w:rsidRPr="009704E6">
        <w:rPr>
          <w:rFonts w:ascii="Arial" w:eastAsia="Times New Roman" w:hAnsi="Arial" w:cs="Arial"/>
          <w:b/>
          <w:bCs/>
          <w:color w:val="333333"/>
          <w:sz w:val="24"/>
          <w:szCs w:val="24"/>
          <w:bdr w:val="none" w:sz="0" w:space="0" w:color="auto" w:frame="1"/>
          <w:lang w:eastAsia="it-IT"/>
        </w:rPr>
        <w:t>urgenti interventi normativi</w:t>
      </w:r>
      <w:r w:rsidRPr="009704E6">
        <w:rPr>
          <w:rFonts w:ascii="Arial" w:eastAsia="Times New Roman" w:hAnsi="Arial" w:cs="Arial"/>
          <w:color w:val="333333"/>
          <w:sz w:val="24"/>
          <w:szCs w:val="24"/>
          <w:lang w:eastAsia="it-IT"/>
        </w:rPr>
        <w:t>. Nell’ambito del suo auspicabile intervento chiarificatore, il principio informatore del legislatore dovrebbe partire dalla considerazione che l’azienda vada salvaguardata come entità portatrice di ricchezza, non solo per i suoi proprietari, ma anche per tutti i portatori di interesse che la circondano.</w:t>
      </w:r>
      <w:r>
        <w:rPr>
          <w:rFonts w:ascii="Arial" w:eastAsia="Times New Roman" w:hAnsi="Arial" w:cs="Arial"/>
          <w:color w:val="333333"/>
          <w:sz w:val="24"/>
          <w:szCs w:val="24"/>
          <w:lang w:eastAsia="it-IT"/>
        </w:rPr>
        <w:t xml:space="preserve"> </w:t>
      </w:r>
      <w:r w:rsidRPr="009704E6">
        <w:rPr>
          <w:rFonts w:ascii="Arial" w:eastAsia="Times New Roman" w:hAnsi="Arial" w:cs="Arial"/>
          <w:color w:val="333333"/>
          <w:sz w:val="24"/>
          <w:szCs w:val="24"/>
          <w:lang w:eastAsia="it-IT"/>
        </w:rPr>
        <w:t>Di conseguenza, pur nel rispetto dei principi relativi alla proprietà e, a valle, dei diritti dei legittimari che sull’acquisizione di quella proprietà fondano, in tutto o in parte, le loro aspettative future, le norme dovrebbero essere tese a </w:t>
      </w:r>
      <w:r w:rsidRPr="009704E6">
        <w:rPr>
          <w:rFonts w:ascii="Arial" w:eastAsia="Times New Roman" w:hAnsi="Arial" w:cs="Arial"/>
          <w:b/>
          <w:bCs/>
          <w:color w:val="333333"/>
          <w:sz w:val="24"/>
          <w:szCs w:val="24"/>
          <w:bdr w:val="none" w:sz="0" w:space="0" w:color="auto" w:frame="1"/>
          <w:lang w:eastAsia="it-IT"/>
        </w:rPr>
        <w:t>salvaguardare</w:t>
      </w:r>
      <w:r w:rsidRPr="009704E6">
        <w:rPr>
          <w:rFonts w:ascii="Arial" w:eastAsia="Times New Roman" w:hAnsi="Arial" w:cs="Arial"/>
          <w:color w:val="333333"/>
          <w:sz w:val="24"/>
          <w:szCs w:val="24"/>
          <w:lang w:eastAsia="it-IT"/>
        </w:rPr>
        <w:t> il più possibile </w:t>
      </w:r>
      <w:r w:rsidRPr="009704E6">
        <w:rPr>
          <w:rFonts w:ascii="Arial" w:eastAsia="Times New Roman" w:hAnsi="Arial" w:cs="Arial"/>
          <w:b/>
          <w:bCs/>
          <w:color w:val="333333"/>
          <w:sz w:val="24"/>
          <w:szCs w:val="24"/>
          <w:bdr w:val="none" w:sz="0" w:space="0" w:color="auto" w:frame="1"/>
          <w:lang w:eastAsia="it-IT"/>
        </w:rPr>
        <w:t>il “bene azienda” in sé</w:t>
      </w:r>
      <w:r w:rsidRPr="009704E6">
        <w:rPr>
          <w:rFonts w:ascii="Arial" w:eastAsia="Times New Roman" w:hAnsi="Arial" w:cs="Arial"/>
          <w:color w:val="333333"/>
          <w:sz w:val="24"/>
          <w:szCs w:val="24"/>
          <w:lang w:eastAsia="it-IT"/>
        </w:rPr>
        <w:t>, nell’interesse anche di tutti gli altri stakeholders.</w:t>
      </w:r>
    </w:p>
    <w:p w:rsid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p>
    <w:p w:rsidR="009704E6" w:rsidRPr="009704E6" w:rsidRDefault="009704E6" w:rsidP="009704E6">
      <w:pPr>
        <w:shd w:val="clear" w:color="auto" w:fill="FFFFFF"/>
        <w:spacing w:after="0" w:line="240" w:lineRule="auto"/>
        <w:jc w:val="both"/>
        <w:textAlignment w:val="baseline"/>
        <w:rPr>
          <w:rFonts w:ascii="Arial" w:eastAsia="Times New Roman" w:hAnsi="Arial" w:cs="Arial"/>
          <w:color w:val="333333"/>
          <w:sz w:val="24"/>
          <w:szCs w:val="24"/>
          <w:lang w:eastAsia="it-IT"/>
        </w:rPr>
      </w:pPr>
      <w:r w:rsidRPr="009704E6">
        <w:rPr>
          <w:rFonts w:ascii="Arial" w:eastAsia="Times New Roman" w:hAnsi="Arial" w:cs="Arial"/>
          <w:color w:val="333333"/>
          <w:sz w:val="24"/>
          <w:szCs w:val="24"/>
          <w:lang w:eastAsia="it-IT"/>
        </w:rPr>
        <w:t>In particolare, i temi su cui il legislatore dovrebbe intervenire riguardano la necessità della partecipazione di tutti i legittimari all’atto; la possibilità di liquidare le quote di legittima spettanti ai legittimari non assegnatari direttamente da parte del disponente; l’individuazione delle partecipazioni che possono essere oggetto del patto di famiglia.</w:t>
      </w:r>
    </w:p>
    <w:p w:rsidR="001E5E75" w:rsidRPr="009704E6" w:rsidRDefault="001E5E75" w:rsidP="009704E6">
      <w:pPr>
        <w:spacing w:after="0" w:line="240" w:lineRule="auto"/>
        <w:jc w:val="both"/>
        <w:rPr>
          <w:rFonts w:ascii="Arial" w:hAnsi="Arial" w:cs="Arial"/>
          <w:sz w:val="24"/>
          <w:szCs w:val="24"/>
        </w:rPr>
      </w:pPr>
    </w:p>
    <w:sectPr w:rsidR="001E5E75" w:rsidRPr="009704E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C26" w:rsidRDefault="00212C26" w:rsidP="00884BC0">
      <w:pPr>
        <w:spacing w:after="0" w:line="240" w:lineRule="auto"/>
      </w:pPr>
      <w:r>
        <w:separator/>
      </w:r>
    </w:p>
  </w:endnote>
  <w:endnote w:type="continuationSeparator" w:id="0">
    <w:p w:rsidR="00212C26" w:rsidRDefault="00212C26" w:rsidP="008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C26" w:rsidRDefault="00212C26" w:rsidP="00884BC0">
      <w:pPr>
        <w:spacing w:after="0" w:line="240" w:lineRule="auto"/>
      </w:pPr>
      <w:r>
        <w:separator/>
      </w:r>
    </w:p>
  </w:footnote>
  <w:footnote w:type="continuationSeparator" w:id="0">
    <w:p w:rsidR="00212C26" w:rsidRDefault="00212C26" w:rsidP="008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BC0" w:rsidRDefault="00884BC0">
    <w:pPr>
      <w:pStyle w:val="Intestazione"/>
    </w:pPr>
    <w:r w:rsidRPr="00A945F8">
      <w:rPr>
        <w:noProof/>
      </w:rPr>
      <w:drawing>
        <wp:inline distT="0" distB="0" distL="0" distR="0" wp14:anchorId="25A53E9B" wp14:editId="4F5F9A26">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E6"/>
    <w:rsid w:val="001E5E75"/>
    <w:rsid w:val="00212C26"/>
    <w:rsid w:val="007E3D11"/>
    <w:rsid w:val="007F6EA0"/>
    <w:rsid w:val="00884BC0"/>
    <w:rsid w:val="009704E6"/>
    <w:rsid w:val="00BD4C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B040"/>
  <w15:chartTrackingRefBased/>
  <w15:docId w15:val="{B92D622E-726F-47B6-B70A-63EC5859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4B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BC0"/>
  </w:style>
  <w:style w:type="paragraph" w:styleId="Pidipagina">
    <w:name w:val="footer"/>
    <w:basedOn w:val="Normale"/>
    <w:link w:val="PidipaginaCarattere"/>
    <w:uiPriority w:val="99"/>
    <w:unhideWhenUsed/>
    <w:rsid w:val="00884B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961594">
      <w:bodyDiv w:val="1"/>
      <w:marLeft w:val="0"/>
      <w:marRight w:val="0"/>
      <w:marTop w:val="0"/>
      <w:marBottom w:val="0"/>
      <w:divBdr>
        <w:top w:val="none" w:sz="0" w:space="0" w:color="auto"/>
        <w:left w:val="none" w:sz="0" w:space="0" w:color="auto"/>
        <w:bottom w:val="none" w:sz="0" w:space="0" w:color="auto"/>
        <w:right w:val="none" w:sz="0" w:space="0" w:color="auto"/>
      </w:divBdr>
      <w:divsChild>
        <w:div w:id="1181508957">
          <w:marLeft w:val="0"/>
          <w:marRight w:val="0"/>
          <w:marTop w:val="0"/>
          <w:marBottom w:val="0"/>
          <w:divBdr>
            <w:top w:val="none" w:sz="0" w:space="0" w:color="auto"/>
            <w:left w:val="none" w:sz="0" w:space="0" w:color="auto"/>
            <w:bottom w:val="none" w:sz="0" w:space="0" w:color="auto"/>
            <w:right w:val="none" w:sz="0" w:space="0" w:color="auto"/>
          </w:divBdr>
        </w:div>
        <w:div w:id="947390391">
          <w:marLeft w:val="0"/>
          <w:marRight w:val="0"/>
          <w:marTop w:val="0"/>
          <w:marBottom w:val="0"/>
          <w:divBdr>
            <w:top w:val="none" w:sz="0" w:space="0" w:color="auto"/>
            <w:left w:val="none" w:sz="0" w:space="0" w:color="auto"/>
            <w:bottom w:val="none" w:sz="0" w:space="0" w:color="auto"/>
            <w:right w:val="none" w:sz="0" w:space="0" w:color="auto"/>
          </w:divBdr>
          <w:divsChild>
            <w:div w:id="702286600">
              <w:marLeft w:val="0"/>
              <w:marRight w:val="0"/>
              <w:marTop w:val="0"/>
              <w:marBottom w:val="0"/>
              <w:divBdr>
                <w:top w:val="none" w:sz="0" w:space="0" w:color="auto"/>
                <w:left w:val="none" w:sz="0" w:space="0" w:color="auto"/>
                <w:bottom w:val="none" w:sz="0" w:space="0" w:color="auto"/>
                <w:right w:val="none" w:sz="0" w:space="0" w:color="auto"/>
              </w:divBdr>
              <w:divsChild>
                <w:div w:id="1682974584">
                  <w:marLeft w:val="0"/>
                  <w:marRight w:val="0"/>
                  <w:marTop w:val="0"/>
                  <w:marBottom w:val="0"/>
                  <w:divBdr>
                    <w:top w:val="none" w:sz="0" w:space="0" w:color="auto"/>
                    <w:left w:val="none" w:sz="0" w:space="0" w:color="auto"/>
                    <w:bottom w:val="none" w:sz="0" w:space="0" w:color="auto"/>
                    <w:right w:val="none" w:sz="0" w:space="0" w:color="auto"/>
                  </w:divBdr>
                  <w:divsChild>
                    <w:div w:id="20978609">
                      <w:marLeft w:val="0"/>
                      <w:marRight w:val="0"/>
                      <w:marTop w:val="0"/>
                      <w:marBottom w:val="0"/>
                      <w:divBdr>
                        <w:top w:val="none" w:sz="0" w:space="0" w:color="auto"/>
                        <w:left w:val="none" w:sz="0" w:space="0" w:color="auto"/>
                        <w:bottom w:val="none" w:sz="0" w:space="0" w:color="auto"/>
                        <w:right w:val="none" w:sz="0" w:space="0" w:color="auto"/>
                      </w:divBdr>
                      <w:divsChild>
                        <w:div w:id="1397314073">
                          <w:marLeft w:val="0"/>
                          <w:marRight w:val="0"/>
                          <w:marTop w:val="0"/>
                          <w:marBottom w:val="900"/>
                          <w:divBdr>
                            <w:top w:val="none" w:sz="0" w:space="0" w:color="auto"/>
                            <w:left w:val="none" w:sz="0" w:space="0" w:color="auto"/>
                            <w:bottom w:val="none" w:sz="0" w:space="0" w:color="auto"/>
                            <w:right w:val="none" w:sz="0" w:space="0" w:color="auto"/>
                          </w:divBdr>
                        </w:div>
                        <w:div w:id="123743065">
                          <w:marLeft w:val="0"/>
                          <w:marRight w:val="0"/>
                          <w:marTop w:val="0"/>
                          <w:marBottom w:val="0"/>
                          <w:divBdr>
                            <w:top w:val="none" w:sz="0" w:space="0" w:color="auto"/>
                            <w:left w:val="none" w:sz="0" w:space="0" w:color="auto"/>
                            <w:bottom w:val="none" w:sz="0" w:space="0" w:color="auto"/>
                            <w:right w:val="none" w:sz="0" w:space="0" w:color="auto"/>
                          </w:divBdr>
                          <w:divsChild>
                            <w:div w:id="5543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2020-07-24T08:36:00Z</dcterms:created>
  <dcterms:modified xsi:type="dcterms:W3CDTF">2020-07-24T08:44:00Z</dcterms:modified>
</cp:coreProperties>
</file>