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87D5" w14:textId="77777777" w:rsidR="006C3945" w:rsidRPr="00C16AAD" w:rsidRDefault="006C3945" w:rsidP="006C3945">
      <w:pPr>
        <w:rPr>
          <w:rFonts w:ascii="Arial" w:eastAsia="Times New Roman" w:hAnsi="Arial" w:cs="Arial"/>
        </w:rPr>
      </w:pPr>
      <w:bookmarkStart w:id="0" w:name="_Hlk534887837"/>
      <w:bookmarkStart w:id="1" w:name="_Hlk29975925"/>
    </w:p>
    <w:bookmarkEnd w:id="0"/>
    <w:bookmarkEnd w:id="1"/>
    <w:p w14:paraId="7F0CAC86" w14:textId="3CDBDB21" w:rsidR="009A1B3D" w:rsidRPr="00C16AAD" w:rsidRDefault="001C7A99" w:rsidP="009A1B3D">
      <w:pPr>
        <w:jc w:val="center"/>
        <w:rPr>
          <w:rFonts w:ascii="Arial" w:hAnsi="Arial" w:cs="Arial"/>
          <w:b/>
          <w:bCs/>
        </w:rPr>
      </w:pPr>
      <w:r w:rsidRPr="00C16AAD">
        <w:rPr>
          <w:rFonts w:ascii="Arial" w:hAnsi="Arial" w:cs="Arial"/>
          <w:b/>
          <w:bCs/>
        </w:rPr>
        <w:t>Comunicato stampa</w:t>
      </w:r>
      <w:bookmarkStart w:id="2" w:name="_Toc41599227"/>
      <w:bookmarkStart w:id="3" w:name="_Toc68704615"/>
      <w:bookmarkStart w:id="4" w:name="_Toc235425486"/>
    </w:p>
    <w:p w14:paraId="597254E8" w14:textId="7686DABE" w:rsidR="00DB1FE4" w:rsidRPr="00C16AAD" w:rsidRDefault="00DB1FE4" w:rsidP="009A1B3D">
      <w:pPr>
        <w:jc w:val="center"/>
        <w:rPr>
          <w:rFonts w:ascii="Arial" w:hAnsi="Arial" w:cs="Arial"/>
          <w:b/>
          <w:bCs/>
        </w:rPr>
      </w:pPr>
    </w:p>
    <w:bookmarkEnd w:id="2"/>
    <w:bookmarkEnd w:id="3"/>
    <w:bookmarkEnd w:id="4"/>
    <w:p w14:paraId="223A50AC" w14:textId="776A0644" w:rsidR="00961C0A" w:rsidRPr="00C16AAD" w:rsidRDefault="00961C0A" w:rsidP="000913E6">
      <w:pPr>
        <w:jc w:val="center"/>
        <w:rPr>
          <w:rFonts w:ascii="Arial" w:hAnsi="Arial" w:cs="Arial"/>
          <w:b/>
          <w:bCs/>
        </w:rPr>
      </w:pPr>
      <w:r w:rsidRPr="00C16AAD">
        <w:rPr>
          <w:rFonts w:ascii="Arial" w:hAnsi="Arial" w:cs="Arial"/>
          <w:b/>
          <w:bCs/>
        </w:rPr>
        <w:t>CRISI D’IMPRESA, COMMERCIALISTI: “MOLTE PERPLESSITA’ SU ALBO CURATORI, COMMISSARI E LIQUIDATORI</w:t>
      </w:r>
      <w:r w:rsidR="00C12B1B" w:rsidRPr="00C16AAD">
        <w:rPr>
          <w:rFonts w:ascii="Arial" w:hAnsi="Arial" w:cs="Arial"/>
          <w:b/>
          <w:bCs/>
        </w:rPr>
        <w:t>”</w:t>
      </w:r>
    </w:p>
    <w:p w14:paraId="4EBA88D8" w14:textId="77777777" w:rsidR="00961C0A" w:rsidRPr="00C16AAD" w:rsidRDefault="00961C0A" w:rsidP="000913E6">
      <w:pPr>
        <w:jc w:val="center"/>
        <w:rPr>
          <w:rFonts w:ascii="Arial" w:hAnsi="Arial" w:cs="Arial"/>
          <w:b/>
          <w:bCs/>
        </w:rPr>
      </w:pPr>
    </w:p>
    <w:p w14:paraId="3F6955E8" w14:textId="2712737C" w:rsidR="00961C0A" w:rsidRPr="00C16AAD" w:rsidRDefault="00961C0A" w:rsidP="000913E6">
      <w:pPr>
        <w:jc w:val="center"/>
        <w:rPr>
          <w:rFonts w:ascii="Arial" w:hAnsi="Arial" w:cs="Arial"/>
          <w:b/>
          <w:bCs/>
        </w:rPr>
      </w:pPr>
      <w:r w:rsidRPr="00C16AAD">
        <w:rPr>
          <w:rFonts w:ascii="Arial" w:hAnsi="Arial" w:cs="Arial"/>
          <w:b/>
          <w:bCs/>
        </w:rPr>
        <w:t xml:space="preserve">De Nuccio: </w:t>
      </w:r>
      <w:r w:rsidR="00C12B1B" w:rsidRPr="00C16AAD">
        <w:rPr>
          <w:rFonts w:ascii="Arial" w:hAnsi="Arial" w:cs="Arial"/>
          <w:b/>
          <w:bCs/>
        </w:rPr>
        <w:t xml:space="preserve">“Il testo del Regolamento sembra non tener contro delle modifiche apportate dallo schema di decreto legislativo con le modifiche al Codice della crisi in attuazione della direttiva Insolvency”. Giudizio negativo anche sui criteri di iscrizione </w:t>
      </w:r>
      <w:r w:rsidR="000913E6" w:rsidRPr="00C16AAD">
        <w:rPr>
          <w:rFonts w:ascii="Arial" w:hAnsi="Arial" w:cs="Arial"/>
          <w:b/>
          <w:bCs/>
        </w:rPr>
        <w:t>all’Albo e sui costi che dovranno sostenere i professionisti</w:t>
      </w:r>
    </w:p>
    <w:p w14:paraId="3DE225C7" w14:textId="77777777" w:rsidR="00961C0A" w:rsidRPr="00C16AAD" w:rsidRDefault="00961C0A" w:rsidP="000913E6">
      <w:pPr>
        <w:jc w:val="center"/>
        <w:rPr>
          <w:rFonts w:ascii="Arial" w:hAnsi="Arial" w:cs="Arial"/>
          <w:b/>
          <w:bCs/>
        </w:rPr>
      </w:pPr>
    </w:p>
    <w:p w14:paraId="47118B1C" w14:textId="1EC3DD1E" w:rsidR="00961C0A" w:rsidRPr="00C16AAD" w:rsidRDefault="00961C0A" w:rsidP="00961C0A">
      <w:pPr>
        <w:jc w:val="both"/>
        <w:rPr>
          <w:rFonts w:ascii="Arial" w:hAnsi="Arial" w:cs="Arial"/>
          <w:color w:val="000000"/>
        </w:rPr>
      </w:pPr>
      <w:r w:rsidRPr="00C16AAD">
        <w:rPr>
          <w:rFonts w:ascii="Arial" w:hAnsi="Arial" w:cs="Arial"/>
          <w:i/>
          <w:iCs/>
        </w:rPr>
        <w:t>Roma, 23 giugno 2022</w:t>
      </w:r>
      <w:r w:rsidRPr="00C16AAD">
        <w:rPr>
          <w:rFonts w:ascii="Arial" w:hAnsi="Arial" w:cs="Arial"/>
        </w:rPr>
        <w:t xml:space="preserve"> - “L’istituzione del nuovo albo dei soggetti incaricati dall’autorità giudiziaria delle funzioni di gestione e controllo suscita </w:t>
      </w:r>
      <w:r w:rsidRPr="00C16AAD">
        <w:rPr>
          <w:rFonts w:ascii="Arial" w:hAnsi="Arial" w:cs="Arial"/>
          <w:b/>
          <w:bCs/>
        </w:rPr>
        <w:t>molte perplessità</w:t>
      </w:r>
      <w:r w:rsidRPr="00C16AAD">
        <w:rPr>
          <w:rFonts w:ascii="Arial" w:hAnsi="Arial" w:cs="Arial"/>
        </w:rPr>
        <w:t xml:space="preserve">”. È questo il commento del presidente del Consiglio nazionale dei commercialisti, </w:t>
      </w:r>
      <w:r w:rsidRPr="00C16AAD">
        <w:rPr>
          <w:rFonts w:ascii="Arial" w:hAnsi="Arial" w:cs="Arial"/>
          <w:b/>
          <w:bCs/>
        </w:rPr>
        <w:t>Elbano de Nuccio</w:t>
      </w:r>
      <w:r w:rsidRPr="00C16AAD">
        <w:rPr>
          <w:rFonts w:ascii="Arial" w:hAnsi="Arial" w:cs="Arial"/>
        </w:rPr>
        <w:t>, alla pubblicazione in Gazzetta Ufficiale del Decreto</w:t>
      </w:r>
      <w:r w:rsidR="00F15950" w:rsidRPr="00C16AAD">
        <w:rPr>
          <w:rFonts w:ascii="Arial" w:hAnsi="Arial" w:cs="Arial"/>
        </w:rPr>
        <w:t xml:space="preserve"> </w:t>
      </w:r>
      <w:r w:rsidR="00F15950" w:rsidRPr="00C16AAD">
        <w:rPr>
          <w:rFonts w:ascii="Arial" w:hAnsi="Arial" w:cs="Arial"/>
          <w:color w:val="000000"/>
        </w:rPr>
        <w:t xml:space="preserve">adottato dal Ministero della Giustizia, per dare attuazione alle previsioni contenute nel </w:t>
      </w:r>
      <w:r w:rsidR="00F15950" w:rsidRPr="00C16AAD">
        <w:rPr>
          <w:rFonts w:ascii="Arial" w:hAnsi="Arial" w:cs="Arial"/>
          <w:b/>
          <w:bCs/>
          <w:color w:val="000000"/>
        </w:rPr>
        <w:t>Codice della crisi di impresa e dell’insolvenza</w:t>
      </w:r>
      <w:r w:rsidR="000F629A" w:rsidRPr="00C16AAD">
        <w:rPr>
          <w:rFonts w:ascii="Arial" w:hAnsi="Arial" w:cs="Arial"/>
          <w:b/>
          <w:bCs/>
          <w:color w:val="000000"/>
        </w:rPr>
        <w:t xml:space="preserve"> (</w:t>
      </w:r>
      <w:r w:rsidR="000F629A" w:rsidRPr="00C16AAD">
        <w:rPr>
          <w:rFonts w:ascii="Arial" w:hAnsi="Arial" w:cs="Arial"/>
          <w:b/>
          <w:bCs/>
        </w:rPr>
        <w:t>CCII)</w:t>
      </w:r>
      <w:r w:rsidR="00F15950" w:rsidRPr="00C16AAD">
        <w:rPr>
          <w:rFonts w:ascii="Arial" w:hAnsi="Arial" w:cs="Arial"/>
          <w:color w:val="000000"/>
        </w:rPr>
        <w:t xml:space="preserve">. </w:t>
      </w:r>
    </w:p>
    <w:p w14:paraId="5B068710" w14:textId="77777777" w:rsidR="00C12B1B" w:rsidRPr="00C16AAD" w:rsidRDefault="00C12B1B" w:rsidP="00961C0A">
      <w:pPr>
        <w:jc w:val="both"/>
        <w:rPr>
          <w:rFonts w:ascii="Arial" w:hAnsi="Arial" w:cs="Arial"/>
        </w:rPr>
      </w:pPr>
    </w:p>
    <w:p w14:paraId="0712853F" w14:textId="754F3EFC" w:rsidR="00961C0A" w:rsidRPr="00C16AAD" w:rsidRDefault="00F15950" w:rsidP="00961C0A">
      <w:pPr>
        <w:jc w:val="both"/>
        <w:rPr>
          <w:rFonts w:ascii="Arial" w:hAnsi="Arial" w:cs="Arial"/>
        </w:rPr>
      </w:pPr>
      <w:r w:rsidRPr="00C16AAD">
        <w:rPr>
          <w:rFonts w:ascii="Arial" w:hAnsi="Arial" w:cs="Arial"/>
        </w:rPr>
        <w:t>“</w:t>
      </w:r>
      <w:bookmarkStart w:id="5" w:name="_Hlk106880927"/>
      <w:r w:rsidR="00961C0A" w:rsidRPr="00C16AAD">
        <w:rPr>
          <w:rFonts w:ascii="Arial" w:hAnsi="Arial" w:cs="Arial"/>
        </w:rPr>
        <w:t xml:space="preserve">Il testo del Regolamento </w:t>
      </w:r>
      <w:r w:rsidRPr="00C16AAD">
        <w:rPr>
          <w:rFonts w:ascii="Arial" w:hAnsi="Arial" w:cs="Arial"/>
        </w:rPr>
        <w:t xml:space="preserve">– spiega de Nuccio - </w:t>
      </w:r>
      <w:r w:rsidR="00961C0A" w:rsidRPr="00C16AAD">
        <w:rPr>
          <w:rFonts w:ascii="Arial" w:hAnsi="Arial" w:cs="Arial"/>
        </w:rPr>
        <w:t xml:space="preserve">sembra non tener contro delle </w:t>
      </w:r>
      <w:r w:rsidR="00961C0A" w:rsidRPr="00C16AAD">
        <w:rPr>
          <w:rFonts w:ascii="Arial" w:hAnsi="Arial" w:cs="Arial"/>
          <w:b/>
          <w:bCs/>
        </w:rPr>
        <w:t>significative modifiche</w:t>
      </w:r>
      <w:r w:rsidR="00961C0A" w:rsidRPr="00C16AAD">
        <w:rPr>
          <w:rFonts w:ascii="Arial" w:hAnsi="Arial" w:cs="Arial"/>
        </w:rPr>
        <w:t xml:space="preserve"> apportate dallo schema di decreto legislativo con le modifiche al C</w:t>
      </w:r>
      <w:r w:rsidRPr="00C16AAD">
        <w:rPr>
          <w:rFonts w:ascii="Arial" w:hAnsi="Arial" w:cs="Arial"/>
        </w:rPr>
        <w:t xml:space="preserve">odice della </w:t>
      </w:r>
      <w:proofErr w:type="gramStart"/>
      <w:r w:rsidRPr="00C16AAD">
        <w:rPr>
          <w:rFonts w:ascii="Arial" w:hAnsi="Arial" w:cs="Arial"/>
        </w:rPr>
        <w:t xml:space="preserve">crisi </w:t>
      </w:r>
      <w:r w:rsidR="00961C0A" w:rsidRPr="00C16AAD">
        <w:rPr>
          <w:rFonts w:ascii="Arial" w:hAnsi="Arial" w:cs="Arial"/>
        </w:rPr>
        <w:t xml:space="preserve"> in</w:t>
      </w:r>
      <w:proofErr w:type="gramEnd"/>
      <w:r w:rsidR="00961C0A" w:rsidRPr="00C16AAD">
        <w:rPr>
          <w:rFonts w:ascii="Arial" w:hAnsi="Arial" w:cs="Arial"/>
        </w:rPr>
        <w:t xml:space="preserve"> attuazione </w:t>
      </w:r>
      <w:r w:rsidR="00C12B1B" w:rsidRPr="00C16AAD">
        <w:rPr>
          <w:rFonts w:ascii="Arial" w:hAnsi="Arial" w:cs="Arial"/>
        </w:rPr>
        <w:t xml:space="preserve">della </w:t>
      </w:r>
      <w:r w:rsidR="00961C0A" w:rsidRPr="00C16AAD">
        <w:rPr>
          <w:rFonts w:ascii="Arial" w:hAnsi="Arial" w:cs="Arial"/>
          <w:b/>
          <w:bCs/>
        </w:rPr>
        <w:t>Direttiva Insolvency</w:t>
      </w:r>
      <w:bookmarkEnd w:id="5"/>
      <w:r w:rsidR="00961C0A" w:rsidRPr="00C16AAD">
        <w:rPr>
          <w:rFonts w:ascii="Arial" w:hAnsi="Arial" w:cs="Arial"/>
        </w:rPr>
        <w:t xml:space="preserve">, recentemente approvato in via definitiva, che ha significativamente </w:t>
      </w:r>
      <w:r w:rsidR="00961C0A" w:rsidRPr="00C16AAD">
        <w:rPr>
          <w:rFonts w:ascii="Arial" w:hAnsi="Arial" w:cs="Arial"/>
          <w:b/>
          <w:bCs/>
        </w:rPr>
        <w:t>rivisto</w:t>
      </w:r>
      <w:r w:rsidR="00961C0A" w:rsidRPr="00C16AAD">
        <w:rPr>
          <w:rFonts w:ascii="Arial" w:hAnsi="Arial" w:cs="Arial"/>
        </w:rPr>
        <w:t xml:space="preserve"> l’intero assetto delle </w:t>
      </w:r>
      <w:r w:rsidR="00961C0A" w:rsidRPr="00C16AAD">
        <w:rPr>
          <w:rFonts w:ascii="Arial" w:hAnsi="Arial" w:cs="Arial"/>
          <w:b/>
          <w:bCs/>
        </w:rPr>
        <w:t>procedure di allerta</w:t>
      </w:r>
      <w:r w:rsidR="00961C0A" w:rsidRPr="00C16AAD">
        <w:rPr>
          <w:rFonts w:ascii="Arial" w:hAnsi="Arial" w:cs="Arial"/>
        </w:rPr>
        <w:t xml:space="preserve"> disciplinate nella versione originaria del C</w:t>
      </w:r>
      <w:r w:rsidRPr="00C16AAD">
        <w:rPr>
          <w:rFonts w:ascii="Arial" w:hAnsi="Arial" w:cs="Arial"/>
        </w:rPr>
        <w:t>odice</w:t>
      </w:r>
      <w:r w:rsidR="00961C0A" w:rsidRPr="00C16AAD">
        <w:rPr>
          <w:rFonts w:ascii="Arial" w:hAnsi="Arial" w:cs="Arial"/>
        </w:rPr>
        <w:t xml:space="preserve">. </w:t>
      </w:r>
      <w:r w:rsidR="00FC16B0" w:rsidRPr="00C16AAD">
        <w:rPr>
          <w:rFonts w:ascii="Arial" w:hAnsi="Arial" w:cs="Arial"/>
        </w:rPr>
        <w:t>È</w:t>
      </w:r>
      <w:r w:rsidR="00961C0A" w:rsidRPr="00C16AAD">
        <w:rPr>
          <w:rFonts w:ascii="Arial" w:hAnsi="Arial" w:cs="Arial"/>
        </w:rPr>
        <w:t xml:space="preserve"> oramai noto che le procedure di allerta e di composizione assistita della crisi gestite dall’</w:t>
      </w:r>
      <w:r w:rsidR="000F629A" w:rsidRPr="00C16AAD">
        <w:rPr>
          <w:rFonts w:ascii="Arial" w:hAnsi="Arial" w:cs="Arial"/>
          <w:b/>
          <w:bCs/>
          <w:shd w:val="clear" w:color="auto" w:fill="FFFFFF"/>
        </w:rPr>
        <w:t>Organismo di gestione delle crisi di impresa</w:t>
      </w:r>
      <w:r w:rsidR="000F629A" w:rsidRPr="00C16AAD">
        <w:rPr>
          <w:rFonts w:ascii="Arial" w:hAnsi="Arial" w:cs="Arial"/>
          <w:b/>
          <w:bCs/>
        </w:rPr>
        <w:t xml:space="preserve"> (</w:t>
      </w:r>
      <w:r w:rsidR="00961C0A" w:rsidRPr="00C16AAD">
        <w:rPr>
          <w:rFonts w:ascii="Arial" w:hAnsi="Arial" w:cs="Arial"/>
          <w:b/>
          <w:bCs/>
        </w:rPr>
        <w:t>OCRI</w:t>
      </w:r>
      <w:r w:rsidR="000F629A" w:rsidRPr="00C16AAD">
        <w:rPr>
          <w:rFonts w:ascii="Arial" w:hAnsi="Arial" w:cs="Arial"/>
          <w:b/>
          <w:bCs/>
        </w:rPr>
        <w:t>)</w:t>
      </w:r>
      <w:r w:rsidR="00961C0A" w:rsidRPr="00C16AAD">
        <w:rPr>
          <w:rFonts w:ascii="Arial" w:hAnsi="Arial" w:cs="Arial"/>
          <w:b/>
          <w:bCs/>
        </w:rPr>
        <w:t xml:space="preserve"> </w:t>
      </w:r>
      <w:r w:rsidR="00961C0A" w:rsidRPr="00C16AAD">
        <w:rPr>
          <w:rFonts w:ascii="Arial" w:hAnsi="Arial" w:cs="Arial"/>
        </w:rPr>
        <w:t xml:space="preserve">sono state </w:t>
      </w:r>
      <w:r w:rsidR="00961C0A" w:rsidRPr="00C16AAD">
        <w:rPr>
          <w:rFonts w:ascii="Arial" w:hAnsi="Arial" w:cs="Arial"/>
          <w:b/>
          <w:bCs/>
        </w:rPr>
        <w:t>integralmente sostituite</w:t>
      </w:r>
      <w:r w:rsidR="00961C0A" w:rsidRPr="00C16AAD">
        <w:rPr>
          <w:rFonts w:ascii="Arial" w:hAnsi="Arial" w:cs="Arial"/>
        </w:rPr>
        <w:t xml:space="preserve"> con la </w:t>
      </w:r>
      <w:r w:rsidR="00961C0A" w:rsidRPr="00C16AAD">
        <w:rPr>
          <w:rFonts w:ascii="Arial" w:hAnsi="Arial" w:cs="Arial"/>
          <w:b/>
          <w:bCs/>
        </w:rPr>
        <w:t>composizione negoziata della crisi</w:t>
      </w:r>
      <w:r w:rsidRPr="00C16AAD">
        <w:rPr>
          <w:rFonts w:ascii="Arial" w:hAnsi="Arial" w:cs="Arial"/>
        </w:rPr>
        <w:t xml:space="preserve">, </w:t>
      </w:r>
      <w:r w:rsidR="00961C0A" w:rsidRPr="00C16AAD">
        <w:rPr>
          <w:rFonts w:ascii="Arial" w:hAnsi="Arial" w:cs="Arial"/>
        </w:rPr>
        <w:t xml:space="preserve">in cui l’OCRI </w:t>
      </w:r>
      <w:r w:rsidR="00961C0A" w:rsidRPr="00C16AAD">
        <w:rPr>
          <w:rFonts w:ascii="Arial" w:hAnsi="Arial" w:cs="Arial"/>
          <w:b/>
          <w:bCs/>
        </w:rPr>
        <w:t>scompare</w:t>
      </w:r>
      <w:r w:rsidR="00961C0A" w:rsidRPr="00C16AAD">
        <w:rPr>
          <w:rFonts w:ascii="Arial" w:hAnsi="Arial" w:cs="Arial"/>
        </w:rPr>
        <w:t xml:space="preserve"> ed emerge l’importante ruolo dell’</w:t>
      </w:r>
      <w:r w:rsidR="00961C0A" w:rsidRPr="00C16AAD">
        <w:rPr>
          <w:rFonts w:ascii="Arial" w:hAnsi="Arial" w:cs="Arial"/>
          <w:b/>
          <w:bCs/>
        </w:rPr>
        <w:t xml:space="preserve">esperto terzo e indipendente </w:t>
      </w:r>
      <w:r w:rsidR="00961C0A" w:rsidRPr="00C16AAD">
        <w:rPr>
          <w:rFonts w:ascii="Arial" w:hAnsi="Arial" w:cs="Arial"/>
        </w:rPr>
        <w:t xml:space="preserve">nominato dalla </w:t>
      </w:r>
      <w:r w:rsidRPr="00C16AAD">
        <w:rPr>
          <w:rFonts w:ascii="Arial" w:hAnsi="Arial" w:cs="Arial"/>
        </w:rPr>
        <w:t>Camera di commercio”</w:t>
      </w:r>
      <w:r w:rsidR="00961C0A" w:rsidRPr="00C16AAD">
        <w:rPr>
          <w:rFonts w:ascii="Arial" w:hAnsi="Arial" w:cs="Arial"/>
        </w:rPr>
        <w:t>.</w:t>
      </w:r>
    </w:p>
    <w:p w14:paraId="6B71679F" w14:textId="77777777" w:rsidR="00F15950" w:rsidRPr="00C16AAD" w:rsidRDefault="00F15950" w:rsidP="00961C0A">
      <w:pPr>
        <w:jc w:val="both"/>
        <w:rPr>
          <w:rFonts w:ascii="Arial" w:hAnsi="Arial" w:cs="Arial"/>
        </w:rPr>
      </w:pPr>
    </w:p>
    <w:p w14:paraId="6C8E6DB8" w14:textId="2C0D3B6A" w:rsidR="00961C0A" w:rsidRPr="00C16AAD" w:rsidRDefault="00FC16B0" w:rsidP="00961C0A">
      <w:pPr>
        <w:jc w:val="both"/>
        <w:rPr>
          <w:rFonts w:ascii="Arial" w:hAnsi="Arial" w:cs="Arial"/>
        </w:rPr>
      </w:pPr>
      <w:r w:rsidRPr="00C16AAD">
        <w:rPr>
          <w:rFonts w:ascii="Arial" w:hAnsi="Arial" w:cs="Arial"/>
        </w:rPr>
        <w:t>Per questo de Nuccio sostiene che “</w:t>
      </w:r>
      <w:r w:rsidR="00961C0A" w:rsidRPr="00C16AAD">
        <w:rPr>
          <w:rFonts w:ascii="Arial" w:hAnsi="Arial" w:cs="Arial"/>
        </w:rPr>
        <w:t xml:space="preserve">genera qualche dubbio </w:t>
      </w:r>
      <w:r w:rsidRPr="00C16AAD">
        <w:rPr>
          <w:rFonts w:ascii="Arial" w:hAnsi="Arial" w:cs="Arial"/>
        </w:rPr>
        <w:t>il fatt</w:t>
      </w:r>
      <w:r w:rsidR="000F629A" w:rsidRPr="00C16AAD">
        <w:rPr>
          <w:rFonts w:ascii="Arial" w:hAnsi="Arial" w:cs="Arial"/>
        </w:rPr>
        <w:t xml:space="preserve">o </w:t>
      </w:r>
      <w:r w:rsidR="00961C0A" w:rsidRPr="00C16AAD">
        <w:rPr>
          <w:rFonts w:ascii="Arial" w:hAnsi="Arial" w:cs="Arial"/>
        </w:rPr>
        <w:t xml:space="preserve">che il nuovo </w:t>
      </w:r>
      <w:r w:rsidR="000913E6" w:rsidRPr="00C16AAD">
        <w:rPr>
          <w:rFonts w:ascii="Arial" w:hAnsi="Arial" w:cs="Arial"/>
        </w:rPr>
        <w:t>A</w:t>
      </w:r>
      <w:r w:rsidR="00961C0A" w:rsidRPr="00C16AAD">
        <w:rPr>
          <w:rFonts w:ascii="Arial" w:hAnsi="Arial" w:cs="Arial"/>
        </w:rPr>
        <w:t>lbo sia suddiviso in due sezioni, di cui una è dedicata ai componenti degli OCRI. Nella stessa direzione si pone la previsione del Regolamento che consente ai referenti dell’OCRI di accedere alla parte riservata dell’albo: sempre che non si intenda modificare ulteriormente il C</w:t>
      </w:r>
      <w:r w:rsidR="000F629A" w:rsidRPr="00C16AAD">
        <w:rPr>
          <w:rFonts w:ascii="Arial" w:hAnsi="Arial" w:cs="Arial"/>
        </w:rPr>
        <w:t>odice dalla crisi</w:t>
      </w:r>
      <w:r w:rsidR="00961C0A" w:rsidRPr="00C16AAD">
        <w:rPr>
          <w:rFonts w:ascii="Arial" w:hAnsi="Arial" w:cs="Arial"/>
        </w:rPr>
        <w:t xml:space="preserve"> e ritornare al passato con l’allerta gestita dagli esperti dell’OCRI, le menzionate disposizioni del Regolamento sono </w:t>
      </w:r>
      <w:r w:rsidR="00961C0A" w:rsidRPr="00C16AAD">
        <w:rPr>
          <w:rFonts w:ascii="Arial" w:hAnsi="Arial" w:cs="Arial"/>
          <w:b/>
          <w:bCs/>
        </w:rPr>
        <w:t>inapplicabili</w:t>
      </w:r>
      <w:r w:rsidR="000F629A" w:rsidRPr="00C16AAD">
        <w:rPr>
          <w:rFonts w:ascii="Arial" w:hAnsi="Arial" w:cs="Arial"/>
        </w:rPr>
        <w:t>”</w:t>
      </w:r>
      <w:r w:rsidR="00961C0A" w:rsidRPr="00C16AAD">
        <w:rPr>
          <w:rFonts w:ascii="Arial" w:hAnsi="Arial" w:cs="Arial"/>
        </w:rPr>
        <w:t>.</w:t>
      </w:r>
    </w:p>
    <w:p w14:paraId="11B0A9A1" w14:textId="77777777" w:rsidR="000F629A" w:rsidRPr="00C16AAD" w:rsidRDefault="000F629A" w:rsidP="00961C0A">
      <w:pPr>
        <w:jc w:val="both"/>
        <w:rPr>
          <w:rFonts w:ascii="Arial" w:hAnsi="Arial" w:cs="Arial"/>
        </w:rPr>
      </w:pPr>
    </w:p>
    <w:p w14:paraId="2F140FA6" w14:textId="3D47B42D" w:rsidR="00961C0A" w:rsidRPr="00C16AAD" w:rsidRDefault="000F629A" w:rsidP="00961C0A">
      <w:pPr>
        <w:jc w:val="both"/>
        <w:rPr>
          <w:rFonts w:ascii="Arial" w:hAnsi="Arial" w:cs="Arial"/>
        </w:rPr>
      </w:pPr>
      <w:r w:rsidRPr="00C16AAD">
        <w:rPr>
          <w:rFonts w:ascii="Arial" w:hAnsi="Arial" w:cs="Arial"/>
        </w:rPr>
        <w:t>Secondo il presidente della categoria “</w:t>
      </w:r>
      <w:r w:rsidR="000913E6" w:rsidRPr="00C16AAD">
        <w:rPr>
          <w:rFonts w:ascii="Arial" w:hAnsi="Arial" w:cs="Arial"/>
        </w:rPr>
        <w:t xml:space="preserve">non è </w:t>
      </w:r>
      <w:r w:rsidR="00C16AAD" w:rsidRPr="00C16AAD">
        <w:rPr>
          <w:rFonts w:ascii="Arial" w:hAnsi="Arial" w:cs="Arial"/>
        </w:rPr>
        <w:t>poi condivisibile</w:t>
      </w:r>
      <w:r w:rsidR="00961C0A" w:rsidRPr="00C16AAD">
        <w:rPr>
          <w:rFonts w:ascii="Arial" w:hAnsi="Arial" w:cs="Arial"/>
        </w:rPr>
        <w:t xml:space="preserve"> in generale l’idea sottesa alla creazione di un </w:t>
      </w:r>
      <w:r w:rsidR="000913E6" w:rsidRPr="00C16AAD">
        <w:rPr>
          <w:rFonts w:ascii="Arial" w:hAnsi="Arial" w:cs="Arial"/>
          <w:b/>
          <w:bCs/>
        </w:rPr>
        <w:t>A</w:t>
      </w:r>
      <w:r w:rsidR="00961C0A" w:rsidRPr="00C16AAD">
        <w:rPr>
          <w:rFonts w:ascii="Arial" w:hAnsi="Arial" w:cs="Arial"/>
          <w:b/>
          <w:bCs/>
        </w:rPr>
        <w:t>lbo e non di un elenco</w:t>
      </w:r>
      <w:r w:rsidR="00961C0A" w:rsidRPr="00C16AAD">
        <w:rPr>
          <w:rFonts w:ascii="Arial" w:hAnsi="Arial" w:cs="Arial"/>
        </w:rPr>
        <w:t xml:space="preserve">, come invece sarebbe stato lecito attendersi considerate le previsioni della Direttiva (UE) 2019/1023. </w:t>
      </w:r>
      <w:r w:rsidRPr="00C16AAD">
        <w:rPr>
          <w:rFonts w:ascii="Arial" w:hAnsi="Arial" w:cs="Arial"/>
        </w:rPr>
        <w:t>Con</w:t>
      </w:r>
      <w:r w:rsidR="00961C0A" w:rsidRPr="00C16AAD">
        <w:rPr>
          <w:rFonts w:ascii="Arial" w:hAnsi="Arial" w:cs="Arial"/>
        </w:rPr>
        <w:t xml:space="preserve"> l’attuazione a livello regolamentare delle previsioni contenute negli artt. 356 e ss. CCII, si crea un ulteriore </w:t>
      </w:r>
      <w:r w:rsidR="000913E6" w:rsidRPr="00C16AAD">
        <w:rPr>
          <w:rFonts w:ascii="Arial" w:hAnsi="Arial" w:cs="Arial"/>
        </w:rPr>
        <w:t>A</w:t>
      </w:r>
      <w:r w:rsidR="00961C0A" w:rsidRPr="00C16AAD">
        <w:rPr>
          <w:rFonts w:ascii="Arial" w:hAnsi="Arial" w:cs="Arial"/>
        </w:rPr>
        <w:t xml:space="preserve">lbo che si </w:t>
      </w:r>
      <w:r w:rsidR="00961C0A" w:rsidRPr="00C16AAD">
        <w:rPr>
          <w:rFonts w:ascii="Arial" w:hAnsi="Arial" w:cs="Arial"/>
          <w:b/>
          <w:bCs/>
        </w:rPr>
        <w:t>sovrappone</w:t>
      </w:r>
      <w:r w:rsidR="00961C0A" w:rsidRPr="00C16AAD">
        <w:rPr>
          <w:rFonts w:ascii="Arial" w:hAnsi="Arial" w:cs="Arial"/>
        </w:rPr>
        <w:t xml:space="preserve"> agli Albi professionali, istituiti </w:t>
      </w:r>
      <w:r w:rsidR="00961C0A" w:rsidRPr="00C16AAD">
        <w:rPr>
          <w:rFonts w:ascii="Arial" w:hAnsi="Arial" w:cs="Arial"/>
          <w:i/>
          <w:iCs/>
        </w:rPr>
        <w:t>ex lege</w:t>
      </w:r>
      <w:r w:rsidR="00961C0A" w:rsidRPr="00C16AAD">
        <w:rPr>
          <w:rFonts w:ascii="Arial" w:hAnsi="Arial" w:cs="Arial"/>
        </w:rPr>
        <w:t xml:space="preserve">, tenuti dagli Ordini professionali e sottoposti alle regole prefissate per il funzionamento degli enti pubblici, in cui risultano iscritti unicamente i professionisti regolamentati già vigilati dal Ministero della </w:t>
      </w:r>
      <w:r w:rsidR="000913E6" w:rsidRPr="00C16AAD">
        <w:rPr>
          <w:rFonts w:ascii="Arial" w:hAnsi="Arial" w:cs="Arial"/>
        </w:rPr>
        <w:t>G</w:t>
      </w:r>
      <w:r w:rsidR="00961C0A" w:rsidRPr="00C16AAD">
        <w:rPr>
          <w:rFonts w:ascii="Arial" w:hAnsi="Arial" w:cs="Arial"/>
        </w:rPr>
        <w:t xml:space="preserve">iustizia e tenuti al rispetto della legge professionale e di precipui obblighi </w:t>
      </w:r>
      <w:proofErr w:type="gramStart"/>
      <w:r w:rsidR="00961C0A" w:rsidRPr="00C16AAD">
        <w:rPr>
          <w:rFonts w:ascii="Arial" w:hAnsi="Arial" w:cs="Arial"/>
        </w:rPr>
        <w:t xml:space="preserve">deontologici </w:t>
      </w:r>
      <w:r w:rsidRPr="00C16AAD">
        <w:rPr>
          <w:rFonts w:ascii="Arial" w:hAnsi="Arial" w:cs="Arial"/>
        </w:rPr>
        <w:t xml:space="preserve"> e</w:t>
      </w:r>
      <w:proofErr w:type="gramEnd"/>
      <w:r w:rsidRPr="00C16AAD">
        <w:rPr>
          <w:rFonts w:ascii="Arial" w:hAnsi="Arial" w:cs="Arial"/>
        </w:rPr>
        <w:t xml:space="preserve"> </w:t>
      </w:r>
      <w:r w:rsidR="00961C0A" w:rsidRPr="00C16AAD">
        <w:rPr>
          <w:rFonts w:ascii="Arial" w:hAnsi="Arial" w:cs="Arial"/>
        </w:rPr>
        <w:t>di formazione continua specialistica</w:t>
      </w:r>
      <w:r w:rsidRPr="00C16AAD">
        <w:rPr>
          <w:rFonts w:ascii="Arial" w:hAnsi="Arial" w:cs="Arial"/>
        </w:rPr>
        <w:t>”</w:t>
      </w:r>
      <w:r w:rsidR="00961C0A" w:rsidRPr="00C16AAD">
        <w:rPr>
          <w:rFonts w:ascii="Arial" w:hAnsi="Arial" w:cs="Arial"/>
        </w:rPr>
        <w:t>.</w:t>
      </w:r>
    </w:p>
    <w:p w14:paraId="6AB48295" w14:textId="77777777" w:rsidR="004B5FA1" w:rsidRPr="00C16AAD" w:rsidRDefault="004B5FA1" w:rsidP="00961C0A">
      <w:pPr>
        <w:jc w:val="both"/>
        <w:rPr>
          <w:rFonts w:ascii="Arial" w:hAnsi="Arial" w:cs="Arial"/>
        </w:rPr>
      </w:pPr>
    </w:p>
    <w:p w14:paraId="2FA92B0C" w14:textId="534B0B1F" w:rsidR="00961C0A" w:rsidRPr="00C16AAD" w:rsidRDefault="004B5FA1" w:rsidP="00961C0A">
      <w:pPr>
        <w:jc w:val="both"/>
        <w:rPr>
          <w:rFonts w:ascii="Arial" w:hAnsi="Arial" w:cs="Arial"/>
        </w:rPr>
      </w:pPr>
      <w:r w:rsidRPr="00C16AAD">
        <w:rPr>
          <w:rFonts w:ascii="Arial" w:hAnsi="Arial" w:cs="Arial"/>
        </w:rPr>
        <w:t>Negativo anche il giudizio “sui</w:t>
      </w:r>
      <w:r w:rsidR="00961C0A" w:rsidRPr="00C16AAD">
        <w:rPr>
          <w:rFonts w:ascii="Arial" w:hAnsi="Arial" w:cs="Arial"/>
        </w:rPr>
        <w:t xml:space="preserve"> </w:t>
      </w:r>
      <w:r w:rsidR="00961C0A" w:rsidRPr="00C16AAD">
        <w:rPr>
          <w:rFonts w:ascii="Arial" w:hAnsi="Arial" w:cs="Arial"/>
          <w:b/>
          <w:bCs/>
        </w:rPr>
        <w:t>costi sopportati dai professionisti</w:t>
      </w:r>
      <w:r w:rsidRPr="00C16AAD">
        <w:rPr>
          <w:rFonts w:ascii="Arial" w:hAnsi="Arial" w:cs="Arial"/>
        </w:rPr>
        <w:t>”.</w:t>
      </w:r>
      <w:r w:rsidR="00961C0A" w:rsidRPr="00C16AAD">
        <w:rPr>
          <w:rFonts w:ascii="Arial" w:hAnsi="Arial" w:cs="Arial"/>
        </w:rPr>
        <w:t xml:space="preserve"> </w:t>
      </w:r>
      <w:r w:rsidRPr="00C16AAD">
        <w:rPr>
          <w:rFonts w:ascii="Arial" w:hAnsi="Arial" w:cs="Arial"/>
        </w:rPr>
        <w:t>“N</w:t>
      </w:r>
      <w:r w:rsidR="00961C0A" w:rsidRPr="00C16AAD">
        <w:rPr>
          <w:rFonts w:ascii="Arial" w:hAnsi="Arial" w:cs="Arial"/>
        </w:rPr>
        <w:t xml:space="preserve">on può sottacersi </w:t>
      </w:r>
      <w:r w:rsidRPr="00C16AAD">
        <w:rPr>
          <w:rFonts w:ascii="Arial" w:hAnsi="Arial" w:cs="Arial"/>
        </w:rPr>
        <w:t xml:space="preserve">– afferma de Nuccio - </w:t>
      </w:r>
      <w:r w:rsidR="00961C0A" w:rsidRPr="00C16AAD">
        <w:rPr>
          <w:rFonts w:ascii="Arial" w:hAnsi="Arial" w:cs="Arial"/>
        </w:rPr>
        <w:t>che il Regolamento</w:t>
      </w:r>
      <w:r w:rsidR="00961C0A" w:rsidRPr="00C16AAD">
        <w:rPr>
          <w:rFonts w:ascii="Arial" w:hAnsi="Arial" w:cs="Arial"/>
          <w:b/>
          <w:bCs/>
        </w:rPr>
        <w:t xml:space="preserve"> subordina</w:t>
      </w:r>
      <w:r w:rsidR="00961C0A" w:rsidRPr="00C16AAD">
        <w:rPr>
          <w:rFonts w:ascii="Arial" w:hAnsi="Arial" w:cs="Arial"/>
        </w:rPr>
        <w:t xml:space="preserve"> l’iscrizione al </w:t>
      </w:r>
      <w:r w:rsidR="00961C0A" w:rsidRPr="00C16AAD">
        <w:rPr>
          <w:rFonts w:ascii="Arial" w:hAnsi="Arial" w:cs="Arial"/>
          <w:b/>
          <w:bCs/>
        </w:rPr>
        <w:t>versamento di 150 euro</w:t>
      </w:r>
      <w:r w:rsidR="00961C0A" w:rsidRPr="00C16AAD">
        <w:rPr>
          <w:rFonts w:ascii="Arial" w:hAnsi="Arial" w:cs="Arial"/>
        </w:rPr>
        <w:t xml:space="preserve"> e condiziona il mantenimento dell’albo al versamento di un </w:t>
      </w:r>
      <w:r w:rsidR="00961C0A" w:rsidRPr="00C16AAD">
        <w:rPr>
          <w:rFonts w:ascii="Arial" w:hAnsi="Arial" w:cs="Arial"/>
          <w:b/>
          <w:bCs/>
        </w:rPr>
        <w:t>contributo annuale pari a 50 euro</w:t>
      </w:r>
      <w:r w:rsidR="00961C0A" w:rsidRPr="00C16AAD">
        <w:rPr>
          <w:rFonts w:ascii="Arial" w:hAnsi="Arial" w:cs="Arial"/>
        </w:rPr>
        <w:t xml:space="preserve">. Il che, nelle attuali condizioni sociali ed economiche del Paese e considerate le difficoltà che vivono attualmente i professionisti, desta non poche perplessità: i professionisti, attratti dalla possibilità di poter accedere agli incarichi, dovrebbero versare, oltre a quella iniziale, una quota pari a 50 euro annuali per il mantenimento dell’albo e per coltivare la speranza di un futuro lavoro che, negli anni precedenti, </w:t>
      </w:r>
      <w:r w:rsidR="00961C0A" w:rsidRPr="00C16AAD">
        <w:rPr>
          <w:rFonts w:ascii="Arial" w:hAnsi="Arial" w:cs="Arial"/>
        </w:rPr>
        <w:lastRenderedPageBreak/>
        <w:t>peraltro non segnati dalla pandemia da Covid-19 e dalla crisi economica in atto, potevano esercitare senza versare alcun contributo alla giustizia</w:t>
      </w:r>
      <w:r w:rsidRPr="00C16AAD">
        <w:rPr>
          <w:rFonts w:ascii="Arial" w:hAnsi="Arial" w:cs="Arial"/>
        </w:rPr>
        <w:t>”</w:t>
      </w:r>
      <w:r w:rsidR="00961C0A" w:rsidRPr="00C16AAD">
        <w:rPr>
          <w:rFonts w:ascii="Arial" w:hAnsi="Arial" w:cs="Arial"/>
        </w:rPr>
        <w:t xml:space="preserve">. </w:t>
      </w:r>
    </w:p>
    <w:p w14:paraId="019DA3F3" w14:textId="77777777" w:rsidR="004B5FA1" w:rsidRPr="00C16AAD" w:rsidRDefault="004B5FA1" w:rsidP="00961C0A">
      <w:pPr>
        <w:jc w:val="both"/>
        <w:rPr>
          <w:rFonts w:ascii="Arial" w:hAnsi="Arial" w:cs="Arial"/>
        </w:rPr>
      </w:pPr>
    </w:p>
    <w:p w14:paraId="71D65A94" w14:textId="1A44BC32" w:rsidR="00C12B1B" w:rsidRPr="00C16AAD" w:rsidRDefault="004B5FA1" w:rsidP="00961C0A">
      <w:pPr>
        <w:jc w:val="both"/>
        <w:rPr>
          <w:rFonts w:ascii="Arial" w:hAnsi="Arial" w:cs="Arial"/>
        </w:rPr>
      </w:pPr>
      <w:r w:rsidRPr="00C16AAD">
        <w:rPr>
          <w:rFonts w:ascii="Arial" w:hAnsi="Arial" w:cs="Arial"/>
        </w:rPr>
        <w:t xml:space="preserve">L’auspicio del Consiglio nazionale è dunque </w:t>
      </w:r>
      <w:r w:rsidR="00961C0A" w:rsidRPr="00C16AAD">
        <w:rPr>
          <w:rFonts w:ascii="Arial" w:hAnsi="Arial" w:cs="Arial"/>
        </w:rPr>
        <w:t xml:space="preserve">che </w:t>
      </w:r>
      <w:r w:rsidRPr="00C16AAD">
        <w:rPr>
          <w:rFonts w:ascii="Arial" w:hAnsi="Arial" w:cs="Arial"/>
        </w:rPr>
        <w:t>“</w:t>
      </w:r>
      <w:r w:rsidR="00961C0A" w:rsidRPr="00C16AAD">
        <w:rPr>
          <w:rFonts w:ascii="Arial" w:hAnsi="Arial" w:cs="Arial"/>
        </w:rPr>
        <w:t xml:space="preserve">per adeguare le disposizioni del CCII e dei suoi regolamenti attuativi al mutato contesto economico e sociale generato dalla crisi provocata dalla pandemia e dal conflitto in Ucraina, il </w:t>
      </w:r>
      <w:r w:rsidR="00961C0A" w:rsidRPr="00C16AAD">
        <w:rPr>
          <w:rFonts w:ascii="Arial" w:hAnsi="Arial" w:cs="Arial"/>
          <w:b/>
          <w:bCs/>
        </w:rPr>
        <w:t>Governo avvii tavoli di collaborazione e costruttivo confronto</w:t>
      </w:r>
      <w:r w:rsidR="00961C0A" w:rsidRPr="00C16AAD">
        <w:rPr>
          <w:rFonts w:ascii="Arial" w:hAnsi="Arial" w:cs="Arial"/>
        </w:rPr>
        <w:t xml:space="preserve"> con gli Ordini professionali, per rivedere le previsioni che istituiscono l’albo unico e i criteri per accedervi. Sotto questo angolo prospettico, ulteriori perplessità si esprimono con riferimento ai criteri individuati per ottenere l’iscrizione a tale albo unico e per consentirne il </w:t>
      </w:r>
      <w:r w:rsidR="00961C0A" w:rsidRPr="00C16AAD">
        <w:rPr>
          <w:rFonts w:ascii="Arial" w:hAnsi="Arial" w:cs="Arial"/>
          <w:b/>
          <w:bCs/>
        </w:rPr>
        <w:t>primo popolamento</w:t>
      </w:r>
      <w:r w:rsidR="00961C0A" w:rsidRPr="00C16AAD">
        <w:rPr>
          <w:rFonts w:ascii="Arial" w:hAnsi="Arial" w:cs="Arial"/>
        </w:rPr>
        <w:t xml:space="preserve">. </w:t>
      </w:r>
      <w:r w:rsidR="0026490A" w:rsidRPr="00C16AAD">
        <w:rPr>
          <w:rFonts w:ascii="Arial" w:hAnsi="Arial" w:cs="Arial"/>
        </w:rPr>
        <w:t xml:space="preserve">È </w:t>
      </w:r>
      <w:r w:rsidR="00961C0A" w:rsidRPr="00C16AAD">
        <w:rPr>
          <w:rFonts w:ascii="Arial" w:hAnsi="Arial" w:cs="Arial"/>
        </w:rPr>
        <w:t xml:space="preserve">auspicabile uno </w:t>
      </w:r>
      <w:r w:rsidR="00961C0A" w:rsidRPr="00C16AAD">
        <w:rPr>
          <w:rFonts w:ascii="Arial" w:hAnsi="Arial" w:cs="Arial"/>
          <w:b/>
          <w:bCs/>
        </w:rPr>
        <w:t>snellimento</w:t>
      </w:r>
      <w:r w:rsidR="00961C0A" w:rsidRPr="00C16AAD">
        <w:rPr>
          <w:rFonts w:ascii="Arial" w:hAnsi="Arial" w:cs="Arial"/>
        </w:rPr>
        <w:t xml:space="preserve"> degli obblighi di prima formazione, del tirocinio e dell’obbligo di specifico aggiornamento biennale: per i nostri iscritti, che vantano, per legge dello Stato, competenza tecnica specifica per l’espletamento di questi incarichi, occorrerebbe semplificare il </w:t>
      </w:r>
      <w:r w:rsidR="00961C0A" w:rsidRPr="00C16AAD">
        <w:rPr>
          <w:rFonts w:ascii="Arial" w:hAnsi="Arial" w:cs="Arial"/>
          <w:b/>
          <w:bCs/>
        </w:rPr>
        <w:t>sistema formativo</w:t>
      </w:r>
      <w:r w:rsidR="00961C0A" w:rsidRPr="00C16AAD">
        <w:rPr>
          <w:rFonts w:ascii="Arial" w:hAnsi="Arial" w:cs="Arial"/>
        </w:rPr>
        <w:t xml:space="preserve"> riconoscendo quantomeno l’</w:t>
      </w:r>
      <w:r w:rsidR="00961C0A" w:rsidRPr="00C16AAD">
        <w:rPr>
          <w:rFonts w:ascii="Arial" w:hAnsi="Arial" w:cs="Arial"/>
          <w:b/>
          <w:bCs/>
        </w:rPr>
        <w:t>equipollenza</w:t>
      </w:r>
      <w:r w:rsidR="00961C0A" w:rsidRPr="00C16AAD">
        <w:rPr>
          <w:rFonts w:ascii="Arial" w:hAnsi="Arial" w:cs="Arial"/>
        </w:rPr>
        <w:t xml:space="preserve"> con i corsi organizzati dagli Ordini ai fini della formazione professionale continua, ovvero con quelli diversamente espletati per accedere ad altre funzioni tipiche del settore della crisi di impresa</w:t>
      </w:r>
      <w:r w:rsidR="00C12B1B" w:rsidRPr="00C16AAD">
        <w:rPr>
          <w:rFonts w:ascii="Arial" w:hAnsi="Arial" w:cs="Arial"/>
        </w:rPr>
        <w:t>”.</w:t>
      </w:r>
    </w:p>
    <w:p w14:paraId="75ED6FB4" w14:textId="77777777" w:rsidR="00C12B1B" w:rsidRPr="00C16AAD" w:rsidRDefault="00C12B1B" w:rsidP="00961C0A">
      <w:pPr>
        <w:jc w:val="both"/>
        <w:rPr>
          <w:rFonts w:ascii="Arial" w:hAnsi="Arial" w:cs="Arial"/>
        </w:rPr>
      </w:pPr>
    </w:p>
    <w:p w14:paraId="07E539BD" w14:textId="219F7AC7" w:rsidR="00961C0A" w:rsidRPr="00C16AAD" w:rsidRDefault="00C12B1B" w:rsidP="00961C0A">
      <w:pPr>
        <w:jc w:val="both"/>
        <w:rPr>
          <w:rFonts w:ascii="Arial" w:hAnsi="Arial" w:cs="Arial"/>
        </w:rPr>
      </w:pPr>
      <w:r w:rsidRPr="00C16AAD">
        <w:rPr>
          <w:rFonts w:ascii="Arial" w:hAnsi="Arial" w:cs="Arial"/>
        </w:rPr>
        <w:t xml:space="preserve">Sempre sul </w:t>
      </w:r>
      <w:r w:rsidR="00961C0A" w:rsidRPr="00C16AAD">
        <w:rPr>
          <w:rFonts w:ascii="Arial" w:hAnsi="Arial" w:cs="Arial"/>
        </w:rPr>
        <w:t>primo popolamento dell’albo,</w:t>
      </w:r>
      <w:r w:rsidRPr="00C16AAD">
        <w:rPr>
          <w:rFonts w:ascii="Arial" w:hAnsi="Arial" w:cs="Arial"/>
        </w:rPr>
        <w:t xml:space="preserve"> de Nuccio conclude affermando che </w:t>
      </w:r>
      <w:r w:rsidR="00961C0A" w:rsidRPr="00C16AAD">
        <w:rPr>
          <w:rFonts w:ascii="Arial" w:hAnsi="Arial" w:cs="Arial"/>
        </w:rPr>
        <w:t xml:space="preserve"> </w:t>
      </w:r>
      <w:r w:rsidRPr="00C16AAD">
        <w:rPr>
          <w:rFonts w:ascii="Arial" w:hAnsi="Arial" w:cs="Arial"/>
        </w:rPr>
        <w:t>“</w:t>
      </w:r>
      <w:r w:rsidR="00961C0A" w:rsidRPr="00C16AAD">
        <w:rPr>
          <w:rFonts w:ascii="Arial" w:hAnsi="Arial" w:cs="Arial"/>
        </w:rPr>
        <w:t xml:space="preserve">le previsioni dell’art. 356 CCII, in forza delle quali il professionista debba essere stato nominato in almeno due procedure negli ultimi 4 anni dall’entrata in vigore della disposizione (disposizione entrata in vigore nel 2019, ma ancora inapplicabile), nella veste di curatore, commissario o liquidatore giudiziale, </w:t>
      </w:r>
      <w:r w:rsidR="00961C0A" w:rsidRPr="00C16AAD">
        <w:rPr>
          <w:rFonts w:ascii="Arial" w:hAnsi="Arial" w:cs="Arial"/>
          <w:b/>
          <w:bCs/>
        </w:rPr>
        <w:t>penalizzano</w:t>
      </w:r>
      <w:r w:rsidR="00961C0A" w:rsidRPr="00C16AAD">
        <w:rPr>
          <w:rFonts w:ascii="Arial" w:hAnsi="Arial" w:cs="Arial"/>
        </w:rPr>
        <w:t xml:space="preserve"> chi non può ancora vantare le due nomine nei quattro anni presi a riferimento, ma che, nonostante ciò, è in possesso di comprovata esperienza nel campo della crisi o di specifica competenza risultante da evidenze oggettive, quali pubblicazioni su riviste scientifiche, relazioni a convegni di riconosciuto livello, docenza a corsi di formazione sul Codice della Crisi di Impresa e della Insolvenza tenuti dagli Ordini o dalle Università, oppure colui che ha intrapreso specifici corsi di formazione su tali tematiche</w:t>
      </w:r>
      <w:r w:rsidRPr="00C16AAD">
        <w:rPr>
          <w:rFonts w:ascii="Arial" w:hAnsi="Arial" w:cs="Arial"/>
        </w:rPr>
        <w:t>”</w:t>
      </w:r>
      <w:r w:rsidR="00961C0A" w:rsidRPr="00C16AAD">
        <w:rPr>
          <w:rFonts w:ascii="Arial" w:hAnsi="Arial" w:cs="Arial"/>
        </w:rPr>
        <w:t>.</w:t>
      </w:r>
    </w:p>
    <w:p w14:paraId="7FE4BAFC" w14:textId="77777777" w:rsidR="00961C0A" w:rsidRPr="00961C0A" w:rsidRDefault="00961C0A" w:rsidP="00961C0A">
      <w:pPr>
        <w:jc w:val="both"/>
        <w:rPr>
          <w:rFonts w:ascii="Arial" w:hAnsi="Arial" w:cs="Arial"/>
          <w:sz w:val="24"/>
          <w:szCs w:val="24"/>
        </w:rPr>
      </w:pPr>
    </w:p>
    <w:p w14:paraId="04E63FA6" w14:textId="77777777" w:rsidR="00961C0A" w:rsidRPr="00961C0A" w:rsidRDefault="00961C0A" w:rsidP="00961C0A">
      <w:pPr>
        <w:jc w:val="both"/>
        <w:rPr>
          <w:rFonts w:ascii="Arial" w:hAnsi="Arial" w:cs="Arial"/>
          <w:sz w:val="24"/>
          <w:szCs w:val="24"/>
        </w:rPr>
      </w:pPr>
    </w:p>
    <w:p w14:paraId="10247E94" w14:textId="77777777" w:rsidR="00961C0A" w:rsidRPr="00961C0A" w:rsidRDefault="00961C0A" w:rsidP="00961C0A">
      <w:pPr>
        <w:jc w:val="both"/>
        <w:rPr>
          <w:rFonts w:ascii="Arial" w:hAnsi="Arial" w:cs="Arial"/>
          <w:sz w:val="24"/>
          <w:szCs w:val="24"/>
        </w:rPr>
      </w:pPr>
    </w:p>
    <w:p w14:paraId="63189AE0" w14:textId="77777777" w:rsidR="00961C0A" w:rsidRPr="00961C0A" w:rsidRDefault="00961C0A" w:rsidP="00961C0A">
      <w:pPr>
        <w:jc w:val="both"/>
        <w:rPr>
          <w:rFonts w:ascii="Arial" w:hAnsi="Arial" w:cs="Arial"/>
          <w:sz w:val="24"/>
          <w:szCs w:val="24"/>
        </w:rPr>
      </w:pPr>
    </w:p>
    <w:p w14:paraId="1360475D" w14:textId="10F0D2B4" w:rsidR="003101A0" w:rsidRPr="00961C0A" w:rsidRDefault="003101A0" w:rsidP="00961C0A">
      <w:pPr>
        <w:jc w:val="center"/>
        <w:rPr>
          <w:rFonts w:ascii="Arial" w:hAnsi="Arial" w:cs="Arial"/>
          <w:sz w:val="24"/>
          <w:szCs w:val="24"/>
        </w:rPr>
      </w:pPr>
    </w:p>
    <w:sectPr w:rsidR="003101A0" w:rsidRPr="00961C0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9191" w14:textId="77777777" w:rsidR="00CA14DD" w:rsidRDefault="00CA14DD" w:rsidP="0078332C">
      <w:r>
        <w:separator/>
      </w:r>
    </w:p>
  </w:endnote>
  <w:endnote w:type="continuationSeparator" w:id="0">
    <w:p w14:paraId="687857BB" w14:textId="77777777" w:rsidR="00CA14DD" w:rsidRDefault="00CA14DD"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E89" w14:textId="77777777"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14:paraId="45F8A2F8" w14:textId="77777777" w:rsidR="00ED08A8" w:rsidRDefault="00ED08A8" w:rsidP="005816F1">
    <w:pPr>
      <w:rPr>
        <w:rFonts w:ascii="Arial" w:hAnsi="Arial" w:cs="Arial"/>
        <w:sz w:val="20"/>
        <w:szCs w:val="20"/>
      </w:rPr>
    </w:pPr>
    <w:r>
      <w:rPr>
        <w:rFonts w:ascii="Arial" w:hAnsi="Arial" w:cs="Arial"/>
        <w:sz w:val="20"/>
        <w:szCs w:val="20"/>
      </w:rPr>
      <w:t>Mauro Parracino</w:t>
    </w:r>
  </w:p>
  <w:p w14:paraId="6E90DC95" w14:textId="77777777"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14:paraId="466B2DD3" w14:textId="77777777"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14:paraId="18C9CE7F" w14:textId="77777777"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E4BB" w14:textId="77777777" w:rsidR="00CA14DD" w:rsidRDefault="00CA14DD" w:rsidP="0078332C">
      <w:r>
        <w:separator/>
      </w:r>
    </w:p>
  </w:footnote>
  <w:footnote w:type="continuationSeparator" w:id="0">
    <w:p w14:paraId="7BA8159D" w14:textId="77777777" w:rsidR="00CA14DD" w:rsidRDefault="00CA14DD"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2051105346">
    <w:abstractNumId w:val="9"/>
  </w:num>
  <w:num w:numId="2" w16cid:durableId="446511717">
    <w:abstractNumId w:val="5"/>
  </w:num>
  <w:num w:numId="3" w16cid:durableId="1885678904">
    <w:abstractNumId w:val="10"/>
  </w:num>
  <w:num w:numId="4" w16cid:durableId="411926155">
    <w:abstractNumId w:val="6"/>
  </w:num>
  <w:num w:numId="5" w16cid:durableId="1361124872">
    <w:abstractNumId w:val="14"/>
  </w:num>
  <w:num w:numId="6" w16cid:durableId="1756512492">
    <w:abstractNumId w:val="4"/>
  </w:num>
  <w:num w:numId="7" w16cid:durableId="390275156">
    <w:abstractNumId w:val="0"/>
  </w:num>
  <w:num w:numId="8" w16cid:durableId="55865089">
    <w:abstractNumId w:val="12"/>
  </w:num>
  <w:num w:numId="9" w16cid:durableId="572399779">
    <w:abstractNumId w:val="7"/>
  </w:num>
  <w:num w:numId="10" w16cid:durableId="626814656">
    <w:abstractNumId w:val="7"/>
  </w:num>
  <w:num w:numId="11" w16cid:durableId="1199582845">
    <w:abstractNumId w:val="8"/>
  </w:num>
  <w:num w:numId="12" w16cid:durableId="1889875155">
    <w:abstractNumId w:val="2"/>
  </w:num>
  <w:num w:numId="13" w16cid:durableId="1983269730">
    <w:abstractNumId w:val="13"/>
  </w:num>
  <w:num w:numId="14" w16cid:durableId="1552351625">
    <w:abstractNumId w:val="3"/>
  </w:num>
  <w:num w:numId="15" w16cid:durableId="2117098655">
    <w:abstractNumId w:val="8"/>
    <w:lvlOverride w:ilvl="0">
      <w:startOverride w:val="1"/>
    </w:lvlOverride>
  </w:num>
  <w:num w:numId="16" w16cid:durableId="1830174347">
    <w:abstractNumId w:val="3"/>
    <w:lvlOverride w:ilvl="0">
      <w:startOverride w:val="1"/>
    </w:lvlOverride>
  </w:num>
  <w:num w:numId="17" w16cid:durableId="1700467139">
    <w:abstractNumId w:val="1"/>
  </w:num>
  <w:num w:numId="18" w16cid:durableId="972713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2295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3088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58693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068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52459">
    <w:abstractNumId w:val="8"/>
    <w:lvlOverride w:ilvl="0">
      <w:startOverride w:val="1"/>
    </w:lvlOverride>
    <w:lvlOverride w:ilvl="1"/>
    <w:lvlOverride w:ilvl="2"/>
    <w:lvlOverride w:ilvl="3"/>
    <w:lvlOverride w:ilvl="4"/>
    <w:lvlOverride w:ilvl="5"/>
    <w:lvlOverride w:ilvl="6"/>
    <w:lvlOverride w:ilvl="7"/>
    <w:lvlOverride w:ilvl="8"/>
  </w:num>
  <w:num w:numId="24" w16cid:durableId="1747531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3A22"/>
    <w:rsid w:val="00004BCE"/>
    <w:rsid w:val="00022A7F"/>
    <w:rsid w:val="00024A50"/>
    <w:rsid w:val="00031015"/>
    <w:rsid w:val="00032856"/>
    <w:rsid w:val="000329A4"/>
    <w:rsid w:val="00032DE7"/>
    <w:rsid w:val="000348C0"/>
    <w:rsid w:val="00037091"/>
    <w:rsid w:val="00037896"/>
    <w:rsid w:val="00040CAD"/>
    <w:rsid w:val="0004434F"/>
    <w:rsid w:val="00053052"/>
    <w:rsid w:val="000539AC"/>
    <w:rsid w:val="0006018A"/>
    <w:rsid w:val="0007464D"/>
    <w:rsid w:val="000806B0"/>
    <w:rsid w:val="00081B93"/>
    <w:rsid w:val="00082FFB"/>
    <w:rsid w:val="00090CE4"/>
    <w:rsid w:val="0009108B"/>
    <w:rsid w:val="000913E6"/>
    <w:rsid w:val="00093834"/>
    <w:rsid w:val="000971A3"/>
    <w:rsid w:val="000B3EFF"/>
    <w:rsid w:val="000C0552"/>
    <w:rsid w:val="000C19B1"/>
    <w:rsid w:val="000C7FB4"/>
    <w:rsid w:val="000D01B1"/>
    <w:rsid w:val="000D7385"/>
    <w:rsid w:val="000D7847"/>
    <w:rsid w:val="000F3853"/>
    <w:rsid w:val="000F629A"/>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1912"/>
    <w:rsid w:val="001C67E1"/>
    <w:rsid w:val="001C6BDD"/>
    <w:rsid w:val="001C7913"/>
    <w:rsid w:val="001C7A99"/>
    <w:rsid w:val="001C7E5F"/>
    <w:rsid w:val="001D456F"/>
    <w:rsid w:val="001E7260"/>
    <w:rsid w:val="001F19BC"/>
    <w:rsid w:val="00202900"/>
    <w:rsid w:val="00203E6B"/>
    <w:rsid w:val="002062BE"/>
    <w:rsid w:val="00215734"/>
    <w:rsid w:val="0021644F"/>
    <w:rsid w:val="00216654"/>
    <w:rsid w:val="002204CC"/>
    <w:rsid w:val="00221234"/>
    <w:rsid w:val="0022378E"/>
    <w:rsid w:val="0022580D"/>
    <w:rsid w:val="0024011F"/>
    <w:rsid w:val="002438B0"/>
    <w:rsid w:val="00243BD7"/>
    <w:rsid w:val="00260C1E"/>
    <w:rsid w:val="0026490A"/>
    <w:rsid w:val="00272605"/>
    <w:rsid w:val="00281202"/>
    <w:rsid w:val="0028246D"/>
    <w:rsid w:val="00286C68"/>
    <w:rsid w:val="00292AAB"/>
    <w:rsid w:val="00294D14"/>
    <w:rsid w:val="002973C7"/>
    <w:rsid w:val="002A1399"/>
    <w:rsid w:val="002A3814"/>
    <w:rsid w:val="002A59A1"/>
    <w:rsid w:val="002A70B5"/>
    <w:rsid w:val="002A76BF"/>
    <w:rsid w:val="002A7C92"/>
    <w:rsid w:val="002A7FD0"/>
    <w:rsid w:val="002B0732"/>
    <w:rsid w:val="002B4C29"/>
    <w:rsid w:val="002B62EA"/>
    <w:rsid w:val="002C27DE"/>
    <w:rsid w:val="002C7311"/>
    <w:rsid w:val="002D2034"/>
    <w:rsid w:val="002D684B"/>
    <w:rsid w:val="002F3E9E"/>
    <w:rsid w:val="002F4704"/>
    <w:rsid w:val="002F58C5"/>
    <w:rsid w:val="002F6036"/>
    <w:rsid w:val="00303A76"/>
    <w:rsid w:val="0030574C"/>
    <w:rsid w:val="003101A0"/>
    <w:rsid w:val="00312A48"/>
    <w:rsid w:val="00313354"/>
    <w:rsid w:val="00313737"/>
    <w:rsid w:val="00320A8F"/>
    <w:rsid w:val="0033082E"/>
    <w:rsid w:val="00332874"/>
    <w:rsid w:val="00333544"/>
    <w:rsid w:val="00333957"/>
    <w:rsid w:val="00353EE3"/>
    <w:rsid w:val="0035503D"/>
    <w:rsid w:val="0036445C"/>
    <w:rsid w:val="00365C91"/>
    <w:rsid w:val="00366188"/>
    <w:rsid w:val="00371B42"/>
    <w:rsid w:val="003738DE"/>
    <w:rsid w:val="003808D1"/>
    <w:rsid w:val="00392245"/>
    <w:rsid w:val="00397281"/>
    <w:rsid w:val="003A03BB"/>
    <w:rsid w:val="003B000F"/>
    <w:rsid w:val="003B24D0"/>
    <w:rsid w:val="003B7329"/>
    <w:rsid w:val="003C1946"/>
    <w:rsid w:val="003C1AD8"/>
    <w:rsid w:val="003C53E7"/>
    <w:rsid w:val="003D1DEE"/>
    <w:rsid w:val="003D59CF"/>
    <w:rsid w:val="003E0F52"/>
    <w:rsid w:val="003E1A7E"/>
    <w:rsid w:val="003E6287"/>
    <w:rsid w:val="003E753F"/>
    <w:rsid w:val="003F1415"/>
    <w:rsid w:val="00400CE9"/>
    <w:rsid w:val="00422B71"/>
    <w:rsid w:val="004251EF"/>
    <w:rsid w:val="00443042"/>
    <w:rsid w:val="0047270A"/>
    <w:rsid w:val="00472F6D"/>
    <w:rsid w:val="00476C15"/>
    <w:rsid w:val="00485F00"/>
    <w:rsid w:val="004875FA"/>
    <w:rsid w:val="00493DC9"/>
    <w:rsid w:val="004964DA"/>
    <w:rsid w:val="004A44B8"/>
    <w:rsid w:val="004A6888"/>
    <w:rsid w:val="004B2695"/>
    <w:rsid w:val="004B5FA1"/>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1E7"/>
    <w:rsid w:val="00555885"/>
    <w:rsid w:val="005564F8"/>
    <w:rsid w:val="005625A8"/>
    <w:rsid w:val="005636DE"/>
    <w:rsid w:val="00564A2D"/>
    <w:rsid w:val="005673AC"/>
    <w:rsid w:val="0057755A"/>
    <w:rsid w:val="005779CB"/>
    <w:rsid w:val="0058002D"/>
    <w:rsid w:val="00580C25"/>
    <w:rsid w:val="005816F1"/>
    <w:rsid w:val="00582D74"/>
    <w:rsid w:val="00583CB0"/>
    <w:rsid w:val="00584F92"/>
    <w:rsid w:val="00585518"/>
    <w:rsid w:val="005867E8"/>
    <w:rsid w:val="005868B1"/>
    <w:rsid w:val="00590F83"/>
    <w:rsid w:val="0059237D"/>
    <w:rsid w:val="00592CA1"/>
    <w:rsid w:val="005959E4"/>
    <w:rsid w:val="005A3A3F"/>
    <w:rsid w:val="005A6B92"/>
    <w:rsid w:val="005B45B5"/>
    <w:rsid w:val="005D1AAA"/>
    <w:rsid w:val="005D2CEA"/>
    <w:rsid w:val="005D2D5F"/>
    <w:rsid w:val="005D35A5"/>
    <w:rsid w:val="005D3873"/>
    <w:rsid w:val="005D455A"/>
    <w:rsid w:val="005D6006"/>
    <w:rsid w:val="005E42F5"/>
    <w:rsid w:val="005E4D40"/>
    <w:rsid w:val="005F2F00"/>
    <w:rsid w:val="005F5B57"/>
    <w:rsid w:val="005F684F"/>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C7063"/>
    <w:rsid w:val="006E43CD"/>
    <w:rsid w:val="006F4DC7"/>
    <w:rsid w:val="00717DC7"/>
    <w:rsid w:val="00726188"/>
    <w:rsid w:val="007262E1"/>
    <w:rsid w:val="00736E95"/>
    <w:rsid w:val="007415B1"/>
    <w:rsid w:val="007423B1"/>
    <w:rsid w:val="007513BE"/>
    <w:rsid w:val="007551B7"/>
    <w:rsid w:val="0075696B"/>
    <w:rsid w:val="00764D9D"/>
    <w:rsid w:val="007816BA"/>
    <w:rsid w:val="00782159"/>
    <w:rsid w:val="0078332C"/>
    <w:rsid w:val="007835B6"/>
    <w:rsid w:val="007C14B1"/>
    <w:rsid w:val="007C3A93"/>
    <w:rsid w:val="007C5CCD"/>
    <w:rsid w:val="007D4196"/>
    <w:rsid w:val="007E44E2"/>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7D6B"/>
    <w:rsid w:val="008B3BB7"/>
    <w:rsid w:val="008C5ED3"/>
    <w:rsid w:val="008D5C4B"/>
    <w:rsid w:val="008E141E"/>
    <w:rsid w:val="00900B88"/>
    <w:rsid w:val="0090438E"/>
    <w:rsid w:val="00907687"/>
    <w:rsid w:val="00920E08"/>
    <w:rsid w:val="0093430A"/>
    <w:rsid w:val="00934F3D"/>
    <w:rsid w:val="00935333"/>
    <w:rsid w:val="009477ED"/>
    <w:rsid w:val="009570D6"/>
    <w:rsid w:val="009618F5"/>
    <w:rsid w:val="00961C0A"/>
    <w:rsid w:val="0097646E"/>
    <w:rsid w:val="00980E02"/>
    <w:rsid w:val="009813D9"/>
    <w:rsid w:val="00986756"/>
    <w:rsid w:val="00987ED2"/>
    <w:rsid w:val="00993E86"/>
    <w:rsid w:val="009965B6"/>
    <w:rsid w:val="009A1934"/>
    <w:rsid w:val="009A1B3D"/>
    <w:rsid w:val="009A33C1"/>
    <w:rsid w:val="009C468C"/>
    <w:rsid w:val="009D0B50"/>
    <w:rsid w:val="009D1F36"/>
    <w:rsid w:val="009D5B30"/>
    <w:rsid w:val="009E0C7E"/>
    <w:rsid w:val="009F0C91"/>
    <w:rsid w:val="009F4399"/>
    <w:rsid w:val="00A007E5"/>
    <w:rsid w:val="00A057F7"/>
    <w:rsid w:val="00A07FB9"/>
    <w:rsid w:val="00A12594"/>
    <w:rsid w:val="00A250F1"/>
    <w:rsid w:val="00A27583"/>
    <w:rsid w:val="00A27E42"/>
    <w:rsid w:val="00A34135"/>
    <w:rsid w:val="00A41F47"/>
    <w:rsid w:val="00A428F4"/>
    <w:rsid w:val="00A46131"/>
    <w:rsid w:val="00A47BEF"/>
    <w:rsid w:val="00A52294"/>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014A"/>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6259"/>
    <w:rsid w:val="00BF096F"/>
    <w:rsid w:val="00BF37E8"/>
    <w:rsid w:val="00BF3A80"/>
    <w:rsid w:val="00C04DE8"/>
    <w:rsid w:val="00C12B1B"/>
    <w:rsid w:val="00C16AAD"/>
    <w:rsid w:val="00C302BD"/>
    <w:rsid w:val="00C30E85"/>
    <w:rsid w:val="00C33494"/>
    <w:rsid w:val="00C342D6"/>
    <w:rsid w:val="00C418FB"/>
    <w:rsid w:val="00C427E4"/>
    <w:rsid w:val="00C45469"/>
    <w:rsid w:val="00C51F27"/>
    <w:rsid w:val="00C81BB1"/>
    <w:rsid w:val="00C8551E"/>
    <w:rsid w:val="00C92F98"/>
    <w:rsid w:val="00C93548"/>
    <w:rsid w:val="00CA14DD"/>
    <w:rsid w:val="00CA4152"/>
    <w:rsid w:val="00CA676E"/>
    <w:rsid w:val="00CB14A8"/>
    <w:rsid w:val="00CE403B"/>
    <w:rsid w:val="00CE4727"/>
    <w:rsid w:val="00CF22E4"/>
    <w:rsid w:val="00CF6388"/>
    <w:rsid w:val="00CF7BCA"/>
    <w:rsid w:val="00D027DD"/>
    <w:rsid w:val="00D02F53"/>
    <w:rsid w:val="00D04ABF"/>
    <w:rsid w:val="00D078C6"/>
    <w:rsid w:val="00D07944"/>
    <w:rsid w:val="00D12802"/>
    <w:rsid w:val="00D21FB3"/>
    <w:rsid w:val="00D27080"/>
    <w:rsid w:val="00D37415"/>
    <w:rsid w:val="00D569A1"/>
    <w:rsid w:val="00D65267"/>
    <w:rsid w:val="00D65875"/>
    <w:rsid w:val="00D75105"/>
    <w:rsid w:val="00D92E6B"/>
    <w:rsid w:val="00DA27BF"/>
    <w:rsid w:val="00DA7914"/>
    <w:rsid w:val="00DB1FE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227A"/>
    <w:rsid w:val="00EB7E70"/>
    <w:rsid w:val="00EC079F"/>
    <w:rsid w:val="00ED08A8"/>
    <w:rsid w:val="00ED093C"/>
    <w:rsid w:val="00ED2970"/>
    <w:rsid w:val="00ED2BA2"/>
    <w:rsid w:val="00EE3C69"/>
    <w:rsid w:val="00EE50F8"/>
    <w:rsid w:val="00EE51A4"/>
    <w:rsid w:val="00EF3ACF"/>
    <w:rsid w:val="00EF49EF"/>
    <w:rsid w:val="00EF561D"/>
    <w:rsid w:val="00EF57D4"/>
    <w:rsid w:val="00EF7D25"/>
    <w:rsid w:val="00F00503"/>
    <w:rsid w:val="00F079D1"/>
    <w:rsid w:val="00F15950"/>
    <w:rsid w:val="00F15D31"/>
    <w:rsid w:val="00F45D3A"/>
    <w:rsid w:val="00F53A8A"/>
    <w:rsid w:val="00F547BE"/>
    <w:rsid w:val="00F61CBC"/>
    <w:rsid w:val="00F653F9"/>
    <w:rsid w:val="00F67F0B"/>
    <w:rsid w:val="00F7125B"/>
    <w:rsid w:val="00F8058C"/>
    <w:rsid w:val="00F8394A"/>
    <w:rsid w:val="00FA1AE0"/>
    <w:rsid w:val="00FA5AD9"/>
    <w:rsid w:val="00FB67E0"/>
    <w:rsid w:val="00FC16B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character" w:styleId="Menzionenonrisolta">
    <w:name w:val="Unresolved Mention"/>
    <w:basedOn w:val="Carpredefinitoparagrafo"/>
    <w:uiPriority w:val="99"/>
    <w:semiHidden/>
    <w:unhideWhenUsed/>
    <w:rsid w:val="0033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34902626">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2020-01-14T09:44:00Z</cp:lastPrinted>
  <dcterms:created xsi:type="dcterms:W3CDTF">2022-06-23T10:57:00Z</dcterms:created>
  <dcterms:modified xsi:type="dcterms:W3CDTF">2022-06-23T13:18:00Z</dcterms:modified>
</cp:coreProperties>
</file>