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6D703" w14:textId="4C2A935D" w:rsidR="00023486" w:rsidRPr="00643B08" w:rsidRDefault="00023486">
      <w:pPr>
        <w:rPr>
          <w:rFonts w:ascii="Arial" w:hAnsi="Arial" w:cs="Arial"/>
          <w:sz w:val="24"/>
          <w:szCs w:val="24"/>
        </w:rPr>
      </w:pPr>
    </w:p>
    <w:p w14:paraId="564E4825" w14:textId="77777777" w:rsidR="00023486" w:rsidRPr="008112D7" w:rsidRDefault="00023486" w:rsidP="00023486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</w:pPr>
      <w:r w:rsidRPr="008112D7">
        <w:rPr>
          <w:rStyle w:val="contentpasted0"/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  <w:t>Comunicato stampa</w:t>
      </w:r>
    </w:p>
    <w:p w14:paraId="14329FF1" w14:textId="77777777" w:rsidR="00023486" w:rsidRPr="002F60AC" w:rsidRDefault="00023486" w:rsidP="006B4FAA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</w:pPr>
    </w:p>
    <w:p w14:paraId="56E078F9" w14:textId="13D789F5" w:rsidR="006B4FAA" w:rsidRDefault="006B4FAA" w:rsidP="006B4FA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B4FAA">
        <w:rPr>
          <w:rFonts w:ascii="Arial" w:hAnsi="Arial" w:cs="Arial"/>
          <w:b/>
          <w:bCs/>
          <w:sz w:val="24"/>
          <w:szCs w:val="24"/>
        </w:rPr>
        <w:t>DECRETO CESSIONE CREDITI: ACCOLTE TUTTE LE PROPOSTE EMENDATIVE PRESENTATE DAL CONSIGLIO NAZIONALE</w:t>
      </w:r>
      <w:r>
        <w:rPr>
          <w:rFonts w:ascii="Arial" w:hAnsi="Arial" w:cs="Arial"/>
          <w:b/>
          <w:bCs/>
          <w:sz w:val="24"/>
          <w:szCs w:val="24"/>
        </w:rPr>
        <w:t xml:space="preserve"> DEI COMMERCIALISTI</w:t>
      </w:r>
    </w:p>
    <w:p w14:paraId="4ED43D0B" w14:textId="3F369BF3" w:rsidR="006B4FAA" w:rsidRDefault="006B4FAA" w:rsidP="006B4F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D0981A9" w14:textId="7C03CC63" w:rsidR="006B4FAA" w:rsidRPr="006B4FAA" w:rsidRDefault="006B4FAA" w:rsidP="006B4F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 Nuccio e Regalbuto: “</w:t>
      </w:r>
      <w:r w:rsidR="00A10ED3">
        <w:rPr>
          <w:rFonts w:ascii="Arial" w:hAnsi="Arial" w:cs="Arial"/>
          <w:b/>
          <w:bCs/>
          <w:sz w:val="24"/>
          <w:szCs w:val="24"/>
        </w:rPr>
        <w:t>Soddisfazione per via libere a proposte di natura tecniche che risolvono numerosi dubbi applicativi”</w:t>
      </w:r>
    </w:p>
    <w:p w14:paraId="7C8DD686" w14:textId="77777777" w:rsidR="006B4FAA" w:rsidRPr="006B4FAA" w:rsidRDefault="006B4FAA" w:rsidP="006B4FAA">
      <w:pPr>
        <w:rPr>
          <w:rFonts w:ascii="Arial" w:hAnsi="Arial" w:cs="Arial"/>
          <w:b/>
          <w:bCs/>
          <w:sz w:val="24"/>
          <w:szCs w:val="24"/>
        </w:rPr>
      </w:pPr>
    </w:p>
    <w:p w14:paraId="686BCC5C" w14:textId="77777777" w:rsidR="006B4FAA" w:rsidRPr="006B4FAA" w:rsidRDefault="006B4FAA" w:rsidP="006B4FAA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3DDFDD5" w14:textId="18968ED1" w:rsidR="006B4FAA" w:rsidRDefault="006B4FAA" w:rsidP="006B4FAA">
      <w:pPr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B4FAA">
        <w:rPr>
          <w:rFonts w:ascii="Arial" w:hAnsi="Arial" w:cs="Arial"/>
          <w:i/>
          <w:iCs/>
          <w:sz w:val="24"/>
          <w:szCs w:val="24"/>
        </w:rPr>
        <w:t>Roma, 23 marzo 2023 -</w:t>
      </w:r>
      <w:r>
        <w:rPr>
          <w:rFonts w:ascii="Arial" w:hAnsi="Arial" w:cs="Arial"/>
          <w:sz w:val="24"/>
          <w:szCs w:val="24"/>
        </w:rPr>
        <w:t xml:space="preserve"> </w:t>
      </w:r>
      <w:r w:rsidRPr="006B4FAA">
        <w:rPr>
          <w:rFonts w:ascii="Arial" w:hAnsi="Arial" w:cs="Arial"/>
          <w:sz w:val="24"/>
          <w:szCs w:val="24"/>
        </w:rPr>
        <w:t xml:space="preserve">Tutte le proposte emendative al </w:t>
      </w:r>
      <w:r w:rsidRPr="006B4FAA">
        <w:rPr>
          <w:rFonts w:ascii="Arial" w:hAnsi="Arial" w:cs="Arial"/>
          <w:sz w:val="24"/>
          <w:szCs w:val="24"/>
        </w:rPr>
        <w:t>Decreto-legge</w:t>
      </w:r>
      <w:r w:rsidRPr="006B4FAA">
        <w:rPr>
          <w:rFonts w:ascii="Arial" w:hAnsi="Arial" w:cs="Arial"/>
          <w:sz w:val="24"/>
          <w:szCs w:val="24"/>
        </w:rPr>
        <w:t xml:space="preserve"> n. 11/2023 </w:t>
      </w:r>
      <w:r>
        <w:rPr>
          <w:rFonts w:ascii="Arial" w:hAnsi="Arial" w:cs="Arial"/>
          <w:sz w:val="24"/>
          <w:szCs w:val="24"/>
        </w:rPr>
        <w:t xml:space="preserve">sulla cessione dei crediti </w:t>
      </w:r>
      <w:r w:rsidRPr="006B4FAA">
        <w:rPr>
          <w:rFonts w:ascii="Arial" w:hAnsi="Arial" w:cs="Arial"/>
          <w:sz w:val="24"/>
          <w:szCs w:val="24"/>
        </w:rPr>
        <w:t>presentate dal Consiglio Nazionale dei Commercialisti sono state  accolte nel percorso parlamentare di conversione in Legge.</w:t>
      </w:r>
      <w:r>
        <w:rPr>
          <w:rFonts w:ascii="Arial" w:hAnsi="Arial" w:cs="Arial"/>
          <w:sz w:val="24"/>
          <w:szCs w:val="24"/>
        </w:rPr>
        <w:t xml:space="preserve"> </w:t>
      </w:r>
      <w:r w:rsidRPr="006B4FAA">
        <w:rPr>
          <w:rFonts w:ascii="Arial" w:hAnsi="Arial" w:cs="Arial"/>
          <w:sz w:val="24"/>
          <w:szCs w:val="24"/>
        </w:rPr>
        <w:t>Si tratta di norme di interpretazione autentica, quindi di particolare portata anche retroattiva, che chiariscono</w:t>
      </w:r>
      <w:r w:rsidRPr="006B4FA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la facoltà e non l’obbligo </w:t>
      </w:r>
      <w:r w:rsidRPr="006B4FAA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di liquidazione di stati avanzamento lavoro per gli interventi diversi dai superbonus</w:t>
      </w:r>
      <w:r w:rsidRPr="006B4FA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; la facoltà e non l’obbligo di </w:t>
      </w:r>
      <w:r w:rsidRPr="006B4FAA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inclusione nelle asseverazioni tecniche dell’attestazione di congruità delle spese</w:t>
      </w:r>
      <w:r w:rsidRPr="006B4FA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relative all’apposizione del visto di conformità</w:t>
      </w:r>
      <w:r w:rsidR="00A10ED3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6B4FA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la possibilità di </w:t>
      </w:r>
      <w:r w:rsidRPr="006B4FAA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accedere alla remissione in bonis</w:t>
      </w:r>
      <w:r w:rsidRPr="006B4FA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nel caso di presentazione dell’allegato B, ai fini del sisma bonus e del super sisma bonus, successivamente al deposito del titolo edilizio o dell’inizio lavori</w:t>
      </w:r>
      <w:r w:rsidR="00A10ED3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6B4FA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il </w:t>
      </w:r>
      <w:r w:rsidRPr="006B4FAA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perimetro temporale e oggettivo del requisito SOA</w:t>
      </w:r>
      <w:r w:rsidRPr="006B4FA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per affidamento dei lavori in ambito superbonus. Accolta anche la proposta che </w:t>
      </w:r>
      <w:r w:rsidRPr="006B4FAA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delimita il perimetro dell’attestazione antiriciclaggio</w:t>
      </w:r>
      <w:r w:rsidRPr="006B4FA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uno dei documenti previsti per affrancare il cessionario dalla responsabilità per colpa grave, ai soli soggetti che sono </w:t>
      </w:r>
      <w:r w:rsidRPr="006B4FAA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controparti nelle operazioni</w:t>
      </w:r>
      <w:r w:rsidRPr="006B4FA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 </w:t>
      </w:r>
    </w:p>
    <w:p w14:paraId="62F19901" w14:textId="77777777" w:rsidR="00A10ED3" w:rsidRPr="006B4FAA" w:rsidRDefault="00A10ED3" w:rsidP="006B4FAA">
      <w:pPr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65FA85F" w14:textId="46C79CA7" w:rsidR="006B4FAA" w:rsidRDefault="006B4FAA" w:rsidP="006B4FAA">
      <w:pPr>
        <w:jc w:val="both"/>
        <w:rPr>
          <w:rFonts w:ascii="Arial" w:hAnsi="Arial" w:cs="Arial"/>
          <w:sz w:val="24"/>
          <w:szCs w:val="24"/>
        </w:rPr>
      </w:pPr>
      <w:r w:rsidRPr="006B4FAA">
        <w:rPr>
          <w:rFonts w:ascii="Arial" w:hAnsi="Arial" w:cs="Arial"/>
          <w:sz w:val="24"/>
          <w:szCs w:val="24"/>
        </w:rPr>
        <w:t xml:space="preserve">“Esprimo grande apprezzamento – commenta il Presidente </w:t>
      </w:r>
      <w:r w:rsidR="00A10ED3">
        <w:rPr>
          <w:rFonts w:ascii="Arial" w:hAnsi="Arial" w:cs="Arial"/>
          <w:sz w:val="24"/>
          <w:szCs w:val="24"/>
        </w:rPr>
        <w:t xml:space="preserve">del Consiglio nazionale dei commercialisti, </w:t>
      </w:r>
      <w:r w:rsidRPr="006B4FAA">
        <w:rPr>
          <w:rFonts w:ascii="Arial" w:hAnsi="Arial" w:cs="Arial"/>
          <w:sz w:val="24"/>
          <w:szCs w:val="24"/>
        </w:rPr>
        <w:t xml:space="preserve"> </w:t>
      </w:r>
      <w:r w:rsidRPr="00A10ED3">
        <w:rPr>
          <w:rFonts w:ascii="Arial" w:hAnsi="Arial" w:cs="Arial"/>
          <w:b/>
          <w:bCs/>
          <w:sz w:val="24"/>
          <w:szCs w:val="24"/>
        </w:rPr>
        <w:t>Elbano de Nuccio</w:t>
      </w:r>
      <w:r w:rsidRPr="006B4FAA">
        <w:rPr>
          <w:rFonts w:ascii="Arial" w:hAnsi="Arial" w:cs="Arial"/>
          <w:sz w:val="24"/>
          <w:szCs w:val="24"/>
        </w:rPr>
        <w:t xml:space="preserve"> – per la disponibilità dimostrata dal Governo e dalle forze parlamentari nel recepire le nostre proposte e ringrazio, in particolare, il Ministro Giancarlo Giorgetti, il Vice Ministro </w:t>
      </w:r>
      <w:proofErr w:type="spellStart"/>
      <w:r w:rsidRPr="006B4FAA">
        <w:rPr>
          <w:rFonts w:ascii="Arial" w:hAnsi="Arial" w:cs="Arial"/>
          <w:sz w:val="24"/>
          <w:szCs w:val="24"/>
        </w:rPr>
        <w:t>Maurzio</w:t>
      </w:r>
      <w:proofErr w:type="spellEnd"/>
      <w:r w:rsidRPr="006B4FAA">
        <w:rPr>
          <w:rFonts w:ascii="Arial" w:hAnsi="Arial" w:cs="Arial"/>
          <w:sz w:val="24"/>
          <w:szCs w:val="24"/>
        </w:rPr>
        <w:t xml:space="preserve"> Leo, l’</w:t>
      </w:r>
      <w:proofErr w:type="spellStart"/>
      <w:r w:rsidRPr="006B4FAA">
        <w:rPr>
          <w:rFonts w:ascii="Arial" w:hAnsi="Arial" w:cs="Arial"/>
          <w:sz w:val="24"/>
          <w:szCs w:val="24"/>
        </w:rPr>
        <w:t>On.le</w:t>
      </w:r>
      <w:proofErr w:type="spellEnd"/>
      <w:r w:rsidRPr="006B4FAA">
        <w:rPr>
          <w:rFonts w:ascii="Arial" w:hAnsi="Arial" w:cs="Arial"/>
          <w:sz w:val="24"/>
          <w:szCs w:val="24"/>
        </w:rPr>
        <w:t xml:space="preserve"> Andrea de Bertoldi, relatore del provvedimento alla Camera, l’</w:t>
      </w:r>
      <w:proofErr w:type="spellStart"/>
      <w:r w:rsidRPr="006B4FAA">
        <w:rPr>
          <w:rFonts w:ascii="Arial" w:hAnsi="Arial" w:cs="Arial"/>
          <w:sz w:val="24"/>
          <w:szCs w:val="24"/>
        </w:rPr>
        <w:t>On.le</w:t>
      </w:r>
      <w:proofErr w:type="spellEnd"/>
      <w:r w:rsidRPr="006B4FAA">
        <w:rPr>
          <w:rFonts w:ascii="Arial" w:hAnsi="Arial" w:cs="Arial"/>
          <w:sz w:val="24"/>
          <w:szCs w:val="24"/>
        </w:rPr>
        <w:t xml:space="preserve"> Marco Osnato, Presidente della Commissione Finanze alla Camera e gli On.li firmatari degli emendamenti Saverio Congedo, Francesco Filini, Mariangela Matera, Nicole Matteoni, Stefano Giovanni Maullu e Guerino Testa”</w:t>
      </w:r>
      <w:r w:rsidR="00A10ED3">
        <w:rPr>
          <w:rFonts w:ascii="Arial" w:hAnsi="Arial" w:cs="Arial"/>
          <w:sz w:val="24"/>
          <w:szCs w:val="24"/>
        </w:rPr>
        <w:t>.</w:t>
      </w:r>
    </w:p>
    <w:p w14:paraId="72D18742" w14:textId="77777777" w:rsidR="00A10ED3" w:rsidRPr="006B4FAA" w:rsidRDefault="00A10ED3" w:rsidP="006B4FAA">
      <w:pPr>
        <w:jc w:val="both"/>
        <w:rPr>
          <w:rFonts w:ascii="Arial" w:hAnsi="Arial" w:cs="Arial"/>
          <w:sz w:val="24"/>
          <w:szCs w:val="24"/>
        </w:rPr>
      </w:pPr>
    </w:p>
    <w:p w14:paraId="7ECB3619" w14:textId="77777777" w:rsidR="006B4FAA" w:rsidRPr="006B4FAA" w:rsidRDefault="006B4FAA" w:rsidP="006B4FAA">
      <w:pPr>
        <w:jc w:val="both"/>
        <w:rPr>
          <w:rFonts w:ascii="Arial" w:hAnsi="Arial" w:cs="Arial"/>
          <w:sz w:val="24"/>
          <w:szCs w:val="24"/>
        </w:rPr>
      </w:pPr>
      <w:r w:rsidRPr="006B4FAA">
        <w:rPr>
          <w:rFonts w:ascii="Arial" w:hAnsi="Arial" w:cs="Arial"/>
          <w:sz w:val="24"/>
          <w:szCs w:val="24"/>
        </w:rPr>
        <w:t xml:space="preserve">Per </w:t>
      </w:r>
      <w:r w:rsidRPr="00A10ED3">
        <w:rPr>
          <w:rFonts w:ascii="Arial" w:hAnsi="Arial" w:cs="Arial"/>
          <w:b/>
          <w:bCs/>
          <w:sz w:val="24"/>
          <w:szCs w:val="24"/>
        </w:rPr>
        <w:t>Salvatore Regalbuto</w:t>
      </w:r>
      <w:r w:rsidRPr="006B4FAA">
        <w:rPr>
          <w:rFonts w:ascii="Arial" w:hAnsi="Arial" w:cs="Arial"/>
          <w:sz w:val="24"/>
          <w:szCs w:val="24"/>
        </w:rPr>
        <w:t xml:space="preserve">, Tesoriere nazionale con delega alla fiscalità, “il Consiglio Nazionale ha avanzato delle proposte di natura tecnica che hanno risolto, peraltro con la formula rafforzativa dell’interpretazione autentica, numerosi dubbi applicativi, e ciò è motivo di particolare soddisfazione e rafforza la convinzione che il dialogo istituzionale non può che portare all’individuazione di soluzioni condivise che rendano le norme più chiare e quindi limitino il sorgere di contenziosi che non possono che nuocere sia ai cittadini che alla pubblica amministrazione”.    </w:t>
      </w:r>
    </w:p>
    <w:p w14:paraId="1D1F2CC1" w14:textId="735F647A" w:rsidR="00433D7B" w:rsidRPr="00810BAA" w:rsidRDefault="00433D7B" w:rsidP="006B4FAA">
      <w:pPr>
        <w:jc w:val="center"/>
        <w:rPr>
          <w:rFonts w:ascii="Arial" w:hAnsi="Arial" w:cs="Arial"/>
          <w:sz w:val="24"/>
          <w:szCs w:val="24"/>
        </w:rPr>
      </w:pPr>
    </w:p>
    <w:sectPr w:rsidR="00433D7B" w:rsidRPr="00810BA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DBCBB" w14:textId="77777777" w:rsidR="00B82ED8" w:rsidRDefault="00B82ED8" w:rsidP="00023486">
      <w:r>
        <w:separator/>
      </w:r>
    </w:p>
  </w:endnote>
  <w:endnote w:type="continuationSeparator" w:id="0">
    <w:p w14:paraId="409E3992" w14:textId="77777777" w:rsidR="00B82ED8" w:rsidRDefault="00B82ED8" w:rsidP="0002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2D6D8" w14:textId="77777777" w:rsidR="00B82ED8" w:rsidRDefault="00B82ED8" w:rsidP="00023486">
      <w:r>
        <w:separator/>
      </w:r>
    </w:p>
  </w:footnote>
  <w:footnote w:type="continuationSeparator" w:id="0">
    <w:p w14:paraId="1EFE61A5" w14:textId="77777777" w:rsidR="00B82ED8" w:rsidRDefault="00B82ED8" w:rsidP="00023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787B" w14:textId="1241885B" w:rsidR="00023486" w:rsidRDefault="00023486" w:rsidP="0002348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718B384" wp14:editId="09ABD275">
          <wp:extent cx="3320126" cy="1127760"/>
          <wp:effectExtent l="0" t="0" r="0" b="0"/>
          <wp:docPr id="2" name="Immagine 2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0822" cy="114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86"/>
    <w:rsid w:val="00023486"/>
    <w:rsid w:val="000464E3"/>
    <w:rsid w:val="000F053D"/>
    <w:rsid w:val="0010541F"/>
    <w:rsid w:val="00186BE1"/>
    <w:rsid w:val="001A2014"/>
    <w:rsid w:val="001A392E"/>
    <w:rsid w:val="001B62A9"/>
    <w:rsid w:val="001F01FA"/>
    <w:rsid w:val="00213305"/>
    <w:rsid w:val="00292807"/>
    <w:rsid w:val="002E4B3D"/>
    <w:rsid w:val="002F60AC"/>
    <w:rsid w:val="003267A7"/>
    <w:rsid w:val="003640DD"/>
    <w:rsid w:val="003F04E2"/>
    <w:rsid w:val="00417165"/>
    <w:rsid w:val="00433D7B"/>
    <w:rsid w:val="00435D70"/>
    <w:rsid w:val="004E47AC"/>
    <w:rsid w:val="004F2DD2"/>
    <w:rsid w:val="005010A5"/>
    <w:rsid w:val="00542351"/>
    <w:rsid w:val="00551761"/>
    <w:rsid w:val="00643B08"/>
    <w:rsid w:val="006B4FAA"/>
    <w:rsid w:val="006D519D"/>
    <w:rsid w:val="007532B9"/>
    <w:rsid w:val="00810BAA"/>
    <w:rsid w:val="008112D7"/>
    <w:rsid w:val="00857BDB"/>
    <w:rsid w:val="00890795"/>
    <w:rsid w:val="009162D7"/>
    <w:rsid w:val="009813DC"/>
    <w:rsid w:val="00A10ED3"/>
    <w:rsid w:val="00A86B06"/>
    <w:rsid w:val="00B01218"/>
    <w:rsid w:val="00B4587D"/>
    <w:rsid w:val="00B82ED8"/>
    <w:rsid w:val="00BE31B6"/>
    <w:rsid w:val="00BF1A19"/>
    <w:rsid w:val="00C00E45"/>
    <w:rsid w:val="00C04F5C"/>
    <w:rsid w:val="00C62CF1"/>
    <w:rsid w:val="00C848FE"/>
    <w:rsid w:val="00C925A6"/>
    <w:rsid w:val="00D94716"/>
    <w:rsid w:val="00F0658B"/>
    <w:rsid w:val="00FC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F6C5"/>
  <w15:chartTrackingRefBased/>
  <w15:docId w15:val="{CA432A40-F4F4-4502-B94A-E21CBCE5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3486"/>
    <w:pPr>
      <w:spacing w:after="0" w:line="240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3486"/>
    <w:pPr>
      <w:tabs>
        <w:tab w:val="center" w:pos="4819"/>
        <w:tab w:val="right" w:pos="9638"/>
      </w:tabs>
    </w:pPr>
    <w:rPr>
      <w:rFonts w:eastAsia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3486"/>
  </w:style>
  <w:style w:type="paragraph" w:styleId="Pidipagina">
    <w:name w:val="footer"/>
    <w:basedOn w:val="Normale"/>
    <w:link w:val="PidipaginaCarattere"/>
    <w:uiPriority w:val="99"/>
    <w:unhideWhenUsed/>
    <w:rsid w:val="00023486"/>
    <w:pPr>
      <w:tabs>
        <w:tab w:val="center" w:pos="4819"/>
        <w:tab w:val="right" w:pos="9638"/>
      </w:tabs>
    </w:pPr>
    <w:rPr>
      <w:rFonts w:eastAsia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3486"/>
  </w:style>
  <w:style w:type="paragraph" w:customStyle="1" w:styleId="xmsonormal">
    <w:name w:val="xmsonormal"/>
    <w:basedOn w:val="Normale"/>
    <w:rsid w:val="00023486"/>
    <w:rPr>
      <w:rFonts w:ascii="Calibri" w:eastAsiaTheme="minorHAnsi" w:hAnsi="Calibri" w:cs="Calibri"/>
      <w:lang w:eastAsia="it-IT"/>
    </w:rPr>
  </w:style>
  <w:style w:type="character" w:customStyle="1" w:styleId="contentpasted0">
    <w:name w:val="contentpasted0"/>
    <w:basedOn w:val="Carpredefinitoparagrafo"/>
    <w:rsid w:val="00023486"/>
  </w:style>
  <w:style w:type="character" w:customStyle="1" w:styleId="normaltextrun">
    <w:name w:val="normaltextrun"/>
    <w:basedOn w:val="Carpredefinitoparagrafo"/>
    <w:rsid w:val="006B4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Mauro Parracino</cp:lastModifiedBy>
  <cp:revision>2</cp:revision>
  <dcterms:created xsi:type="dcterms:W3CDTF">2023-03-23T17:45:00Z</dcterms:created>
  <dcterms:modified xsi:type="dcterms:W3CDTF">2023-03-23T17:45:00Z</dcterms:modified>
</cp:coreProperties>
</file>